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EB0E443">
      <w:pPr>
        <w:pStyle w:val="11"/>
        <w:jc w:val="center"/>
      </w:pPr>
      <w:r>
        <w:t>重型栏板货车维保服务采购项目技术规范书</w:t>
      </w:r>
    </w:p>
    <w:p w14:paraId="1FF871F0">
      <w:pPr>
        <w:pStyle w:val="5"/>
      </w:pPr>
      <w:r>
        <w:t>一、总则</w:t>
      </w:r>
    </w:p>
    <w:p w14:paraId="468322B1">
      <w:pPr>
        <w:pStyle w:val="6"/>
      </w:pPr>
      <w:r>
        <w:t>1.1 项目概况</w:t>
      </w:r>
    </w:p>
    <w:p w14:paraId="6FD29E87">
      <w:pPr>
        <w:pStyle w:val="19"/>
        <w:ind w:firstLine="560" w:firstLineChars="200"/>
        <w:jc w:val="both"/>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本项目为</w:t>
      </w:r>
      <w:r>
        <w:rPr>
          <w:rFonts w:hint="eastAsia" w:asciiTheme="minorEastAsia" w:hAnsiTheme="minorEastAsia" w:eastAsiaTheme="minorEastAsia" w:cstheme="minorEastAsia"/>
          <w:b w:val="0"/>
          <w:bCs w:val="0"/>
          <w:sz w:val="28"/>
          <w:szCs w:val="28"/>
        </w:rPr>
        <w:t>重型栏板货车</w:t>
      </w:r>
      <w:r>
        <w:rPr>
          <w:rFonts w:hint="eastAsia" w:asciiTheme="minorEastAsia" w:hAnsiTheme="minorEastAsia" w:eastAsiaTheme="minorEastAsia" w:cstheme="minorEastAsia"/>
          <w:sz w:val="28"/>
          <w:szCs w:val="28"/>
        </w:rPr>
        <w:t>专属维保服务采购项目，采购</w:t>
      </w:r>
      <w:r>
        <w:rPr>
          <w:rFonts w:hint="eastAsia" w:asciiTheme="minorEastAsia" w:hAnsiTheme="minorEastAsia" w:eastAsiaTheme="minorEastAsia" w:cstheme="minorEastAsia"/>
          <w:sz w:val="28"/>
          <w:szCs w:val="28"/>
          <w:lang w:val="en-US" w:eastAsia="zh-CN"/>
        </w:rPr>
        <w:t>方</w:t>
      </w:r>
      <w:r>
        <w:rPr>
          <w:rFonts w:hint="eastAsia" w:asciiTheme="minorEastAsia" w:hAnsiTheme="minorEastAsia" w:eastAsiaTheme="minorEastAsia" w:cstheme="minorEastAsia"/>
          <w:sz w:val="28"/>
          <w:szCs w:val="28"/>
        </w:rPr>
        <w:t>现有</w:t>
      </w:r>
      <w:r>
        <w:rPr>
          <w:rFonts w:hint="eastAsia" w:asciiTheme="minorEastAsia" w:hAnsiTheme="minorEastAsia" w:eastAsiaTheme="minorEastAsia" w:cstheme="minorEastAsia"/>
          <w:sz w:val="28"/>
          <w:szCs w:val="28"/>
          <w:lang w:val="en-US" w:eastAsia="zh-CN"/>
        </w:rPr>
        <w:t>一</w:t>
      </w:r>
      <w:r>
        <w:rPr>
          <w:rFonts w:hint="eastAsia" w:asciiTheme="minorEastAsia" w:hAnsiTheme="minorEastAsia" w:eastAsiaTheme="minorEastAsia" w:cstheme="minorEastAsia"/>
          <w:sz w:val="28"/>
          <w:szCs w:val="28"/>
        </w:rPr>
        <w:t>台福田牌重型栏板货车（</w:t>
      </w:r>
      <w:r>
        <w:rPr>
          <w:rFonts w:hint="eastAsia" w:asciiTheme="minorEastAsia" w:hAnsiTheme="minorEastAsia" w:eastAsiaTheme="minorEastAsia" w:cstheme="minorEastAsia"/>
          <w:sz w:val="28"/>
          <w:szCs w:val="28"/>
          <w:highlight w:val="none"/>
          <w:lang w:val="en-US" w:eastAsia="zh-CN"/>
        </w:rPr>
        <w:t>福田牌 BJ1186VKPFK-1M</w:t>
      </w:r>
      <w:r>
        <w:rPr>
          <w:rFonts w:hint="eastAsia" w:asciiTheme="minorEastAsia" w:hAnsiTheme="minorEastAsia" w:eastAsiaTheme="minorEastAsia" w:cstheme="minorEastAsia"/>
          <w:sz w:val="28"/>
          <w:szCs w:val="28"/>
        </w:rPr>
        <w:t>），为保障车辆合规、安全、高效运行，降低运营故障与运维成本，特通过采购方式选定专业供应商，提供全周期、标准化、针对性的维修保养服务，确保车辆各项性能符合福田原厂技术标准及道路运输安全要求。</w:t>
      </w:r>
    </w:p>
    <w:p w14:paraId="63D2DD83">
      <w:pPr>
        <w:pStyle w:val="6"/>
      </w:pPr>
      <w:r>
        <w:t>1.2 适用范围</w:t>
      </w:r>
    </w:p>
    <w:p w14:paraId="5D9CF703">
      <w:pPr>
        <w:pStyle w:val="19"/>
        <w:ind w:firstLine="560" w:firstLineChars="200"/>
        <w:jc w:val="both"/>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本规范书适用于本次福田牌重型栏板货车维保服务的全部工作内容，包括车辆定期保养、故障维修、应急抢修、原厂配件供应、车辆检测、技术咨询、档案管理等相关服务，对供应商资质、技术标准、质量要求、验收准则等均具有法定约束效力，中标供应商须无条件遵照执行。</w:t>
      </w:r>
    </w:p>
    <w:p w14:paraId="407FE8B0">
      <w:pPr>
        <w:pStyle w:val="6"/>
      </w:pPr>
      <w:r>
        <w:t>1.3 编制依据</w:t>
      </w:r>
    </w:p>
    <w:p w14:paraId="6D865978">
      <w:pPr>
        <w:pStyle w:val="19"/>
        <w:ind w:firstLine="560" w:firstLineChars="200"/>
        <w:jc w:val="both"/>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本规范书依据《中华人民共和国政府采购法》《机动车维修管理规定》《</w:t>
      </w:r>
      <w:r>
        <w:rPr>
          <w:rFonts w:hint="eastAsia" w:asciiTheme="minorEastAsia" w:hAnsiTheme="minorEastAsia" w:eastAsiaTheme="minorEastAsia" w:cstheme="minorEastAsia"/>
          <w:sz w:val="28"/>
          <w:szCs w:val="28"/>
          <w:lang w:eastAsia="zh-CN"/>
        </w:rPr>
        <w:t>车辆</w:t>
      </w:r>
      <w:r>
        <w:rPr>
          <w:rFonts w:hint="eastAsia" w:asciiTheme="minorEastAsia" w:hAnsiTheme="minorEastAsia" w:eastAsiaTheme="minorEastAsia" w:cstheme="minorEastAsia"/>
          <w:sz w:val="28"/>
          <w:szCs w:val="28"/>
        </w:rPr>
        <w:t>维护、检测、诊断技术规范》（GB/T 18344）、《商用车辆运行安全技术条件》（GB 7258）</w:t>
      </w:r>
      <w:r>
        <w:rPr>
          <w:rFonts w:hint="eastAsia" w:asciiTheme="minorEastAsia" w:hAnsiTheme="minorEastAsia" w:eastAsiaTheme="minorEastAsia" w:cstheme="minorEastAsia"/>
          <w:sz w:val="28"/>
          <w:szCs w:val="28"/>
          <w:lang w:eastAsia="zh-CN"/>
        </w:rPr>
        <w:t>《</w:t>
      </w:r>
      <w:r>
        <w:rPr>
          <w:rFonts w:hint="eastAsia" w:asciiTheme="minorEastAsia" w:hAnsiTheme="minorEastAsia" w:eastAsiaTheme="minorEastAsia" w:cstheme="minorEastAsia"/>
          <w:sz w:val="28"/>
          <w:szCs w:val="28"/>
          <w:lang w:val="en-US" w:eastAsia="zh-CN"/>
        </w:rPr>
        <w:t>南方电网供应链集团有限公司车辆管理业务指导书》</w:t>
      </w:r>
      <w:r>
        <w:rPr>
          <w:rFonts w:hint="eastAsia" w:asciiTheme="minorEastAsia" w:hAnsiTheme="minorEastAsia" w:eastAsiaTheme="minorEastAsia" w:cstheme="minorEastAsia"/>
          <w:sz w:val="28"/>
          <w:szCs w:val="28"/>
        </w:rPr>
        <w:t>、福田商用车维保规范及国家、行业现行相关法律法规、标准规程编制，若标准更新，以最新版本为准。</w:t>
      </w:r>
    </w:p>
    <w:p w14:paraId="1BBC6965">
      <w:pPr>
        <w:pStyle w:val="6"/>
      </w:pPr>
      <w:r>
        <w:t>1.4 服务原则</w:t>
      </w:r>
    </w:p>
    <w:p w14:paraId="74CB454A">
      <w:pPr>
        <w:pStyle w:val="19"/>
        <w:ind w:firstLine="560" w:firstLineChars="200"/>
        <w:jc w:val="both"/>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lang w:val="en-US" w:eastAsia="zh-CN"/>
        </w:rPr>
        <w:t>车辆维保服务商</w:t>
      </w:r>
      <w:r>
        <w:rPr>
          <w:rFonts w:hint="eastAsia" w:asciiTheme="minorEastAsia" w:hAnsiTheme="minorEastAsia" w:eastAsiaTheme="minorEastAsia" w:cstheme="minorEastAsia"/>
          <w:sz w:val="28"/>
          <w:szCs w:val="28"/>
        </w:rPr>
        <w:t>需遵循安全第一、原厂标准、响应极速、质量达标、计价透明、诚信履约的原则，针对福田重型栏板货车的底盘结构、发动机系统、制动系统、货箱栏板等核心部件特性，提供专业化、定制化维保服务，杜绝违规操作与劣质服务，全力保障车辆运输作业连续性。</w:t>
      </w:r>
    </w:p>
    <w:p w14:paraId="2F4DA7A5">
      <w:pPr>
        <w:pStyle w:val="5"/>
      </w:pPr>
      <w:r>
        <w:t>二、</w:t>
      </w:r>
      <w:r>
        <w:rPr>
          <w:rFonts w:hint="eastAsia"/>
        </w:rPr>
        <w:t>车辆维保服务商</w:t>
      </w:r>
      <w:r>
        <w:t>资格要求</w:t>
      </w:r>
    </w:p>
    <w:p w14:paraId="1D8E1B28">
      <w:pPr>
        <w:pStyle w:val="19"/>
        <w:ind w:firstLine="560" w:firstLineChars="200"/>
        <w:jc w:val="both"/>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lang w:val="en-US" w:eastAsia="zh-CN"/>
        </w:rPr>
        <w:t>1.</w:t>
      </w:r>
      <w:r>
        <w:rPr>
          <w:rFonts w:hint="eastAsia" w:asciiTheme="minorEastAsia" w:hAnsiTheme="minorEastAsia" w:eastAsiaTheme="minorEastAsia" w:cstheme="minorEastAsia"/>
          <w:sz w:val="28"/>
          <w:szCs w:val="28"/>
        </w:rPr>
        <w:t>具有独立法人资格，持有合法有效的营业执照，经营范围包含机动车维修、商用车维保服务，具备一般纳税人资格，可开具增值税专用发票。</w:t>
      </w:r>
    </w:p>
    <w:p w14:paraId="2C54BDFA">
      <w:pPr>
        <w:pStyle w:val="19"/>
        <w:ind w:firstLine="560" w:firstLineChars="200"/>
        <w:jc w:val="both"/>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lang w:val="en-US" w:eastAsia="zh-CN"/>
        </w:rPr>
        <w:t>2.</w:t>
      </w:r>
      <w:r>
        <w:rPr>
          <w:rFonts w:hint="eastAsia" w:asciiTheme="minorEastAsia" w:hAnsiTheme="minorEastAsia" w:eastAsiaTheme="minorEastAsia" w:cstheme="minorEastAsia"/>
          <w:sz w:val="28"/>
          <w:szCs w:val="28"/>
        </w:rPr>
        <w:t>具备交通运输管理部门核发的二类及以上机动车维修经营业务许可证。</w:t>
      </w:r>
    </w:p>
    <w:p w14:paraId="2D6983A8">
      <w:pPr>
        <w:pStyle w:val="5"/>
      </w:pPr>
      <w:r>
        <w:t>三、维保服务范围及内容</w:t>
      </w:r>
    </w:p>
    <w:p w14:paraId="5EFD9403">
      <w:pPr>
        <w:pStyle w:val="6"/>
      </w:pPr>
      <w:r>
        <w:t>3.1 车辆核心维保对象</w:t>
      </w:r>
    </w:p>
    <w:p w14:paraId="1075F7D0">
      <w:pPr>
        <w:pStyle w:val="19"/>
        <w:ind w:firstLine="560" w:firstLineChars="200"/>
        <w:jc w:val="both"/>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本次维保覆盖福田牌重型栏板货车全核心部件，包括：福田康明斯/潍柴发动机、法士特变速箱、重型底盘、气压制动系统、液压助力转向系统、车架、栏板货箱、电路电控系统、尾气后处理系统、轮胎及悬挂系统等。</w:t>
      </w:r>
    </w:p>
    <w:p w14:paraId="66EF4BFB">
      <w:pPr>
        <w:pStyle w:val="6"/>
      </w:pPr>
      <w:r>
        <w:t>3.2 定期保养服务</w:t>
      </w:r>
    </w:p>
    <w:p w14:paraId="2F189626">
      <w:pPr>
        <w:numPr>
          <w:ilvl w:val="0"/>
          <w:numId w:val="1"/>
        </w:numPr>
        <w:tabs>
          <w:tab w:val="left" w:pos="1140"/>
        </w:tabs>
        <w:spacing w:line="360" w:lineRule="auto"/>
        <w:ind w:left="0" w:firstLine="640"/>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一级保养（每</w:t>
      </w:r>
      <w:r>
        <w:rPr>
          <w:rFonts w:hint="eastAsia" w:asciiTheme="minorEastAsia" w:hAnsiTheme="minorEastAsia" w:cstheme="minorEastAsia"/>
          <w:sz w:val="28"/>
          <w:szCs w:val="28"/>
          <w:lang w:val="en-US" w:eastAsia="zh-CN"/>
        </w:rPr>
        <w:t>8</w:t>
      </w:r>
      <w:r>
        <w:rPr>
          <w:rFonts w:hint="eastAsia" w:asciiTheme="minorEastAsia" w:hAnsiTheme="minorEastAsia" w:eastAsiaTheme="minorEastAsia" w:cstheme="minorEastAsia"/>
          <w:sz w:val="28"/>
          <w:szCs w:val="28"/>
        </w:rPr>
        <w:t>000公里/</w:t>
      </w:r>
      <w:r>
        <w:rPr>
          <w:rFonts w:hint="eastAsia" w:asciiTheme="minorEastAsia" w:hAnsiTheme="minorEastAsia" w:cstheme="minorEastAsia"/>
          <w:sz w:val="28"/>
          <w:szCs w:val="28"/>
          <w:lang w:val="en-US" w:eastAsia="zh-CN"/>
        </w:rPr>
        <w:t>6个月</w:t>
      </w:r>
      <w:r>
        <w:rPr>
          <w:rFonts w:hint="eastAsia" w:asciiTheme="minorEastAsia" w:hAnsiTheme="minorEastAsia" w:eastAsiaTheme="minorEastAsia" w:cstheme="minorEastAsia"/>
          <w:sz w:val="28"/>
          <w:szCs w:val="28"/>
        </w:rPr>
        <w:t>，先到为准）：全车螺栓紧固（重点车架、悬挂、栏板连接部位），发动机机油、机油滤清器更换（福田原厂指定型号），空气滤清器清洁，燃油滤清器放水，制动系统排气，转向系统润滑，轮胎胎压调整、轮胎换位。</w:t>
      </w:r>
    </w:p>
    <w:p w14:paraId="2199073C">
      <w:pPr>
        <w:numPr>
          <w:ilvl w:val="0"/>
          <w:numId w:val="1"/>
        </w:numPr>
        <w:tabs>
          <w:tab w:val="left" w:pos="1140"/>
        </w:tabs>
        <w:spacing w:line="360" w:lineRule="auto"/>
        <w:ind w:left="0" w:firstLine="640"/>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二级保养（每20000公里/</w:t>
      </w:r>
      <w:r>
        <w:rPr>
          <w:rFonts w:hint="eastAsia" w:asciiTheme="minorEastAsia" w:hAnsiTheme="minorEastAsia" w:cstheme="minorEastAsia"/>
          <w:sz w:val="28"/>
          <w:szCs w:val="28"/>
          <w:lang w:val="en-US" w:eastAsia="zh-CN"/>
        </w:rPr>
        <w:t>12个月</w:t>
      </w:r>
      <w:r>
        <w:rPr>
          <w:rFonts w:hint="eastAsia" w:asciiTheme="minorEastAsia" w:hAnsiTheme="minorEastAsia" w:eastAsiaTheme="minorEastAsia" w:cstheme="minorEastAsia"/>
          <w:sz w:val="28"/>
          <w:szCs w:val="28"/>
        </w:rPr>
        <w:t>，先到为准）：福田原厂标准深度养护，更换机油、三滤、齿轮油、冷却液</w:t>
      </w:r>
      <w:r>
        <w:rPr>
          <w:rFonts w:hint="eastAsia" w:asciiTheme="minorEastAsia" w:hAnsiTheme="minorEastAsia" w:cstheme="minorEastAsia"/>
          <w:sz w:val="28"/>
          <w:szCs w:val="28"/>
          <w:lang w:eastAsia="zh-CN"/>
        </w:rPr>
        <w:t>、</w:t>
      </w:r>
      <w:r>
        <w:rPr>
          <w:rFonts w:hint="eastAsia" w:asciiTheme="minorEastAsia" w:hAnsiTheme="minorEastAsia" w:cstheme="minorEastAsia"/>
          <w:sz w:val="28"/>
          <w:szCs w:val="28"/>
          <w:lang w:val="en-US" w:eastAsia="zh-CN"/>
        </w:rPr>
        <w:t>刹车片</w:t>
      </w:r>
      <w:r>
        <w:rPr>
          <w:rFonts w:hint="eastAsia" w:asciiTheme="minorEastAsia" w:hAnsiTheme="minorEastAsia" w:eastAsiaTheme="minorEastAsia" w:cstheme="minorEastAsia"/>
          <w:sz w:val="28"/>
          <w:szCs w:val="28"/>
        </w:rPr>
        <w:t>，检查调整制动间隙、转向间隙，检测发动机工况、尾气后处理系统，排查电路线路，货箱栏板加固、矫正，底盘全面除锈、润滑。</w:t>
      </w:r>
    </w:p>
    <w:p w14:paraId="1E63C024">
      <w:pPr>
        <w:numPr>
          <w:ilvl w:val="0"/>
          <w:numId w:val="1"/>
        </w:numPr>
        <w:tabs>
          <w:tab w:val="left" w:pos="1140"/>
        </w:tabs>
        <w:spacing w:line="360" w:lineRule="auto"/>
        <w:ind w:left="0" w:firstLine="640"/>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季节性保养：夏季空调系统检修、发动机降温系统检测；冬季防冻液更换、暖风系统检修、制动管路防冻处理，适配福田车型季节运维需求。</w:t>
      </w:r>
    </w:p>
    <w:p w14:paraId="1BF86780">
      <w:pPr>
        <w:numPr>
          <w:ilvl w:val="0"/>
          <w:numId w:val="1"/>
        </w:numPr>
        <w:tabs>
          <w:tab w:val="left" w:pos="1140"/>
        </w:tabs>
        <w:spacing w:line="360" w:lineRule="auto"/>
        <w:ind w:left="0" w:firstLine="640"/>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里程达标保养：车辆每行驶10万公里，开展发动机正时系统、离合器片、刹车片深度检测，</w:t>
      </w:r>
      <w:r>
        <w:rPr>
          <w:rFonts w:hint="eastAsia" w:asciiTheme="minorEastAsia" w:hAnsiTheme="minorEastAsia" w:cstheme="minorEastAsia"/>
          <w:sz w:val="28"/>
          <w:szCs w:val="28"/>
          <w:lang w:val="en-US" w:eastAsia="zh-CN"/>
        </w:rPr>
        <w:t>变速箱系统检查，更换变速箱油，</w:t>
      </w:r>
      <w:r>
        <w:rPr>
          <w:rFonts w:hint="eastAsia" w:asciiTheme="minorEastAsia" w:hAnsiTheme="minorEastAsia" w:eastAsiaTheme="minorEastAsia" w:cstheme="minorEastAsia"/>
          <w:sz w:val="28"/>
          <w:szCs w:val="28"/>
        </w:rPr>
        <w:t>必要时更换原厂配件。</w:t>
      </w:r>
    </w:p>
    <w:p w14:paraId="7A8426C2">
      <w:pPr>
        <w:pStyle w:val="6"/>
      </w:pPr>
      <w:r>
        <w:t>3.</w:t>
      </w:r>
      <w:r>
        <w:rPr>
          <w:rFonts w:hint="eastAsia"/>
          <w:lang w:val="en-US" w:eastAsia="zh-CN"/>
        </w:rPr>
        <w:t>3</w:t>
      </w:r>
      <w:r>
        <w:t xml:space="preserve"> 故障维修服务</w:t>
      </w:r>
    </w:p>
    <w:p w14:paraId="34339348">
      <w:pPr>
        <w:numPr>
          <w:ilvl w:val="0"/>
          <w:numId w:val="2"/>
        </w:numPr>
        <w:tabs>
          <w:tab w:val="left" w:pos="1140"/>
        </w:tabs>
        <w:spacing w:line="360" w:lineRule="auto"/>
        <w:ind w:left="0" w:firstLine="640"/>
        <w:rPr>
          <w:rFonts w:hint="eastAsia" w:asciiTheme="minorEastAsia" w:hAnsiTheme="minorEastAsia" w:eastAsiaTheme="minorEastAsia" w:cstheme="minorEastAsia"/>
          <w:sz w:val="28"/>
          <w:szCs w:val="28"/>
          <w:lang w:val="en-US" w:eastAsia="zh-CN"/>
        </w:rPr>
      </w:pPr>
      <w:r>
        <w:rPr>
          <w:rFonts w:hint="eastAsia" w:asciiTheme="minorEastAsia" w:hAnsiTheme="minorEastAsia" w:eastAsiaTheme="minorEastAsia" w:cstheme="minorEastAsia"/>
          <w:sz w:val="28"/>
          <w:szCs w:val="28"/>
          <w:lang w:val="en-US" w:eastAsia="zh-CN"/>
        </w:rPr>
        <w:t>发动机系统：福田专属发动机异响、动力不足、漏油、水温高、启动故障、尿素系统故障维修，大修/中修，更换原厂活塞、气门、曲轴、油封、喷油嘴等部件。</w:t>
      </w:r>
    </w:p>
    <w:p w14:paraId="0FAD98B2">
      <w:pPr>
        <w:numPr>
          <w:ilvl w:val="0"/>
          <w:numId w:val="2"/>
        </w:numPr>
        <w:tabs>
          <w:tab w:val="left" w:pos="1140"/>
        </w:tabs>
        <w:spacing w:line="360" w:lineRule="auto"/>
        <w:ind w:left="0" w:firstLine="640"/>
        <w:rPr>
          <w:rFonts w:hint="eastAsia" w:asciiTheme="minorEastAsia" w:hAnsiTheme="minorEastAsia" w:eastAsiaTheme="minorEastAsia" w:cstheme="minorEastAsia"/>
          <w:sz w:val="28"/>
          <w:szCs w:val="28"/>
          <w:lang w:val="en-US" w:eastAsia="zh-CN"/>
        </w:rPr>
      </w:pPr>
      <w:r>
        <w:rPr>
          <w:rFonts w:hint="eastAsia" w:asciiTheme="minorEastAsia" w:hAnsiTheme="minorEastAsia" w:eastAsiaTheme="minorEastAsia" w:cstheme="minorEastAsia"/>
          <w:sz w:val="28"/>
          <w:szCs w:val="28"/>
          <w:lang w:val="en-US" w:eastAsia="zh-CN"/>
        </w:rPr>
        <w:t>底盘系统：重型气压制动系统（刹车片、刹车盘、制动总泵/分泵、制动管路、制动气室）维修更换，福田专属转向机、转向拉杆、球头调校维修，悬挂系统、后桥、变速箱故障维修，车架变形矫正、焊缝加固。</w:t>
      </w:r>
    </w:p>
    <w:p w14:paraId="1AC02B5E">
      <w:pPr>
        <w:numPr>
          <w:ilvl w:val="0"/>
          <w:numId w:val="2"/>
        </w:numPr>
        <w:tabs>
          <w:tab w:val="left" w:pos="1140"/>
        </w:tabs>
        <w:spacing w:line="360" w:lineRule="auto"/>
        <w:ind w:left="0" w:firstLine="640"/>
        <w:rPr>
          <w:rFonts w:hint="eastAsia" w:asciiTheme="minorEastAsia" w:hAnsiTheme="minorEastAsia" w:eastAsiaTheme="minorEastAsia" w:cstheme="minorEastAsia"/>
          <w:sz w:val="28"/>
          <w:szCs w:val="28"/>
          <w:lang w:val="en-US" w:eastAsia="zh-CN"/>
        </w:rPr>
      </w:pPr>
      <w:r>
        <w:rPr>
          <w:rFonts w:hint="eastAsia" w:asciiTheme="minorEastAsia" w:hAnsiTheme="minorEastAsia" w:eastAsiaTheme="minorEastAsia" w:cstheme="minorEastAsia"/>
          <w:sz w:val="28"/>
          <w:szCs w:val="28"/>
          <w:lang w:val="en-US" w:eastAsia="zh-CN"/>
        </w:rPr>
        <w:t>货箱栏板维修：栏板变形矫正、破损修补、合页/锁扣更换、立柱加固，货箱底板维修，保障栏板承重与闭合安全性。</w:t>
      </w:r>
    </w:p>
    <w:p w14:paraId="6602A904">
      <w:pPr>
        <w:numPr>
          <w:ilvl w:val="0"/>
          <w:numId w:val="2"/>
        </w:numPr>
        <w:tabs>
          <w:tab w:val="left" w:pos="1140"/>
        </w:tabs>
        <w:spacing w:line="360" w:lineRule="auto"/>
        <w:ind w:left="0" w:firstLine="640"/>
        <w:rPr>
          <w:rFonts w:hint="eastAsia" w:asciiTheme="minorEastAsia" w:hAnsiTheme="minorEastAsia" w:eastAsiaTheme="minorEastAsia" w:cstheme="minorEastAsia"/>
          <w:sz w:val="28"/>
          <w:szCs w:val="28"/>
          <w:lang w:val="en-US" w:eastAsia="zh-CN"/>
        </w:rPr>
      </w:pPr>
      <w:r>
        <w:rPr>
          <w:rFonts w:hint="eastAsia" w:asciiTheme="minorEastAsia" w:hAnsiTheme="minorEastAsia" w:eastAsiaTheme="minorEastAsia" w:cstheme="minorEastAsia"/>
          <w:sz w:val="28"/>
          <w:szCs w:val="28"/>
          <w:lang w:val="en-US" w:eastAsia="zh-CN"/>
        </w:rPr>
        <w:t>电路系统：福田原厂电路检修，仪表、电瓶、发电机、起动机、电控单元（ECU）故障排查，灯光系统、线路老化更换，杜绝电路短路、漏电。</w:t>
      </w:r>
    </w:p>
    <w:p w14:paraId="1210F473">
      <w:pPr>
        <w:numPr>
          <w:ilvl w:val="0"/>
          <w:numId w:val="2"/>
        </w:numPr>
        <w:tabs>
          <w:tab w:val="left" w:pos="1140"/>
        </w:tabs>
        <w:spacing w:line="360" w:lineRule="auto"/>
        <w:ind w:left="0" w:firstLine="640"/>
        <w:rPr>
          <w:rFonts w:hint="eastAsia" w:asciiTheme="minorEastAsia" w:hAnsiTheme="minorEastAsia" w:eastAsiaTheme="minorEastAsia" w:cstheme="minorEastAsia"/>
          <w:sz w:val="28"/>
          <w:szCs w:val="28"/>
          <w:lang w:val="en-US" w:eastAsia="zh-CN"/>
        </w:rPr>
      </w:pPr>
      <w:r>
        <w:rPr>
          <w:rFonts w:hint="eastAsia" w:asciiTheme="minorEastAsia" w:hAnsiTheme="minorEastAsia" w:eastAsiaTheme="minorEastAsia" w:cstheme="minorEastAsia"/>
          <w:sz w:val="28"/>
          <w:szCs w:val="28"/>
          <w:lang w:val="en-US" w:eastAsia="zh-CN"/>
        </w:rPr>
        <w:t>轮胎服务：轮胎修补、更换、动平衡、四轮定位，适配重型栏板货车载重需求。</w:t>
      </w:r>
    </w:p>
    <w:p w14:paraId="3FA6AC15">
      <w:pPr>
        <w:pStyle w:val="6"/>
      </w:pPr>
      <w:r>
        <w:t>3.</w:t>
      </w:r>
      <w:r>
        <w:rPr>
          <w:rFonts w:hint="eastAsia"/>
          <w:lang w:val="en-US" w:eastAsia="zh-CN"/>
        </w:rPr>
        <w:t>4</w:t>
      </w:r>
      <w:r>
        <w:t>应急抢修服务</w:t>
      </w:r>
    </w:p>
    <w:p w14:paraId="155FEDDA">
      <w:pPr>
        <w:numPr>
          <w:ilvl w:val="0"/>
          <w:numId w:val="3"/>
        </w:numPr>
        <w:tabs>
          <w:tab w:val="left" w:pos="1140"/>
        </w:tabs>
        <w:spacing w:line="360" w:lineRule="auto"/>
        <w:ind w:left="0" w:firstLine="640"/>
        <w:rPr>
          <w:rFonts w:hint="eastAsia" w:asciiTheme="minorEastAsia" w:hAnsiTheme="minorEastAsia" w:eastAsiaTheme="minorEastAsia" w:cstheme="minorEastAsia"/>
          <w:sz w:val="28"/>
          <w:szCs w:val="28"/>
          <w:lang w:val="en-US" w:eastAsia="zh-CN"/>
        </w:rPr>
      </w:pPr>
      <w:r>
        <w:rPr>
          <w:rFonts w:hint="eastAsia" w:asciiTheme="minorEastAsia" w:hAnsiTheme="minorEastAsia" w:eastAsiaTheme="minorEastAsia" w:cstheme="minorEastAsia"/>
          <w:sz w:val="28"/>
          <w:szCs w:val="28"/>
          <w:lang w:val="en-US" w:eastAsia="zh-CN"/>
        </w:rPr>
        <w:t>提供7×24小时全天候应急抢修，开通福田车型专属抢修热线，配备专用抢修车辆与工具。</w:t>
      </w:r>
    </w:p>
    <w:p w14:paraId="29F2D6DE">
      <w:pPr>
        <w:numPr>
          <w:ilvl w:val="0"/>
          <w:numId w:val="3"/>
        </w:numPr>
        <w:tabs>
          <w:tab w:val="left" w:pos="1140"/>
        </w:tabs>
        <w:spacing w:line="360" w:lineRule="auto"/>
        <w:ind w:left="0" w:firstLine="640"/>
        <w:rPr>
          <w:rFonts w:hint="eastAsia" w:asciiTheme="minorEastAsia" w:hAnsiTheme="minorEastAsia" w:eastAsiaTheme="minorEastAsia" w:cstheme="minorEastAsia"/>
          <w:sz w:val="28"/>
          <w:szCs w:val="28"/>
          <w:lang w:val="en-US" w:eastAsia="zh-CN"/>
        </w:rPr>
      </w:pPr>
      <w:r>
        <w:rPr>
          <w:rFonts w:hint="eastAsia" w:asciiTheme="minorEastAsia" w:hAnsiTheme="minorEastAsia" w:eastAsiaTheme="minorEastAsia" w:cstheme="minorEastAsia"/>
          <w:sz w:val="28"/>
          <w:szCs w:val="28"/>
          <w:lang w:val="en-US" w:eastAsia="zh-CN"/>
        </w:rPr>
        <w:t>响应时效：市区范围内30分钟内响应，1小时内到场；市郊/道路运输途中30分钟内响应，2小时内到场，现场快速排查维修，无法现场修复的，免费拖运至维修场地，优先安排抢修。</w:t>
      </w:r>
    </w:p>
    <w:p w14:paraId="3F9B08C1">
      <w:pPr>
        <w:numPr>
          <w:ilvl w:val="0"/>
          <w:numId w:val="3"/>
        </w:numPr>
        <w:tabs>
          <w:tab w:val="left" w:pos="1140"/>
        </w:tabs>
        <w:spacing w:line="360" w:lineRule="auto"/>
        <w:ind w:left="0" w:firstLine="640"/>
        <w:rPr>
          <w:rFonts w:hint="eastAsia" w:asciiTheme="minorEastAsia" w:hAnsiTheme="minorEastAsia" w:eastAsiaTheme="minorEastAsia" w:cstheme="minorEastAsia"/>
          <w:sz w:val="28"/>
          <w:szCs w:val="28"/>
          <w:lang w:val="en-US" w:eastAsia="zh-CN"/>
        </w:rPr>
      </w:pPr>
      <w:r>
        <w:rPr>
          <w:rFonts w:hint="eastAsia" w:asciiTheme="minorEastAsia" w:hAnsiTheme="minorEastAsia" w:eastAsiaTheme="minorEastAsia" w:cstheme="minorEastAsia"/>
          <w:sz w:val="28"/>
          <w:szCs w:val="28"/>
          <w:lang w:val="en-US" w:eastAsia="zh-CN"/>
        </w:rPr>
        <w:t>事故车辆应急维修：福田车型事故后</w:t>
      </w:r>
      <w:bookmarkStart w:id="14" w:name="_GoBack"/>
      <w:bookmarkEnd w:id="14"/>
      <w:r>
        <w:rPr>
          <w:rFonts w:hint="eastAsia" w:asciiTheme="minorEastAsia" w:hAnsiTheme="minorEastAsia" w:eastAsiaTheme="minorEastAsia" w:cstheme="minorEastAsia"/>
          <w:sz w:val="28"/>
          <w:szCs w:val="28"/>
          <w:lang w:val="en-US" w:eastAsia="zh-CN"/>
        </w:rPr>
        <w:t>钣金修复、漆面修补、核心部件紧急更换，协助定损与事故处理。</w:t>
      </w:r>
    </w:p>
    <w:p w14:paraId="07A22268">
      <w:pPr>
        <w:pStyle w:val="6"/>
        <w:rPr>
          <w:rFonts w:hint="default" w:eastAsia="等线"/>
          <w:lang w:val="en-US" w:eastAsia="zh-CN"/>
        </w:rPr>
      </w:pPr>
      <w:r>
        <w:t>3.</w:t>
      </w:r>
      <w:r>
        <w:rPr>
          <w:rFonts w:hint="eastAsia"/>
          <w:lang w:val="en-US" w:eastAsia="zh-CN"/>
        </w:rPr>
        <w:t>5车辆维保服务约定条款</w:t>
      </w:r>
    </w:p>
    <w:p w14:paraId="31130635">
      <w:pPr>
        <w:numPr>
          <w:ilvl w:val="0"/>
          <w:numId w:val="4"/>
        </w:numPr>
        <w:tabs>
          <w:tab w:val="left" w:pos="1140"/>
        </w:tabs>
        <w:spacing w:line="360" w:lineRule="auto"/>
        <w:ind w:left="0" w:firstLine="640"/>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车辆具备正常行驶条件时，由使用方自主将货车驾驶至</w:t>
      </w:r>
      <w:r>
        <w:rPr>
          <w:rFonts w:hint="eastAsia" w:asciiTheme="minorEastAsia" w:hAnsiTheme="minorEastAsia" w:eastAsiaTheme="minorEastAsia" w:cstheme="minorEastAsia"/>
          <w:sz w:val="28"/>
          <w:szCs w:val="28"/>
          <w:lang w:val="en-US" w:eastAsia="zh-CN"/>
        </w:rPr>
        <w:t>车辆维保服务商</w:t>
      </w:r>
      <w:r>
        <w:rPr>
          <w:rFonts w:hint="eastAsia" w:ascii="宋体" w:hAnsi="宋体" w:eastAsia="宋体" w:cs="宋体"/>
          <w:color w:val="auto"/>
          <w:sz w:val="28"/>
          <w:szCs w:val="28"/>
          <w:highlight w:val="none"/>
          <w:lang w:val="en-US" w:eastAsia="zh-CN"/>
        </w:rPr>
        <w:t>指定维保服务网点，开展维修保养作业，往返交通及车辆调度由使用方负责。</w:t>
      </w:r>
    </w:p>
    <w:p w14:paraId="6ADC08D1">
      <w:pPr>
        <w:numPr>
          <w:ilvl w:val="0"/>
          <w:numId w:val="4"/>
        </w:numPr>
        <w:tabs>
          <w:tab w:val="left" w:pos="1140"/>
        </w:tabs>
        <w:spacing w:line="360" w:lineRule="auto"/>
        <w:ind w:left="0" w:firstLine="640"/>
        <w:rPr>
          <w:rFonts w:hint="default"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车辆出现故障、损毁等无法正常行驶的情形，使用方及时告知</w:t>
      </w:r>
      <w:r>
        <w:rPr>
          <w:rFonts w:hint="eastAsia" w:asciiTheme="minorEastAsia" w:hAnsiTheme="minorEastAsia" w:eastAsiaTheme="minorEastAsia" w:cstheme="minorEastAsia"/>
          <w:sz w:val="28"/>
          <w:szCs w:val="28"/>
          <w:lang w:val="en-US" w:eastAsia="zh-CN"/>
        </w:rPr>
        <w:t>车辆维保服务商</w:t>
      </w:r>
      <w:r>
        <w:rPr>
          <w:rFonts w:hint="eastAsia" w:ascii="宋体" w:hAnsi="宋体" w:eastAsia="宋体" w:cs="宋体"/>
          <w:color w:val="auto"/>
          <w:sz w:val="28"/>
          <w:szCs w:val="28"/>
          <w:highlight w:val="none"/>
          <w:lang w:val="en-US" w:eastAsia="zh-CN"/>
        </w:rPr>
        <w:t>后，</w:t>
      </w:r>
      <w:r>
        <w:rPr>
          <w:rFonts w:hint="eastAsia" w:asciiTheme="minorEastAsia" w:hAnsiTheme="minorEastAsia" w:eastAsiaTheme="minorEastAsia" w:cstheme="minorEastAsia"/>
          <w:sz w:val="28"/>
          <w:szCs w:val="28"/>
          <w:lang w:val="en-US" w:eastAsia="zh-CN"/>
        </w:rPr>
        <w:t>车辆维保服务商</w:t>
      </w:r>
      <w:r>
        <w:rPr>
          <w:rFonts w:hint="eastAsia" w:ascii="宋体" w:hAnsi="宋体" w:eastAsia="宋体" w:cs="宋体"/>
          <w:color w:val="auto"/>
          <w:sz w:val="28"/>
          <w:szCs w:val="28"/>
          <w:highlight w:val="none"/>
          <w:lang w:val="en-US" w:eastAsia="zh-CN"/>
        </w:rPr>
        <w:t>需安排人员、设备前往货车停放现场开展上门维修、抢修服务或提供免费拖车服务将货车拖到服务网点维修。</w:t>
      </w:r>
    </w:p>
    <w:p w14:paraId="27137AC0">
      <w:pPr>
        <w:pStyle w:val="5"/>
      </w:pPr>
      <w:r>
        <w:t>四、维保技术标准及质量要求</w:t>
      </w:r>
    </w:p>
    <w:p w14:paraId="2C339174">
      <w:pPr>
        <w:pStyle w:val="6"/>
      </w:pPr>
      <w:r>
        <w:t>4.1 福田专属技术标准</w:t>
      </w:r>
    </w:p>
    <w:p w14:paraId="2B43C96F">
      <w:pPr>
        <w:numPr>
          <w:ilvl w:val="0"/>
          <w:numId w:val="5"/>
        </w:numPr>
        <w:tabs>
          <w:tab w:val="left" w:pos="1140"/>
        </w:tabs>
        <w:spacing w:line="360" w:lineRule="auto"/>
        <w:ind w:left="0" w:firstLine="640"/>
        <w:rPr>
          <w:rFonts w:hint="eastAsia" w:asciiTheme="minorEastAsia" w:hAnsiTheme="minorEastAsia" w:eastAsiaTheme="minorEastAsia" w:cstheme="minorEastAsia"/>
          <w:sz w:val="28"/>
          <w:szCs w:val="28"/>
          <w:lang w:val="en-US" w:eastAsia="zh-CN"/>
        </w:rPr>
      </w:pPr>
      <w:r>
        <w:rPr>
          <w:rFonts w:hint="eastAsia" w:asciiTheme="minorEastAsia" w:hAnsiTheme="minorEastAsia" w:eastAsiaTheme="minorEastAsia" w:cstheme="minorEastAsia"/>
          <w:sz w:val="28"/>
          <w:szCs w:val="28"/>
          <w:lang w:val="en-US" w:eastAsia="zh-CN"/>
        </w:rPr>
        <w:t>所有维保作业严格执行福田商用车原厂维修技术规范，匹配车型专属参数、维修工艺，不得采用非标维修方式。</w:t>
      </w:r>
    </w:p>
    <w:p w14:paraId="53A06AFF">
      <w:pPr>
        <w:numPr>
          <w:ilvl w:val="0"/>
          <w:numId w:val="5"/>
        </w:numPr>
        <w:tabs>
          <w:tab w:val="left" w:pos="1140"/>
        </w:tabs>
        <w:spacing w:line="360" w:lineRule="auto"/>
        <w:ind w:left="0" w:firstLine="640"/>
        <w:rPr>
          <w:rFonts w:hint="eastAsia" w:asciiTheme="minorEastAsia" w:hAnsiTheme="minorEastAsia" w:eastAsiaTheme="minorEastAsia" w:cstheme="minorEastAsia"/>
          <w:sz w:val="28"/>
          <w:szCs w:val="28"/>
          <w:lang w:val="en-US" w:eastAsia="zh-CN"/>
        </w:rPr>
      </w:pPr>
      <w:r>
        <w:rPr>
          <w:rFonts w:hint="eastAsia" w:asciiTheme="minorEastAsia" w:hAnsiTheme="minorEastAsia" w:eastAsiaTheme="minorEastAsia" w:cstheme="minorEastAsia"/>
          <w:sz w:val="28"/>
          <w:szCs w:val="28"/>
          <w:lang w:val="en-US" w:eastAsia="zh-CN"/>
        </w:rPr>
        <w:t>维修前使用福田专用检测设备，精准诊断故障，杜绝盲目拆修；维修过程符合安全操作规范，保护车辆原厂结构。</w:t>
      </w:r>
    </w:p>
    <w:p w14:paraId="57C5DA88">
      <w:pPr>
        <w:pStyle w:val="6"/>
        <w:rPr>
          <w:rFonts w:hint="eastAsia"/>
        </w:rPr>
      </w:pPr>
      <w:bookmarkStart w:id="0" w:name="_Toc7614"/>
      <w:r>
        <w:rPr>
          <w:rFonts w:hint="eastAsia"/>
          <w:lang w:val="en-US" w:eastAsia="zh-CN"/>
        </w:rPr>
        <w:t>4.2</w:t>
      </w:r>
      <w:r>
        <w:rPr>
          <w:rFonts w:hint="eastAsia"/>
        </w:rPr>
        <w:t>维修质量管理要求</w:t>
      </w:r>
      <w:bookmarkEnd w:id="0"/>
    </w:p>
    <w:p w14:paraId="1426B1CF">
      <w:pPr>
        <w:numPr>
          <w:ilvl w:val="0"/>
          <w:numId w:val="6"/>
        </w:numPr>
        <w:tabs>
          <w:tab w:val="left" w:pos="1140"/>
        </w:tabs>
        <w:spacing w:line="360" w:lineRule="auto"/>
        <w:ind w:left="0" w:firstLine="64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在车辆维修作业中，严格执行作业规范和检验制度。</w:t>
      </w:r>
    </w:p>
    <w:p w14:paraId="114B2A5F">
      <w:pPr>
        <w:numPr>
          <w:ilvl w:val="0"/>
          <w:numId w:val="6"/>
        </w:numPr>
        <w:tabs>
          <w:tab w:val="left" w:pos="1140"/>
        </w:tabs>
        <w:spacing w:line="360" w:lineRule="auto"/>
        <w:ind w:left="0" w:firstLine="64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认真填写、整理车辆技术档案和维修档案，按规定签发竣工出厂合格证。</w:t>
      </w:r>
    </w:p>
    <w:p w14:paraId="1FA60238">
      <w:pPr>
        <w:numPr>
          <w:ilvl w:val="0"/>
          <w:numId w:val="6"/>
        </w:numPr>
        <w:tabs>
          <w:tab w:val="left" w:pos="1140"/>
        </w:tabs>
        <w:spacing w:line="360" w:lineRule="auto"/>
        <w:ind w:left="0" w:firstLine="64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维修中坚决杜绝使用假冒伪劣配件。</w:t>
      </w:r>
    </w:p>
    <w:p w14:paraId="4329FFFB">
      <w:pPr>
        <w:numPr>
          <w:ilvl w:val="0"/>
          <w:numId w:val="6"/>
        </w:numPr>
        <w:tabs>
          <w:tab w:val="left" w:pos="1140"/>
        </w:tabs>
        <w:spacing w:line="360" w:lineRule="auto"/>
        <w:ind w:left="0" w:firstLine="64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按国家及行业发布的相关规定执行作业，并必须符合车辆管理部门安全检验标准的要求。</w:t>
      </w:r>
    </w:p>
    <w:p w14:paraId="47A91F40">
      <w:pPr>
        <w:numPr>
          <w:ilvl w:val="0"/>
          <w:numId w:val="6"/>
        </w:numPr>
        <w:tabs>
          <w:tab w:val="left" w:pos="1140"/>
        </w:tabs>
        <w:spacing w:line="360" w:lineRule="auto"/>
        <w:ind w:left="0" w:firstLine="64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建立采购配件登记制度，记录购买日期、供应商名称、地址、产品名称及规格型号等，并查验产品合格证等相关证明。</w:t>
      </w:r>
    </w:p>
    <w:p w14:paraId="073ED5D4">
      <w:pPr>
        <w:numPr>
          <w:ilvl w:val="0"/>
          <w:numId w:val="6"/>
        </w:numPr>
        <w:tabs>
          <w:tab w:val="left" w:pos="1140"/>
        </w:tabs>
        <w:spacing w:line="360" w:lineRule="auto"/>
        <w:ind w:left="0" w:firstLine="64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不得使用假冒伪劣配件维修机动车，维修时将原厂配件、副厂配件和修复配件分别标识，明码标价，供用户选择，对于换下的配件、总成，承诺交需求</w:t>
      </w:r>
      <w:r>
        <w:rPr>
          <w:rFonts w:hint="eastAsia" w:ascii="宋体" w:hAnsi="宋体" w:eastAsia="宋体" w:cs="宋体"/>
          <w:color w:val="auto"/>
          <w:sz w:val="28"/>
          <w:szCs w:val="28"/>
          <w:highlight w:val="none"/>
          <w:lang w:val="en-US" w:eastAsia="zh-CN"/>
        </w:rPr>
        <w:t>单位</w:t>
      </w:r>
      <w:r>
        <w:rPr>
          <w:rFonts w:hint="eastAsia" w:ascii="宋体" w:hAnsi="宋体" w:eastAsia="宋体" w:cs="宋体"/>
          <w:color w:val="auto"/>
          <w:sz w:val="28"/>
          <w:szCs w:val="28"/>
          <w:highlight w:val="none"/>
        </w:rPr>
        <w:t>自行处理。</w:t>
      </w:r>
    </w:p>
    <w:p w14:paraId="04CFCB84">
      <w:pPr>
        <w:numPr>
          <w:ilvl w:val="0"/>
          <w:numId w:val="6"/>
        </w:numPr>
        <w:tabs>
          <w:tab w:val="left" w:pos="1140"/>
        </w:tabs>
        <w:spacing w:line="360" w:lineRule="auto"/>
        <w:ind w:left="0" w:firstLine="64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对机动车进行二级维护、总成修理、整车修理的，实行维修前诊断检验、维修过程检验和竣工质量检验制度。</w:t>
      </w:r>
    </w:p>
    <w:p w14:paraId="4CBFA4FE">
      <w:pPr>
        <w:numPr>
          <w:ilvl w:val="0"/>
          <w:numId w:val="6"/>
        </w:numPr>
        <w:tabs>
          <w:tab w:val="left" w:pos="1140"/>
        </w:tabs>
        <w:spacing w:line="360" w:lineRule="auto"/>
        <w:ind w:left="0" w:firstLine="64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机动车维修竣工质量检验符合有关标准。对在检定有效期内的设备，按照有关标准进行检测，如实提供检测结果证明，并对检测结果承担法律责任。</w:t>
      </w:r>
    </w:p>
    <w:p w14:paraId="0D7F7187">
      <w:pPr>
        <w:numPr>
          <w:ilvl w:val="0"/>
          <w:numId w:val="6"/>
        </w:numPr>
        <w:tabs>
          <w:tab w:val="left" w:pos="1140"/>
        </w:tabs>
        <w:spacing w:line="360" w:lineRule="auto"/>
        <w:ind w:left="0" w:firstLine="64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机动车维修竣工质量检验合格的，服务单位和质量检验人员对机动车维修竣工出厂合格证盖章、签字，未签发机动车维修竣工出厂合格证的机动车，不得交付使用，需求</w:t>
      </w:r>
      <w:r>
        <w:rPr>
          <w:rFonts w:hint="eastAsia" w:ascii="宋体" w:hAnsi="宋体" w:eastAsia="宋体" w:cs="宋体"/>
          <w:color w:val="auto"/>
          <w:sz w:val="28"/>
          <w:szCs w:val="28"/>
          <w:highlight w:val="none"/>
          <w:lang w:val="en-US" w:eastAsia="zh-CN"/>
        </w:rPr>
        <w:t>单位</w:t>
      </w:r>
      <w:r>
        <w:rPr>
          <w:rFonts w:hint="eastAsia" w:ascii="宋体" w:hAnsi="宋体" w:eastAsia="宋体" w:cs="宋体"/>
          <w:color w:val="auto"/>
          <w:sz w:val="28"/>
          <w:szCs w:val="28"/>
          <w:highlight w:val="none"/>
        </w:rPr>
        <w:t>可以拒绝付费或接车。</w:t>
      </w:r>
    </w:p>
    <w:p w14:paraId="6F3DBFAD">
      <w:pPr>
        <w:numPr>
          <w:ilvl w:val="0"/>
          <w:numId w:val="6"/>
        </w:numPr>
        <w:tabs>
          <w:tab w:val="left" w:pos="1140"/>
        </w:tabs>
        <w:spacing w:line="360" w:lineRule="auto"/>
        <w:ind w:left="0" w:firstLine="64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必须保证维修质量，健全</w:t>
      </w:r>
      <w:r>
        <w:rPr>
          <w:rFonts w:hint="eastAsia" w:ascii="宋体" w:hAnsi="宋体" w:eastAsia="宋体" w:cs="宋体"/>
          <w:color w:val="auto"/>
          <w:sz w:val="28"/>
          <w:szCs w:val="28"/>
          <w:highlight w:val="none"/>
          <w:lang w:eastAsia="zh-CN"/>
        </w:rPr>
        <w:t>车辆</w:t>
      </w:r>
      <w:r>
        <w:rPr>
          <w:rFonts w:hint="eastAsia" w:ascii="宋体" w:hAnsi="宋体" w:eastAsia="宋体" w:cs="宋体"/>
          <w:color w:val="auto"/>
          <w:sz w:val="28"/>
          <w:szCs w:val="28"/>
          <w:highlight w:val="none"/>
        </w:rPr>
        <w:t>维修质量检验制度， 配备专职检验人员和必要的检验设备。凡进行大修和解体维修的车辆出厂时，向需求单位提供全部技术档案、出厂合格证等技术文件。</w:t>
      </w:r>
    </w:p>
    <w:p w14:paraId="094354BA">
      <w:pPr>
        <w:numPr>
          <w:ilvl w:val="0"/>
          <w:numId w:val="6"/>
        </w:numPr>
        <w:tabs>
          <w:tab w:val="left" w:pos="1140"/>
        </w:tabs>
        <w:spacing w:line="360" w:lineRule="auto"/>
        <w:ind w:left="0" w:firstLine="64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对机动车维修档案保存期为不少于</w:t>
      </w:r>
      <w:r>
        <w:rPr>
          <w:rFonts w:hint="eastAsia" w:ascii="宋体" w:hAnsi="宋体" w:eastAsia="宋体" w:cs="宋体"/>
          <w:color w:val="auto"/>
          <w:sz w:val="28"/>
          <w:szCs w:val="28"/>
          <w:highlight w:val="none"/>
          <w:lang w:val="en-US" w:eastAsia="zh-CN"/>
        </w:rPr>
        <w:t>3</w:t>
      </w:r>
      <w:r>
        <w:rPr>
          <w:rFonts w:hint="eastAsia" w:ascii="宋体" w:hAnsi="宋体" w:eastAsia="宋体" w:cs="宋体"/>
          <w:color w:val="auto"/>
          <w:sz w:val="28"/>
          <w:szCs w:val="28"/>
          <w:highlight w:val="none"/>
        </w:rPr>
        <w:t>年。</w:t>
      </w:r>
    </w:p>
    <w:p w14:paraId="67EA520C">
      <w:pPr>
        <w:pStyle w:val="6"/>
        <w:rPr>
          <w:rFonts w:hint="eastAsia"/>
          <w:lang w:val="en-US" w:eastAsia="zh-CN"/>
        </w:rPr>
      </w:pPr>
      <w:bookmarkStart w:id="1" w:name="_Toc28315"/>
      <w:r>
        <w:rPr>
          <w:rFonts w:hint="eastAsia"/>
          <w:lang w:val="en-US" w:eastAsia="zh-CN"/>
        </w:rPr>
        <w:t>4.3车辆维修检验制度</w:t>
      </w:r>
      <w:bookmarkEnd w:id="1"/>
    </w:p>
    <w:p w14:paraId="7290C05A">
      <w:pPr>
        <w:numPr>
          <w:ilvl w:val="0"/>
          <w:numId w:val="7"/>
        </w:numPr>
        <w:tabs>
          <w:tab w:val="left" w:pos="1140"/>
        </w:tabs>
        <w:spacing w:line="360" w:lineRule="auto"/>
        <w:ind w:left="859" w:hanging="229"/>
        <w:rPr>
          <w:rFonts w:hint="eastAsia" w:ascii="宋体" w:hAnsi="宋体" w:eastAsia="宋体" w:cs="宋体"/>
          <w:color w:val="auto"/>
          <w:sz w:val="28"/>
          <w:szCs w:val="28"/>
          <w:highlight w:val="none"/>
        </w:rPr>
      </w:pPr>
      <w:bookmarkStart w:id="2" w:name="_Toc3913"/>
      <w:r>
        <w:rPr>
          <w:rFonts w:hint="eastAsia" w:ascii="宋体" w:hAnsi="宋体" w:eastAsia="宋体" w:cs="宋体"/>
          <w:color w:val="auto"/>
          <w:sz w:val="28"/>
          <w:szCs w:val="28"/>
          <w:highlight w:val="none"/>
          <w:lang w:val="en-US" w:eastAsia="zh-CN"/>
        </w:rPr>
        <w:t>车辆</w:t>
      </w:r>
      <w:r>
        <w:rPr>
          <w:rFonts w:hint="eastAsia" w:ascii="宋体" w:hAnsi="宋体" w:eastAsia="宋体" w:cs="宋体"/>
          <w:color w:val="auto"/>
          <w:sz w:val="28"/>
          <w:szCs w:val="28"/>
          <w:highlight w:val="none"/>
        </w:rPr>
        <w:t>进厂检验制度</w:t>
      </w:r>
      <w:bookmarkEnd w:id="2"/>
    </w:p>
    <w:p w14:paraId="543B55D2">
      <w:pPr>
        <w:spacing w:line="360" w:lineRule="auto"/>
        <w:ind w:firstLine="560" w:firstLineChars="200"/>
        <w:rPr>
          <w:rFonts w:hint="eastAsia" w:ascii="宋体" w:hAnsi="宋体" w:eastAsia="宋体" w:cs="宋体"/>
          <w:color w:val="auto"/>
          <w:kern w:val="0"/>
          <w:sz w:val="28"/>
          <w:szCs w:val="28"/>
          <w:highlight w:val="none"/>
        </w:rPr>
      </w:pPr>
      <w:r>
        <w:rPr>
          <w:rFonts w:hint="eastAsia" w:ascii="宋体" w:hAnsi="宋体" w:eastAsia="宋体" w:cs="宋体"/>
          <w:color w:val="auto"/>
          <w:kern w:val="0"/>
          <w:sz w:val="28"/>
          <w:szCs w:val="28"/>
          <w:highlight w:val="none"/>
        </w:rPr>
        <w:t>车辆送修时，应具有保修内容及相关技术档案资料。</w:t>
      </w:r>
    </w:p>
    <w:p w14:paraId="7388B1FB">
      <w:pPr>
        <w:spacing w:line="360" w:lineRule="auto"/>
        <w:ind w:firstLine="560" w:firstLineChars="200"/>
        <w:rPr>
          <w:rFonts w:hint="eastAsia" w:ascii="宋体" w:hAnsi="宋体" w:eastAsia="宋体" w:cs="宋体"/>
          <w:color w:val="auto"/>
          <w:kern w:val="0"/>
          <w:sz w:val="28"/>
          <w:szCs w:val="28"/>
          <w:highlight w:val="none"/>
        </w:rPr>
      </w:pPr>
      <w:r>
        <w:rPr>
          <w:rFonts w:hint="eastAsia" w:ascii="宋体" w:hAnsi="宋体" w:eastAsia="宋体" w:cs="宋体"/>
          <w:color w:val="auto"/>
          <w:kern w:val="0"/>
          <w:sz w:val="28"/>
          <w:szCs w:val="28"/>
          <w:highlight w:val="none"/>
        </w:rPr>
        <w:t>业务接待人员和检验人员负责对送修车辆进行预检。</w:t>
      </w:r>
    </w:p>
    <w:p w14:paraId="463D0D94">
      <w:pPr>
        <w:spacing w:line="360" w:lineRule="auto"/>
        <w:ind w:firstLine="560" w:firstLineChars="200"/>
        <w:rPr>
          <w:rFonts w:hint="eastAsia" w:ascii="宋体" w:hAnsi="宋体" w:eastAsia="宋体" w:cs="宋体"/>
          <w:color w:val="auto"/>
          <w:kern w:val="0"/>
          <w:sz w:val="28"/>
          <w:szCs w:val="28"/>
          <w:highlight w:val="none"/>
        </w:rPr>
      </w:pPr>
      <w:r>
        <w:rPr>
          <w:rFonts w:hint="eastAsia" w:ascii="宋体" w:hAnsi="宋体" w:eastAsia="宋体" w:cs="宋体"/>
          <w:color w:val="auto"/>
          <w:kern w:val="0"/>
          <w:sz w:val="28"/>
          <w:szCs w:val="28"/>
          <w:highlight w:val="none"/>
        </w:rPr>
        <w:t>车辆预检时，根据驾驶员的反映及该技术档案和维修档案，通过检测或测试、检查，确定基本作业内容，并告知需求单位。</w:t>
      </w:r>
    </w:p>
    <w:p w14:paraId="14629CAF">
      <w:pPr>
        <w:spacing w:line="360" w:lineRule="auto"/>
        <w:ind w:firstLine="560" w:firstLineChars="200"/>
        <w:rPr>
          <w:rFonts w:hint="eastAsia" w:ascii="宋体" w:hAnsi="宋体" w:eastAsia="宋体" w:cs="宋体"/>
          <w:color w:val="auto"/>
          <w:kern w:val="0"/>
          <w:sz w:val="28"/>
          <w:szCs w:val="28"/>
          <w:highlight w:val="none"/>
        </w:rPr>
      </w:pPr>
      <w:r>
        <w:rPr>
          <w:rFonts w:hint="eastAsia" w:ascii="宋体" w:hAnsi="宋体" w:eastAsia="宋体" w:cs="宋体"/>
          <w:color w:val="auto"/>
          <w:kern w:val="0"/>
          <w:sz w:val="28"/>
          <w:szCs w:val="28"/>
          <w:highlight w:val="none"/>
        </w:rPr>
        <w:t>得到需求单位确认后，办理入场手续。随车使用的工具和备用品，不属于</w:t>
      </w:r>
      <w:r>
        <w:rPr>
          <w:rFonts w:hint="eastAsia" w:ascii="宋体" w:hAnsi="宋体" w:eastAsia="宋体" w:cs="宋体"/>
          <w:color w:val="auto"/>
          <w:kern w:val="0"/>
          <w:sz w:val="28"/>
          <w:szCs w:val="28"/>
          <w:highlight w:val="none"/>
          <w:lang w:eastAsia="zh-CN"/>
        </w:rPr>
        <w:t>车辆</w:t>
      </w:r>
      <w:r>
        <w:rPr>
          <w:rFonts w:hint="eastAsia" w:ascii="宋体" w:hAnsi="宋体" w:eastAsia="宋体" w:cs="宋体"/>
          <w:color w:val="auto"/>
          <w:kern w:val="0"/>
          <w:sz w:val="28"/>
          <w:szCs w:val="28"/>
          <w:highlight w:val="none"/>
        </w:rPr>
        <w:t>附件范围的应由需求单位自行保管。</w:t>
      </w:r>
    </w:p>
    <w:p w14:paraId="08957492">
      <w:pPr>
        <w:numPr>
          <w:ilvl w:val="0"/>
          <w:numId w:val="7"/>
        </w:numPr>
        <w:tabs>
          <w:tab w:val="left" w:pos="1140"/>
        </w:tabs>
        <w:spacing w:line="360" w:lineRule="auto"/>
        <w:ind w:left="859" w:hanging="229"/>
        <w:rPr>
          <w:rFonts w:hint="eastAsia" w:ascii="宋体" w:hAnsi="宋体" w:eastAsia="宋体" w:cs="宋体"/>
          <w:color w:val="auto"/>
          <w:sz w:val="28"/>
          <w:szCs w:val="28"/>
          <w:highlight w:val="none"/>
        </w:rPr>
      </w:pPr>
      <w:bookmarkStart w:id="3" w:name="_Toc20315"/>
      <w:r>
        <w:rPr>
          <w:rFonts w:hint="eastAsia" w:ascii="宋体" w:hAnsi="宋体" w:eastAsia="宋体" w:cs="宋体"/>
          <w:color w:val="auto"/>
          <w:sz w:val="28"/>
          <w:szCs w:val="28"/>
          <w:highlight w:val="none"/>
          <w:lang w:val="en-US" w:eastAsia="zh-CN"/>
        </w:rPr>
        <w:t>车辆</w:t>
      </w:r>
      <w:r>
        <w:rPr>
          <w:rFonts w:hint="eastAsia" w:ascii="宋体" w:hAnsi="宋体" w:eastAsia="宋体" w:cs="宋体"/>
          <w:color w:val="auto"/>
          <w:sz w:val="28"/>
          <w:szCs w:val="28"/>
          <w:highlight w:val="none"/>
        </w:rPr>
        <w:t>维修过程检验制度</w:t>
      </w:r>
      <w:bookmarkEnd w:id="3"/>
    </w:p>
    <w:p w14:paraId="6B291175">
      <w:pPr>
        <w:spacing w:line="360" w:lineRule="auto"/>
        <w:ind w:firstLine="560" w:firstLineChars="200"/>
        <w:rPr>
          <w:rFonts w:hint="eastAsia" w:ascii="宋体" w:hAnsi="宋体" w:eastAsia="宋体" w:cs="宋体"/>
          <w:color w:val="auto"/>
          <w:kern w:val="0"/>
          <w:sz w:val="28"/>
          <w:szCs w:val="28"/>
          <w:highlight w:val="none"/>
        </w:rPr>
      </w:pPr>
      <w:r>
        <w:rPr>
          <w:rFonts w:hint="eastAsia" w:ascii="宋体" w:hAnsi="宋体" w:eastAsia="宋体" w:cs="宋体"/>
          <w:color w:val="auto"/>
          <w:sz w:val="28"/>
          <w:szCs w:val="28"/>
          <w:highlight w:val="none"/>
        </w:rPr>
        <w:t>过程检验实</w:t>
      </w:r>
      <w:r>
        <w:rPr>
          <w:rFonts w:hint="eastAsia" w:ascii="宋体" w:hAnsi="宋体" w:eastAsia="宋体" w:cs="宋体"/>
          <w:color w:val="auto"/>
          <w:kern w:val="0"/>
          <w:sz w:val="28"/>
          <w:szCs w:val="28"/>
          <w:highlight w:val="none"/>
        </w:rPr>
        <w:t>行自检、互检和专职检验相结合的三检制度。</w:t>
      </w:r>
    </w:p>
    <w:p w14:paraId="74697D2D">
      <w:pPr>
        <w:spacing w:line="360" w:lineRule="auto"/>
        <w:ind w:firstLine="560" w:firstLineChars="200"/>
        <w:rPr>
          <w:rFonts w:hint="eastAsia" w:ascii="宋体" w:hAnsi="宋体" w:eastAsia="宋体" w:cs="宋体"/>
          <w:color w:val="auto"/>
          <w:kern w:val="0"/>
          <w:sz w:val="28"/>
          <w:szCs w:val="28"/>
          <w:highlight w:val="none"/>
        </w:rPr>
      </w:pPr>
      <w:r>
        <w:rPr>
          <w:rFonts w:hint="eastAsia" w:ascii="宋体" w:hAnsi="宋体" w:eastAsia="宋体" w:cs="宋体"/>
          <w:color w:val="auto"/>
          <w:kern w:val="0"/>
          <w:sz w:val="28"/>
          <w:szCs w:val="28"/>
          <w:highlight w:val="none"/>
        </w:rPr>
        <w:t>检验内容为</w:t>
      </w:r>
      <w:r>
        <w:rPr>
          <w:rFonts w:hint="eastAsia" w:ascii="宋体" w:hAnsi="宋体" w:eastAsia="宋体" w:cs="宋体"/>
          <w:color w:val="auto"/>
          <w:kern w:val="0"/>
          <w:sz w:val="28"/>
          <w:szCs w:val="28"/>
          <w:highlight w:val="none"/>
          <w:lang w:eastAsia="zh-CN"/>
        </w:rPr>
        <w:t>车辆</w:t>
      </w:r>
      <w:r>
        <w:rPr>
          <w:rFonts w:hint="eastAsia" w:ascii="宋体" w:hAnsi="宋体" w:eastAsia="宋体" w:cs="宋体"/>
          <w:color w:val="auto"/>
          <w:kern w:val="0"/>
          <w:sz w:val="28"/>
          <w:szCs w:val="28"/>
          <w:highlight w:val="none"/>
        </w:rPr>
        <w:t>或总成解体、清洗过程中的检验，主要零部件的检验，各总成组装、调试检验。</w:t>
      </w:r>
    </w:p>
    <w:p w14:paraId="214E0A39">
      <w:pPr>
        <w:spacing w:line="360" w:lineRule="auto"/>
        <w:ind w:firstLine="560" w:firstLineChars="200"/>
        <w:rPr>
          <w:rFonts w:hint="eastAsia" w:ascii="宋体" w:hAnsi="宋体" w:eastAsia="宋体" w:cs="宋体"/>
          <w:color w:val="auto"/>
          <w:kern w:val="0"/>
          <w:sz w:val="28"/>
          <w:szCs w:val="28"/>
          <w:highlight w:val="none"/>
        </w:rPr>
      </w:pPr>
      <w:r>
        <w:rPr>
          <w:rFonts w:hint="eastAsia" w:ascii="宋体" w:hAnsi="宋体" w:eastAsia="宋体" w:cs="宋体"/>
          <w:color w:val="auto"/>
          <w:kern w:val="0"/>
          <w:sz w:val="28"/>
          <w:szCs w:val="28"/>
          <w:highlight w:val="none"/>
        </w:rPr>
        <w:t>各检验人员根据分工，严格依据检验标准、检验方法认真检验，做好检验记录。</w:t>
      </w:r>
    </w:p>
    <w:p w14:paraId="5C98ABE0">
      <w:pPr>
        <w:spacing w:line="360" w:lineRule="auto"/>
        <w:ind w:firstLine="560" w:firstLineChars="200"/>
        <w:rPr>
          <w:rFonts w:hint="eastAsia" w:ascii="宋体" w:hAnsi="宋体" w:eastAsia="宋体" w:cs="宋体"/>
          <w:color w:val="auto"/>
          <w:kern w:val="0"/>
          <w:sz w:val="28"/>
          <w:szCs w:val="28"/>
          <w:highlight w:val="none"/>
        </w:rPr>
      </w:pPr>
      <w:r>
        <w:rPr>
          <w:rFonts w:hint="eastAsia" w:ascii="宋体" w:hAnsi="宋体" w:eastAsia="宋体" w:cs="宋体"/>
          <w:color w:val="auto"/>
          <w:sz w:val="28"/>
          <w:szCs w:val="28"/>
          <w:highlight w:val="none"/>
        </w:rPr>
        <w:t>经检验不合</w:t>
      </w:r>
      <w:r>
        <w:rPr>
          <w:rFonts w:hint="eastAsia" w:ascii="宋体" w:hAnsi="宋体" w:eastAsia="宋体" w:cs="宋体"/>
          <w:color w:val="auto"/>
          <w:kern w:val="0"/>
          <w:sz w:val="28"/>
          <w:szCs w:val="28"/>
          <w:highlight w:val="none"/>
        </w:rPr>
        <w:t>格的作业项目，需重新作业，不得进入下一道工序。</w:t>
      </w:r>
    </w:p>
    <w:p w14:paraId="5A6CFDD4">
      <w:pPr>
        <w:spacing w:line="360" w:lineRule="auto"/>
        <w:ind w:firstLine="560" w:firstLineChars="200"/>
        <w:rPr>
          <w:rFonts w:hint="eastAsia" w:ascii="宋体" w:hAnsi="宋体" w:eastAsia="宋体" w:cs="宋体"/>
          <w:color w:val="auto"/>
          <w:kern w:val="0"/>
          <w:sz w:val="28"/>
          <w:szCs w:val="28"/>
          <w:highlight w:val="none"/>
        </w:rPr>
      </w:pPr>
      <w:r>
        <w:rPr>
          <w:rFonts w:hint="eastAsia" w:ascii="宋体" w:hAnsi="宋体" w:eastAsia="宋体" w:cs="宋体"/>
          <w:color w:val="auto"/>
          <w:kern w:val="0"/>
          <w:sz w:val="28"/>
          <w:szCs w:val="28"/>
          <w:highlight w:val="none"/>
        </w:rPr>
        <w:t>对于影响安全行车的零部件，严格控制使用标准，对不符要求的零部件应予以维修或更换，及时通知需求单位。</w:t>
      </w:r>
    </w:p>
    <w:p w14:paraId="30616C5F">
      <w:pPr>
        <w:spacing w:line="360" w:lineRule="auto"/>
        <w:ind w:firstLine="560" w:firstLineChars="200"/>
        <w:rPr>
          <w:rFonts w:hint="eastAsia" w:ascii="宋体" w:hAnsi="宋体" w:eastAsia="宋体" w:cs="宋体"/>
          <w:color w:val="auto"/>
          <w:kern w:val="0"/>
          <w:sz w:val="28"/>
          <w:szCs w:val="28"/>
          <w:highlight w:val="none"/>
        </w:rPr>
      </w:pPr>
      <w:r>
        <w:rPr>
          <w:rFonts w:hint="eastAsia" w:ascii="宋体" w:hAnsi="宋体" w:eastAsia="宋体" w:cs="宋体"/>
          <w:color w:val="auto"/>
          <w:kern w:val="0"/>
          <w:sz w:val="28"/>
          <w:szCs w:val="28"/>
          <w:highlight w:val="none"/>
        </w:rPr>
        <w:t>对于新购总成件，必须依据标准检验，杜绝假冒伪劣配件装入总成或车辆。</w:t>
      </w:r>
    </w:p>
    <w:p w14:paraId="4F8BD359">
      <w:pPr>
        <w:numPr>
          <w:ilvl w:val="0"/>
          <w:numId w:val="7"/>
        </w:numPr>
        <w:tabs>
          <w:tab w:val="left" w:pos="1140"/>
        </w:tabs>
        <w:spacing w:line="360" w:lineRule="auto"/>
        <w:ind w:left="859" w:hanging="229"/>
        <w:rPr>
          <w:rFonts w:hint="eastAsia" w:ascii="宋体" w:hAnsi="宋体" w:eastAsia="宋体" w:cs="宋体"/>
          <w:color w:val="auto"/>
          <w:sz w:val="28"/>
          <w:szCs w:val="28"/>
          <w:highlight w:val="none"/>
        </w:rPr>
      </w:pPr>
      <w:bookmarkStart w:id="4" w:name="_Toc21758"/>
      <w:r>
        <w:rPr>
          <w:rFonts w:hint="eastAsia" w:ascii="宋体" w:hAnsi="宋体" w:eastAsia="宋体" w:cs="宋体"/>
          <w:color w:val="auto"/>
          <w:sz w:val="28"/>
          <w:szCs w:val="28"/>
          <w:highlight w:val="none"/>
          <w:lang w:eastAsia="zh-CN"/>
        </w:rPr>
        <w:t>车辆</w:t>
      </w:r>
      <w:r>
        <w:rPr>
          <w:rFonts w:hint="eastAsia" w:ascii="宋体" w:hAnsi="宋体" w:eastAsia="宋体" w:cs="宋体"/>
          <w:color w:val="auto"/>
          <w:sz w:val="28"/>
          <w:szCs w:val="28"/>
          <w:highlight w:val="none"/>
        </w:rPr>
        <w:t>维修竣工检验制度</w:t>
      </w:r>
      <w:bookmarkEnd w:id="4"/>
    </w:p>
    <w:p w14:paraId="2E62BFEC">
      <w:pPr>
        <w:spacing w:line="360" w:lineRule="auto"/>
        <w:ind w:firstLine="560" w:firstLineChars="200"/>
        <w:rPr>
          <w:rFonts w:hint="eastAsia" w:ascii="宋体" w:hAnsi="宋体" w:eastAsia="宋体" w:cs="宋体"/>
          <w:color w:val="auto"/>
          <w:kern w:val="0"/>
          <w:sz w:val="28"/>
          <w:szCs w:val="28"/>
          <w:highlight w:val="none"/>
        </w:rPr>
      </w:pPr>
      <w:r>
        <w:rPr>
          <w:rFonts w:hint="eastAsia" w:ascii="宋体" w:hAnsi="宋体" w:eastAsia="宋体" w:cs="宋体"/>
          <w:color w:val="auto"/>
          <w:sz w:val="28"/>
          <w:szCs w:val="28"/>
          <w:highlight w:val="none"/>
          <w:lang w:eastAsia="zh-CN"/>
        </w:rPr>
        <w:t>车辆</w:t>
      </w:r>
      <w:r>
        <w:rPr>
          <w:rFonts w:hint="eastAsia" w:ascii="宋体" w:hAnsi="宋体" w:eastAsia="宋体" w:cs="宋体"/>
          <w:color w:val="auto"/>
          <w:sz w:val="28"/>
          <w:szCs w:val="28"/>
          <w:highlight w:val="none"/>
        </w:rPr>
        <w:t>维修竣工</w:t>
      </w:r>
      <w:r>
        <w:rPr>
          <w:rFonts w:hint="eastAsia" w:ascii="宋体" w:hAnsi="宋体" w:eastAsia="宋体" w:cs="宋体"/>
          <w:color w:val="auto"/>
          <w:kern w:val="0"/>
          <w:sz w:val="28"/>
          <w:szCs w:val="28"/>
          <w:highlight w:val="none"/>
        </w:rPr>
        <w:t>检验由专职检验人员负责实施。</w:t>
      </w:r>
    </w:p>
    <w:p w14:paraId="57FF8F8A">
      <w:pPr>
        <w:spacing w:line="360" w:lineRule="auto"/>
        <w:ind w:firstLine="560" w:firstLineChars="200"/>
        <w:rPr>
          <w:rFonts w:hint="eastAsia" w:ascii="宋体" w:hAnsi="宋体" w:eastAsia="宋体" w:cs="宋体"/>
          <w:color w:val="auto"/>
          <w:kern w:val="0"/>
          <w:sz w:val="28"/>
          <w:szCs w:val="28"/>
          <w:highlight w:val="none"/>
        </w:rPr>
      </w:pPr>
      <w:r>
        <w:rPr>
          <w:rFonts w:hint="eastAsia" w:ascii="宋体" w:hAnsi="宋体" w:eastAsia="宋体" w:cs="宋体"/>
          <w:color w:val="auto"/>
          <w:kern w:val="0"/>
          <w:sz w:val="28"/>
          <w:szCs w:val="28"/>
          <w:highlight w:val="none"/>
          <w:lang w:eastAsia="zh-CN"/>
        </w:rPr>
        <w:t>车辆</w:t>
      </w:r>
      <w:r>
        <w:rPr>
          <w:rFonts w:hint="eastAsia" w:ascii="宋体" w:hAnsi="宋体" w:eastAsia="宋体" w:cs="宋体"/>
          <w:color w:val="auto"/>
          <w:kern w:val="0"/>
          <w:sz w:val="28"/>
          <w:szCs w:val="28"/>
          <w:highlight w:val="none"/>
        </w:rPr>
        <w:t>维修竣工检验内容为整车检查、检测、路试、检测路试后再检测及车辆验收。</w:t>
      </w:r>
    </w:p>
    <w:p w14:paraId="5EB3479C">
      <w:pPr>
        <w:spacing w:line="360" w:lineRule="auto"/>
        <w:ind w:firstLine="560" w:firstLineChars="200"/>
        <w:rPr>
          <w:rFonts w:hint="eastAsia" w:ascii="宋体" w:hAnsi="宋体" w:eastAsia="宋体" w:cs="宋体"/>
          <w:color w:val="auto"/>
          <w:kern w:val="0"/>
          <w:sz w:val="28"/>
          <w:szCs w:val="28"/>
          <w:highlight w:val="none"/>
        </w:rPr>
      </w:pPr>
      <w:r>
        <w:rPr>
          <w:rFonts w:hint="eastAsia" w:ascii="宋体" w:hAnsi="宋体" w:eastAsia="宋体" w:cs="宋体"/>
          <w:color w:val="auto"/>
          <w:kern w:val="0"/>
          <w:sz w:val="28"/>
          <w:szCs w:val="28"/>
          <w:highlight w:val="none"/>
        </w:rPr>
        <w:t>修竣车辆竣工检验严格依据《营运车辆综合性能要求和检验方法》 (GB/T18565-20</w:t>
      </w:r>
      <w:r>
        <w:rPr>
          <w:rFonts w:hint="eastAsia" w:ascii="宋体" w:hAnsi="宋体" w:cs="宋体"/>
          <w:color w:val="auto"/>
          <w:kern w:val="0"/>
          <w:sz w:val="28"/>
          <w:szCs w:val="28"/>
          <w:highlight w:val="none"/>
          <w:lang w:val="en-US" w:eastAsia="zh-CN"/>
        </w:rPr>
        <w:t>16</w:t>
      </w:r>
      <w:r>
        <w:rPr>
          <w:rFonts w:hint="eastAsia" w:ascii="宋体" w:hAnsi="宋体" w:eastAsia="宋体" w:cs="宋体"/>
          <w:color w:val="auto"/>
          <w:kern w:val="0"/>
          <w:sz w:val="28"/>
          <w:szCs w:val="28"/>
          <w:highlight w:val="none"/>
        </w:rPr>
        <w:t>) 要求进行。首先进行整车外观和底盘检查，检查合格后进行路试，对于路试中所发生的不正常现象，要认真复查。路试合格后重新进行底盘检查，确保各项技术性能合格后开具出厂合格证。</w:t>
      </w:r>
    </w:p>
    <w:p w14:paraId="19285729">
      <w:pPr>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kern w:val="0"/>
          <w:sz w:val="28"/>
          <w:szCs w:val="28"/>
          <w:highlight w:val="none"/>
        </w:rPr>
        <w:t>严禁为检验不合</w:t>
      </w:r>
      <w:r>
        <w:rPr>
          <w:rFonts w:hint="eastAsia" w:ascii="宋体" w:hAnsi="宋体" w:eastAsia="宋体" w:cs="宋体"/>
          <w:color w:val="auto"/>
          <w:sz w:val="28"/>
          <w:szCs w:val="28"/>
          <w:highlight w:val="none"/>
        </w:rPr>
        <w:t>格的车辆开具竣工出厂合格证。</w:t>
      </w:r>
    </w:p>
    <w:p w14:paraId="7D864604">
      <w:pPr>
        <w:numPr>
          <w:ilvl w:val="0"/>
          <w:numId w:val="7"/>
        </w:numPr>
        <w:tabs>
          <w:tab w:val="left" w:pos="1140"/>
        </w:tabs>
        <w:spacing w:line="360" w:lineRule="auto"/>
        <w:ind w:left="859" w:hanging="229"/>
        <w:rPr>
          <w:rFonts w:hint="eastAsia" w:ascii="宋体" w:hAnsi="宋体" w:eastAsia="宋体" w:cs="宋体"/>
          <w:color w:val="auto"/>
          <w:sz w:val="28"/>
          <w:szCs w:val="28"/>
          <w:highlight w:val="none"/>
        </w:rPr>
      </w:pPr>
      <w:bookmarkStart w:id="5" w:name="_Toc11775"/>
      <w:r>
        <w:rPr>
          <w:rFonts w:hint="eastAsia" w:ascii="宋体" w:hAnsi="宋体" w:eastAsia="宋体" w:cs="宋体"/>
          <w:color w:val="auto"/>
          <w:sz w:val="28"/>
          <w:szCs w:val="28"/>
          <w:highlight w:val="none"/>
        </w:rPr>
        <w:t>车辆技术档案管理制度</w:t>
      </w:r>
      <w:bookmarkEnd w:id="5"/>
    </w:p>
    <w:p w14:paraId="30CF13F7">
      <w:pPr>
        <w:spacing w:line="360" w:lineRule="auto"/>
        <w:ind w:firstLine="560" w:firstLineChars="200"/>
        <w:rPr>
          <w:rFonts w:hint="eastAsia" w:ascii="宋体" w:hAnsi="宋体" w:eastAsia="宋体" w:cs="宋体"/>
          <w:color w:val="auto"/>
          <w:kern w:val="0"/>
          <w:sz w:val="28"/>
          <w:szCs w:val="28"/>
          <w:highlight w:val="none"/>
        </w:rPr>
      </w:pPr>
      <w:r>
        <w:rPr>
          <w:rFonts w:hint="eastAsia" w:ascii="宋体" w:hAnsi="宋体" w:eastAsia="宋体" w:cs="宋体"/>
          <w:color w:val="auto"/>
          <w:sz w:val="28"/>
          <w:szCs w:val="28"/>
          <w:highlight w:val="none"/>
        </w:rPr>
        <w:t>档案存放要</w:t>
      </w:r>
      <w:r>
        <w:rPr>
          <w:rFonts w:hint="eastAsia" w:ascii="宋体" w:hAnsi="宋体" w:eastAsia="宋体" w:cs="宋体"/>
          <w:color w:val="auto"/>
          <w:kern w:val="0"/>
          <w:sz w:val="28"/>
          <w:szCs w:val="28"/>
          <w:highlight w:val="none"/>
        </w:rPr>
        <w:t>有序，查找方便，并应做好六防工作，即防盗、防火、 防潮、防鼠、防尘、防晒，保持档案存放处清洁卫生。</w:t>
      </w:r>
    </w:p>
    <w:p w14:paraId="2DD3159A">
      <w:pPr>
        <w:spacing w:line="360" w:lineRule="auto"/>
        <w:ind w:firstLine="560" w:firstLineChars="200"/>
        <w:rPr>
          <w:rFonts w:hint="eastAsia" w:ascii="宋体" w:hAnsi="宋体" w:eastAsia="宋体" w:cs="宋体"/>
          <w:color w:val="auto"/>
          <w:kern w:val="0"/>
          <w:sz w:val="28"/>
          <w:szCs w:val="28"/>
          <w:highlight w:val="none"/>
        </w:rPr>
      </w:pPr>
      <w:r>
        <w:rPr>
          <w:rFonts w:hint="eastAsia" w:ascii="宋体" w:hAnsi="宋体" w:eastAsia="宋体" w:cs="宋体"/>
          <w:color w:val="auto"/>
          <w:kern w:val="0"/>
          <w:sz w:val="28"/>
          <w:szCs w:val="28"/>
          <w:highlight w:val="none"/>
        </w:rPr>
        <w:t>不准损毁、涂改、伪造、出卖档案，档案资料如有损坏应及时修补。</w:t>
      </w:r>
    </w:p>
    <w:p w14:paraId="5B4530F5">
      <w:pPr>
        <w:spacing w:line="360" w:lineRule="auto"/>
        <w:ind w:firstLine="560" w:firstLineChars="200"/>
        <w:rPr>
          <w:rFonts w:hint="eastAsia" w:ascii="宋体" w:hAnsi="宋体" w:eastAsia="宋体" w:cs="宋体"/>
          <w:color w:val="auto"/>
          <w:kern w:val="0"/>
          <w:sz w:val="28"/>
          <w:szCs w:val="28"/>
          <w:highlight w:val="none"/>
        </w:rPr>
      </w:pPr>
      <w:r>
        <w:rPr>
          <w:rFonts w:hint="eastAsia" w:ascii="宋体" w:hAnsi="宋体" w:eastAsia="宋体" w:cs="宋体"/>
          <w:color w:val="auto"/>
          <w:kern w:val="0"/>
          <w:sz w:val="28"/>
          <w:szCs w:val="28"/>
          <w:highlight w:val="none"/>
        </w:rPr>
        <w:t>根据档案的内容、性质和时间等特征，对档案进行分类整理、存放、归档，并按内容和性质确定其保存期限，电子档案要及时备份。</w:t>
      </w:r>
    </w:p>
    <w:p w14:paraId="2181576F">
      <w:pPr>
        <w:numPr>
          <w:ilvl w:val="0"/>
          <w:numId w:val="7"/>
        </w:numPr>
        <w:tabs>
          <w:tab w:val="left" w:pos="1140"/>
        </w:tabs>
        <w:spacing w:line="360" w:lineRule="auto"/>
        <w:ind w:left="859" w:hanging="229"/>
        <w:rPr>
          <w:rFonts w:hint="eastAsia" w:ascii="宋体" w:hAnsi="宋体" w:eastAsia="宋体" w:cs="宋体"/>
          <w:color w:val="auto"/>
          <w:sz w:val="28"/>
          <w:szCs w:val="28"/>
          <w:highlight w:val="none"/>
        </w:rPr>
      </w:pPr>
      <w:bookmarkStart w:id="6" w:name="_Toc19226"/>
      <w:r>
        <w:rPr>
          <w:rFonts w:hint="eastAsia" w:ascii="宋体" w:hAnsi="宋体" w:eastAsia="宋体" w:cs="宋体"/>
          <w:color w:val="auto"/>
          <w:sz w:val="28"/>
          <w:szCs w:val="28"/>
          <w:highlight w:val="none"/>
          <w:lang w:eastAsia="zh-CN"/>
        </w:rPr>
        <w:t>车辆</w:t>
      </w:r>
      <w:r>
        <w:rPr>
          <w:rFonts w:hint="eastAsia" w:ascii="宋体" w:hAnsi="宋体" w:eastAsia="宋体" w:cs="宋体"/>
          <w:color w:val="auto"/>
          <w:sz w:val="28"/>
          <w:szCs w:val="28"/>
          <w:highlight w:val="none"/>
        </w:rPr>
        <w:t>维修配件质量管理制度</w:t>
      </w:r>
      <w:bookmarkEnd w:id="6"/>
    </w:p>
    <w:p w14:paraId="074A5B22">
      <w:pPr>
        <w:spacing w:line="360" w:lineRule="auto"/>
        <w:ind w:firstLine="560" w:firstLineChars="200"/>
        <w:rPr>
          <w:rFonts w:hint="eastAsia" w:ascii="宋体" w:hAnsi="宋体" w:eastAsia="宋体" w:cs="宋体"/>
          <w:color w:val="auto"/>
          <w:kern w:val="0"/>
          <w:sz w:val="28"/>
          <w:szCs w:val="28"/>
          <w:highlight w:val="none"/>
        </w:rPr>
      </w:pPr>
      <w:r>
        <w:rPr>
          <w:rFonts w:hint="eastAsia" w:ascii="宋体" w:hAnsi="宋体" w:eastAsia="宋体" w:cs="宋体"/>
          <w:color w:val="auto"/>
          <w:sz w:val="28"/>
          <w:szCs w:val="28"/>
          <w:highlight w:val="none"/>
          <w:lang w:eastAsia="zh-CN"/>
        </w:rPr>
        <w:t>车辆</w:t>
      </w:r>
      <w:r>
        <w:rPr>
          <w:rFonts w:hint="eastAsia" w:ascii="宋体" w:hAnsi="宋体" w:eastAsia="宋体" w:cs="宋体"/>
          <w:color w:val="auto"/>
          <w:sz w:val="28"/>
          <w:szCs w:val="28"/>
          <w:highlight w:val="none"/>
        </w:rPr>
        <w:t>维修配</w:t>
      </w:r>
      <w:r>
        <w:rPr>
          <w:rFonts w:hint="eastAsia" w:ascii="宋体" w:hAnsi="宋体" w:eastAsia="宋体" w:cs="宋体"/>
          <w:color w:val="auto"/>
          <w:kern w:val="0"/>
          <w:sz w:val="28"/>
          <w:szCs w:val="28"/>
          <w:highlight w:val="none"/>
        </w:rPr>
        <w:t>件的采购、装卸、运输由材料采购员负责。并把好第一道质量关。购买凭证必须齐全，运输途中不得碰撞、散包， 应完好地交予配件仓库。</w:t>
      </w:r>
    </w:p>
    <w:p w14:paraId="05AF1EFC">
      <w:pPr>
        <w:spacing w:line="360" w:lineRule="auto"/>
        <w:ind w:firstLine="560" w:firstLineChars="200"/>
        <w:rPr>
          <w:rFonts w:hint="eastAsia" w:ascii="宋体" w:hAnsi="宋体" w:eastAsia="宋体" w:cs="宋体"/>
          <w:color w:val="auto"/>
          <w:kern w:val="0"/>
          <w:sz w:val="28"/>
          <w:szCs w:val="28"/>
          <w:highlight w:val="none"/>
        </w:rPr>
      </w:pPr>
      <w:r>
        <w:rPr>
          <w:rFonts w:hint="eastAsia" w:ascii="宋体" w:hAnsi="宋体" w:eastAsia="宋体" w:cs="宋体"/>
          <w:color w:val="auto"/>
          <w:kern w:val="0"/>
          <w:sz w:val="28"/>
          <w:szCs w:val="28"/>
          <w:highlight w:val="none"/>
          <w:lang w:eastAsia="zh-CN"/>
        </w:rPr>
        <w:t>车辆</w:t>
      </w:r>
      <w:r>
        <w:rPr>
          <w:rFonts w:hint="eastAsia" w:ascii="宋体" w:hAnsi="宋体" w:eastAsia="宋体" w:cs="宋体"/>
          <w:color w:val="auto"/>
          <w:kern w:val="0"/>
          <w:sz w:val="28"/>
          <w:szCs w:val="28"/>
          <w:highlight w:val="none"/>
        </w:rPr>
        <w:t>维修配件入库前必须进行质量检查， 由采购员和专职检验员共同负责。凡无厂名、无产地、无质量合格证的“三无”产品及缺损配件等一律不准入库， 同时还应核对配件的品名、规格、型号等。 配件验收合格，并做好入库检验单后，才能入库。</w:t>
      </w:r>
    </w:p>
    <w:p w14:paraId="447708D8">
      <w:pPr>
        <w:spacing w:line="360" w:lineRule="auto"/>
        <w:ind w:firstLine="560" w:firstLineChars="200"/>
        <w:rPr>
          <w:rFonts w:hint="eastAsia" w:ascii="宋体" w:hAnsi="宋体" w:eastAsia="宋体" w:cs="宋体"/>
          <w:color w:val="auto"/>
          <w:kern w:val="0"/>
          <w:sz w:val="28"/>
          <w:szCs w:val="28"/>
          <w:highlight w:val="none"/>
        </w:rPr>
      </w:pPr>
      <w:r>
        <w:rPr>
          <w:rFonts w:hint="eastAsia" w:ascii="宋体" w:hAnsi="宋体" w:eastAsia="宋体" w:cs="宋体"/>
          <w:color w:val="auto"/>
          <w:kern w:val="0"/>
          <w:sz w:val="28"/>
          <w:szCs w:val="28"/>
          <w:highlight w:val="none"/>
        </w:rPr>
        <w:t>对外购的批量配件和标准件等必须进行开包抽查；对涉及车辆安全等重要部位的关键零件，必须实行探伤等检查；对自制的配件必须符合图纸设计要求，并经技术检验合格，才能入库。</w:t>
      </w:r>
    </w:p>
    <w:p w14:paraId="4EB1DFF5">
      <w:pPr>
        <w:spacing w:line="360" w:lineRule="auto"/>
        <w:ind w:firstLine="560" w:firstLineChars="200"/>
        <w:rPr>
          <w:rFonts w:hint="eastAsia" w:ascii="宋体" w:hAnsi="宋体" w:eastAsia="宋体" w:cs="宋体"/>
          <w:color w:val="auto"/>
          <w:kern w:val="0"/>
          <w:sz w:val="28"/>
          <w:szCs w:val="28"/>
          <w:highlight w:val="none"/>
        </w:rPr>
      </w:pPr>
      <w:r>
        <w:rPr>
          <w:rFonts w:hint="eastAsia" w:ascii="宋体" w:hAnsi="宋体" w:eastAsia="宋体" w:cs="宋体"/>
          <w:color w:val="auto"/>
          <w:kern w:val="0"/>
          <w:sz w:val="28"/>
          <w:szCs w:val="28"/>
          <w:highlight w:val="none"/>
        </w:rPr>
        <w:t>凡不符合质量要求和“三无”产品一律作退货处理，决不能入库或装车使用，违者必究。</w:t>
      </w:r>
    </w:p>
    <w:p w14:paraId="53986A80">
      <w:pPr>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kern w:val="0"/>
          <w:sz w:val="28"/>
          <w:szCs w:val="28"/>
          <w:highlight w:val="none"/>
        </w:rPr>
        <w:t>入库的</w:t>
      </w:r>
      <w:r>
        <w:rPr>
          <w:rFonts w:hint="eastAsia" w:ascii="宋体" w:hAnsi="宋体" w:eastAsia="宋体" w:cs="宋体"/>
          <w:color w:val="auto"/>
          <w:kern w:val="0"/>
          <w:sz w:val="28"/>
          <w:szCs w:val="28"/>
          <w:highlight w:val="none"/>
          <w:lang w:eastAsia="zh-CN"/>
        </w:rPr>
        <w:t>车辆</w:t>
      </w:r>
      <w:r>
        <w:rPr>
          <w:rFonts w:hint="eastAsia" w:ascii="宋体" w:hAnsi="宋体" w:eastAsia="宋体" w:cs="宋体"/>
          <w:color w:val="auto"/>
          <w:kern w:val="0"/>
          <w:sz w:val="28"/>
          <w:szCs w:val="28"/>
          <w:highlight w:val="none"/>
        </w:rPr>
        <w:t>维修配件必须建立账卡，要进出有账，帐物相符，并按规定分类堆放整齐。</w:t>
      </w:r>
      <w:r>
        <w:rPr>
          <w:rFonts w:hint="eastAsia" w:ascii="宋体" w:hAnsi="宋体" w:eastAsia="宋体" w:cs="宋体"/>
          <w:color w:val="auto"/>
          <w:sz w:val="28"/>
          <w:szCs w:val="28"/>
          <w:highlight w:val="none"/>
        </w:rPr>
        <w:t>库存</w:t>
      </w:r>
      <w:r>
        <w:rPr>
          <w:rFonts w:hint="eastAsia" w:ascii="宋体" w:hAnsi="宋体" w:eastAsia="宋体" w:cs="宋体"/>
          <w:color w:val="auto"/>
          <w:sz w:val="28"/>
          <w:szCs w:val="28"/>
          <w:highlight w:val="none"/>
          <w:lang w:eastAsia="zh-CN"/>
        </w:rPr>
        <w:t>车辆</w:t>
      </w:r>
      <w:r>
        <w:rPr>
          <w:rFonts w:hint="eastAsia" w:ascii="宋体" w:hAnsi="宋体" w:eastAsia="宋体" w:cs="宋体"/>
          <w:color w:val="auto"/>
          <w:sz w:val="28"/>
          <w:szCs w:val="28"/>
          <w:highlight w:val="none"/>
        </w:rPr>
        <w:t>维修配件应每月盘存，经常检查， 要防止金属锈蚀， 橡胶、塑料制品老化变形，油类变质，以免影响使用质量。领用配件应使用领料单。</w:t>
      </w:r>
    </w:p>
    <w:p w14:paraId="4B10DE72">
      <w:pPr>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修理工在</w:t>
      </w:r>
      <w:r>
        <w:rPr>
          <w:rFonts w:hint="eastAsia" w:ascii="宋体" w:hAnsi="宋体" w:eastAsia="宋体" w:cs="宋体"/>
          <w:color w:val="auto"/>
          <w:kern w:val="0"/>
          <w:sz w:val="28"/>
          <w:szCs w:val="28"/>
          <w:highlight w:val="none"/>
        </w:rPr>
        <w:t>更换</w:t>
      </w:r>
      <w:r>
        <w:rPr>
          <w:rFonts w:hint="eastAsia" w:ascii="宋体" w:hAnsi="宋体" w:eastAsia="宋体" w:cs="宋体"/>
          <w:color w:val="auto"/>
          <w:sz w:val="28"/>
          <w:szCs w:val="28"/>
          <w:highlight w:val="none"/>
        </w:rPr>
        <w:t>配件时，必须首先对配件进行检查，凡变形、变质、锈蚀和缺损等的配件不准装车使用。更换配件应谨慎，不能草率，应以确保维修质量为原则。</w:t>
      </w:r>
    </w:p>
    <w:p w14:paraId="0671F836">
      <w:pPr>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配件质量保证</w:t>
      </w:r>
      <w:r>
        <w:rPr>
          <w:rFonts w:hint="eastAsia" w:ascii="宋体" w:hAnsi="宋体" w:eastAsia="宋体" w:cs="宋体"/>
          <w:color w:val="auto"/>
          <w:kern w:val="0"/>
          <w:sz w:val="28"/>
          <w:szCs w:val="28"/>
          <w:highlight w:val="none"/>
        </w:rPr>
        <w:t>要求</w:t>
      </w:r>
      <w:r>
        <w:rPr>
          <w:rFonts w:hint="eastAsia" w:ascii="宋体" w:hAnsi="宋体" w:eastAsia="宋体" w:cs="宋体"/>
          <w:color w:val="auto"/>
          <w:sz w:val="28"/>
          <w:szCs w:val="28"/>
          <w:highlight w:val="none"/>
        </w:rPr>
        <w:t>：</w:t>
      </w:r>
    </w:p>
    <w:p w14:paraId="1C76CAA6">
      <w:pPr>
        <w:numPr>
          <w:ilvl w:val="0"/>
          <w:numId w:val="8"/>
        </w:numPr>
        <w:spacing w:line="360" w:lineRule="auto"/>
        <w:ind w:left="845" w:hanging="425"/>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质量保证。所提供的配件必须 100%为合格品，符合国家及有关标准， 在国家规定质量保证期内发生质量问题，应无条件更换或退赔，所造成的—切后果由服务单位负责。</w:t>
      </w:r>
    </w:p>
    <w:p w14:paraId="7C751589">
      <w:pPr>
        <w:numPr>
          <w:ilvl w:val="0"/>
          <w:numId w:val="8"/>
        </w:numPr>
        <w:spacing w:line="360" w:lineRule="auto"/>
        <w:ind w:left="845" w:hanging="425"/>
        <w:rPr>
          <w:rFonts w:hint="eastAsia" w:ascii="宋体" w:hAnsi="宋体" w:eastAsia="宋体" w:cs="宋体"/>
          <w:color w:val="auto"/>
          <w:sz w:val="28"/>
          <w:szCs w:val="28"/>
          <w:highlight w:val="none"/>
        </w:rPr>
      </w:pPr>
      <w:bookmarkStart w:id="7" w:name="_Toc15639"/>
      <w:r>
        <w:rPr>
          <w:rFonts w:hint="eastAsia" w:ascii="宋体" w:hAnsi="宋体" w:eastAsia="宋体" w:cs="宋体"/>
          <w:color w:val="auto"/>
          <w:sz w:val="28"/>
          <w:szCs w:val="28"/>
          <w:highlight w:val="none"/>
        </w:rPr>
        <w:t>价格合理。所提供的配件价格应低于市场价，如发现有以次充好、以副厂配件充正厂配件等质量问题， 造成的一切损失，由服务单位负责。</w:t>
      </w:r>
      <w:bookmarkEnd w:id="7"/>
    </w:p>
    <w:p w14:paraId="6C4226C7">
      <w:pPr>
        <w:numPr>
          <w:ilvl w:val="0"/>
          <w:numId w:val="7"/>
        </w:numPr>
        <w:tabs>
          <w:tab w:val="left" w:pos="1140"/>
        </w:tabs>
        <w:spacing w:line="360" w:lineRule="auto"/>
        <w:ind w:left="859" w:hanging="229"/>
        <w:rPr>
          <w:rFonts w:hint="eastAsia" w:ascii="宋体" w:hAnsi="宋体" w:eastAsia="宋体" w:cs="宋体"/>
          <w:color w:val="auto"/>
          <w:sz w:val="28"/>
          <w:szCs w:val="28"/>
          <w:highlight w:val="none"/>
        </w:rPr>
      </w:pPr>
      <w:bookmarkStart w:id="8" w:name="_Toc9056"/>
      <w:r>
        <w:rPr>
          <w:rFonts w:hint="eastAsia" w:ascii="宋体" w:hAnsi="宋体" w:eastAsia="宋体" w:cs="宋体"/>
          <w:color w:val="auto"/>
          <w:sz w:val="28"/>
          <w:szCs w:val="28"/>
          <w:highlight w:val="none"/>
          <w:lang w:eastAsia="zh-CN"/>
        </w:rPr>
        <w:t>车辆</w:t>
      </w:r>
      <w:r>
        <w:rPr>
          <w:rFonts w:hint="eastAsia" w:ascii="宋体" w:hAnsi="宋体" w:eastAsia="宋体" w:cs="宋体"/>
          <w:color w:val="auto"/>
          <w:sz w:val="28"/>
          <w:szCs w:val="28"/>
          <w:highlight w:val="none"/>
        </w:rPr>
        <w:t>配件的装配、使用</w:t>
      </w:r>
      <w:bookmarkEnd w:id="8"/>
    </w:p>
    <w:p w14:paraId="3BCB6615">
      <w:pPr>
        <w:numPr>
          <w:ilvl w:val="0"/>
          <w:numId w:val="9"/>
        </w:numPr>
        <w:spacing w:line="360" w:lineRule="auto"/>
        <w:ind w:left="845" w:hanging="425"/>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装配前，维修人员应核对配件型号、规格， 确保无误后进行装配；装配中， 遇到问题及时沟通解决。</w:t>
      </w:r>
    </w:p>
    <w:p w14:paraId="66262035">
      <w:pPr>
        <w:numPr>
          <w:ilvl w:val="0"/>
          <w:numId w:val="9"/>
        </w:numPr>
        <w:spacing w:line="360" w:lineRule="auto"/>
        <w:ind w:left="845" w:hanging="425"/>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装配要严格按工艺规程进行，合理选择工具和装配方法，避免因装配不当造成配件损坏。</w:t>
      </w:r>
    </w:p>
    <w:p w14:paraId="7C86E26C">
      <w:pPr>
        <w:numPr>
          <w:ilvl w:val="0"/>
          <w:numId w:val="9"/>
        </w:numPr>
        <w:spacing w:line="360" w:lineRule="auto"/>
        <w:ind w:left="845" w:hanging="425"/>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装配好后，要根据配件性能选择适当方法进行车辆运行检验。</w:t>
      </w:r>
    </w:p>
    <w:p w14:paraId="7A91BE31">
      <w:pPr>
        <w:numPr>
          <w:ilvl w:val="0"/>
          <w:numId w:val="9"/>
        </w:numPr>
        <w:spacing w:line="360" w:lineRule="auto"/>
        <w:ind w:left="845" w:hanging="425"/>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新装配的配件，驾驶员在运行中要随时注意新装配配件的性能， 注意听异响、闻异味、触摸温度、观察仪表等进行检验， 确保装配配件发挥正常效能。</w:t>
      </w:r>
    </w:p>
    <w:p w14:paraId="508FA48D">
      <w:pPr>
        <w:numPr>
          <w:ilvl w:val="0"/>
          <w:numId w:val="7"/>
        </w:numPr>
        <w:tabs>
          <w:tab w:val="left" w:pos="1140"/>
        </w:tabs>
        <w:spacing w:line="360" w:lineRule="auto"/>
        <w:ind w:left="859" w:hanging="229"/>
        <w:rPr>
          <w:rFonts w:hint="eastAsia" w:ascii="宋体" w:hAnsi="宋体" w:eastAsia="宋体" w:cs="宋体"/>
          <w:color w:val="auto"/>
          <w:sz w:val="28"/>
          <w:szCs w:val="28"/>
          <w:highlight w:val="none"/>
        </w:rPr>
      </w:pPr>
      <w:bookmarkStart w:id="9" w:name="_Toc5817"/>
      <w:r>
        <w:rPr>
          <w:rFonts w:hint="eastAsia" w:ascii="宋体" w:hAnsi="宋体" w:eastAsia="宋体" w:cs="宋体"/>
          <w:color w:val="auto"/>
          <w:sz w:val="28"/>
          <w:szCs w:val="28"/>
          <w:highlight w:val="none"/>
        </w:rPr>
        <w:t>质量问题处理</w:t>
      </w:r>
      <w:bookmarkEnd w:id="9"/>
    </w:p>
    <w:p w14:paraId="0177C15D">
      <w:pPr>
        <w:numPr>
          <w:ilvl w:val="0"/>
          <w:numId w:val="10"/>
        </w:numPr>
        <w:spacing w:line="360" w:lineRule="auto"/>
        <w:ind w:left="845" w:hanging="425"/>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发生质量问题，未造成较大的后果，退货、换货，并赔偿由此造成的损失。</w:t>
      </w:r>
    </w:p>
    <w:p w14:paraId="05255BAC">
      <w:pPr>
        <w:numPr>
          <w:ilvl w:val="0"/>
          <w:numId w:val="10"/>
        </w:numPr>
        <w:spacing w:line="360" w:lineRule="auto"/>
        <w:ind w:left="845" w:hanging="425"/>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因配件质量问题，造成重大质量或安全事故，依据相应法律法规追究供货商或生产厂家法律责任。</w:t>
      </w:r>
    </w:p>
    <w:p w14:paraId="7ABE441A">
      <w:pPr>
        <w:numPr>
          <w:ilvl w:val="0"/>
          <w:numId w:val="10"/>
        </w:numPr>
        <w:spacing w:line="360" w:lineRule="auto"/>
        <w:ind w:left="845" w:hanging="425"/>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同一个服务商，一月内发生2次配件质量问题或1次造成一定后果的配件质量事故，需求单位有权终止合同。</w:t>
      </w:r>
    </w:p>
    <w:p w14:paraId="7F6DC35C">
      <w:pPr>
        <w:pStyle w:val="5"/>
        <w:rPr>
          <w:rFonts w:hint="eastAsia"/>
          <w:lang w:val="en-US" w:eastAsia="zh-CN"/>
        </w:rPr>
      </w:pPr>
      <w:bookmarkStart w:id="10" w:name="_Toc2555"/>
      <w:bookmarkStart w:id="11" w:name="_Toc2279"/>
      <w:bookmarkStart w:id="12" w:name="_Toc12703"/>
      <w:r>
        <w:rPr>
          <w:rFonts w:hint="eastAsia"/>
          <w:lang w:val="en-US" w:eastAsia="zh-CN"/>
        </w:rPr>
        <w:t>五、验收标准</w:t>
      </w:r>
      <w:bookmarkEnd w:id="10"/>
      <w:bookmarkEnd w:id="11"/>
      <w:bookmarkEnd w:id="12"/>
    </w:p>
    <w:p w14:paraId="4DF4FD48">
      <w:pPr>
        <w:pStyle w:val="19"/>
        <w:ind w:firstLine="560" w:firstLineChars="200"/>
        <w:jc w:val="both"/>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维修人员对相关项目</w:t>
      </w:r>
      <w:r>
        <w:rPr>
          <w:rFonts w:hint="eastAsia" w:asciiTheme="minorEastAsia" w:hAnsiTheme="minorEastAsia" w:eastAsiaTheme="minorEastAsia" w:cstheme="minorEastAsia"/>
          <w:sz w:val="28"/>
          <w:szCs w:val="28"/>
          <w:lang w:val="en-US" w:eastAsia="zh-CN"/>
        </w:rPr>
        <w:t>进行</w:t>
      </w:r>
      <w:r>
        <w:rPr>
          <w:rFonts w:hint="eastAsia" w:ascii="宋体" w:hAnsi="宋体" w:eastAsia="宋体" w:cs="宋体"/>
          <w:bCs/>
          <w:color w:val="auto"/>
          <w:sz w:val="28"/>
          <w:szCs w:val="28"/>
          <w:highlight w:val="none"/>
        </w:rPr>
        <w:t>维修后，须确保完成全部维修工作，并符合以下出厂技术标准。对不符合要求，需求单位有权拒绝接收或责令返修。验收标准需满足国家、行业要求，合格质量标准。各系统检修出厂技术标准如下:</w:t>
      </w:r>
    </w:p>
    <w:p w14:paraId="6FEAAF9D">
      <w:pPr>
        <w:tabs>
          <w:tab w:val="left" w:pos="1060"/>
        </w:tabs>
        <w:spacing w:line="360" w:lineRule="auto"/>
        <w:ind w:firstLine="560" w:firstLineChars="200"/>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5.1.换发动机、发动机大修出厂技术标准</w:t>
      </w:r>
    </w:p>
    <w:p w14:paraId="6F818A3E">
      <w:pPr>
        <w:numPr>
          <w:ilvl w:val="0"/>
          <w:numId w:val="11"/>
        </w:numPr>
        <w:spacing w:line="360" w:lineRule="auto"/>
        <w:ind w:left="0" w:firstLine="64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空气滤清器、机油滤清器、燃油滤清器，效能良好，无阻塞及短路现象，安装牢靠，密封可靠无渗漏现象。</w:t>
      </w:r>
    </w:p>
    <w:p w14:paraId="523D8267">
      <w:pPr>
        <w:numPr>
          <w:ilvl w:val="0"/>
          <w:numId w:val="11"/>
        </w:numPr>
        <w:spacing w:line="360" w:lineRule="auto"/>
        <w:ind w:left="0" w:firstLine="64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发动机无异响，无渗漏。</w:t>
      </w:r>
    </w:p>
    <w:p w14:paraId="725F2DB9">
      <w:pPr>
        <w:numPr>
          <w:ilvl w:val="0"/>
          <w:numId w:val="11"/>
        </w:numPr>
        <w:spacing w:line="360" w:lineRule="auto"/>
        <w:ind w:left="0" w:firstLine="64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发动机各部接口连接螺栓、螺母安装扭力矩符合原厂要求。</w:t>
      </w:r>
    </w:p>
    <w:p w14:paraId="1E3E4066">
      <w:pPr>
        <w:numPr>
          <w:ilvl w:val="0"/>
          <w:numId w:val="11"/>
        </w:numPr>
        <w:spacing w:line="360" w:lineRule="auto"/>
        <w:ind w:left="0" w:firstLine="64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各油管、真空管、水管安装正确，固定可靠，不漏油、水、气。</w:t>
      </w:r>
    </w:p>
    <w:p w14:paraId="41819819">
      <w:pPr>
        <w:numPr>
          <w:ilvl w:val="0"/>
          <w:numId w:val="11"/>
        </w:numPr>
        <w:spacing w:line="360" w:lineRule="auto"/>
        <w:ind w:left="0" w:firstLine="64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各传感器安装扭力矩符合要求，导线接头连接牢靠不漏电，线束固定良好可靠。</w:t>
      </w:r>
    </w:p>
    <w:p w14:paraId="0323DC41">
      <w:pPr>
        <w:numPr>
          <w:ilvl w:val="0"/>
          <w:numId w:val="11"/>
        </w:numPr>
        <w:spacing w:line="360" w:lineRule="auto"/>
        <w:ind w:left="0" w:firstLine="64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传动皮带、正时皮带无老化开裂及磨损过分现象，张紧度符合原厂要求。</w:t>
      </w:r>
    </w:p>
    <w:p w14:paraId="57E50484">
      <w:pPr>
        <w:numPr>
          <w:ilvl w:val="0"/>
          <w:numId w:val="11"/>
        </w:numPr>
        <w:spacing w:line="360" w:lineRule="auto"/>
        <w:ind w:left="0" w:firstLine="64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起动机起动时无空转、打滑现象，电瓶极柱连接牢靠，电解液液面高度及比重正确。</w:t>
      </w:r>
    </w:p>
    <w:p w14:paraId="1CEEA773">
      <w:pPr>
        <w:numPr>
          <w:ilvl w:val="0"/>
          <w:numId w:val="11"/>
        </w:numPr>
        <w:spacing w:line="360" w:lineRule="auto"/>
        <w:ind w:left="0" w:firstLine="64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发电机工作正常。</w:t>
      </w:r>
    </w:p>
    <w:p w14:paraId="1C2DB98D">
      <w:pPr>
        <w:numPr>
          <w:ilvl w:val="0"/>
          <w:numId w:val="11"/>
        </w:numPr>
        <w:spacing w:line="360" w:lineRule="auto"/>
        <w:ind w:left="0" w:firstLine="64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发动机支承、排气管接口安装牢靠，接口垫不漏气。</w:t>
      </w:r>
    </w:p>
    <w:p w14:paraId="1CFA82F9">
      <w:pPr>
        <w:numPr>
          <w:ilvl w:val="0"/>
          <w:numId w:val="11"/>
        </w:numPr>
        <w:spacing w:line="360" w:lineRule="auto"/>
        <w:ind w:left="0" w:firstLine="64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离合器自由行程符合要求，离合器接合平稳，分离根本，无打滑现象。</w:t>
      </w:r>
    </w:p>
    <w:p w14:paraId="05F0E240">
      <w:pPr>
        <w:numPr>
          <w:ilvl w:val="0"/>
          <w:numId w:val="11"/>
        </w:numPr>
        <w:spacing w:line="360" w:lineRule="auto"/>
        <w:ind w:left="0" w:firstLine="64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散热器、冷凝器、空调压缩机、动力转向系、发电机安装牢靠，冷却风扇及设备工作正常。</w:t>
      </w:r>
    </w:p>
    <w:p w14:paraId="46C5199D">
      <w:pPr>
        <w:numPr>
          <w:ilvl w:val="0"/>
          <w:numId w:val="11"/>
        </w:numPr>
        <w:spacing w:line="360" w:lineRule="auto"/>
        <w:ind w:left="0" w:firstLine="64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点火正时符合原厂要求。</w:t>
      </w:r>
    </w:p>
    <w:p w14:paraId="7915F10D">
      <w:pPr>
        <w:numPr>
          <w:ilvl w:val="0"/>
          <w:numId w:val="11"/>
        </w:numPr>
        <w:spacing w:line="360" w:lineRule="auto"/>
        <w:ind w:left="0" w:firstLine="64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气缸压力符合原厂要求</w:t>
      </w:r>
      <w:r>
        <w:rPr>
          <w:rFonts w:hint="eastAsia" w:ascii="宋体" w:hAnsi="宋体" w:eastAsia="宋体" w:cs="宋体"/>
          <w:color w:val="auto"/>
          <w:sz w:val="28"/>
          <w:szCs w:val="28"/>
          <w:highlight w:val="none"/>
          <w:lang w:eastAsia="zh-CN"/>
        </w:rPr>
        <w:t>。</w:t>
      </w:r>
    </w:p>
    <w:p w14:paraId="160F2B28">
      <w:pPr>
        <w:numPr>
          <w:ilvl w:val="0"/>
          <w:numId w:val="11"/>
        </w:numPr>
        <w:spacing w:line="360" w:lineRule="auto"/>
        <w:ind w:left="0" w:firstLine="64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机油压力符合原厂要求。</w:t>
      </w:r>
    </w:p>
    <w:p w14:paraId="42584BD3">
      <w:pPr>
        <w:numPr>
          <w:ilvl w:val="0"/>
          <w:numId w:val="11"/>
        </w:numPr>
        <w:spacing w:line="360" w:lineRule="auto"/>
        <w:ind w:left="0" w:firstLine="64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节气门、阻风门工作正常。</w:t>
      </w:r>
    </w:p>
    <w:p w14:paraId="73334F95">
      <w:pPr>
        <w:numPr>
          <w:ilvl w:val="0"/>
          <w:numId w:val="11"/>
        </w:numPr>
        <w:spacing w:line="360" w:lineRule="auto"/>
        <w:ind w:left="0" w:firstLine="64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加速灵敏、不突爆、不回火、急速工况运行平稳、转速符合原厂要求。各工况工作正常，过渡平顺。</w:t>
      </w:r>
    </w:p>
    <w:p w14:paraId="3BA1BBE7">
      <w:pPr>
        <w:numPr>
          <w:ilvl w:val="0"/>
          <w:numId w:val="11"/>
        </w:numPr>
        <w:spacing w:line="360" w:lineRule="auto"/>
        <w:ind w:left="0" w:firstLine="64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在走合期之内 (1500km)许可排气管有不显著冒蓝烟</w:t>
      </w:r>
    </w:p>
    <w:p w14:paraId="25A30BA9">
      <w:pPr>
        <w:numPr>
          <w:ilvl w:val="0"/>
          <w:numId w:val="11"/>
        </w:numPr>
        <w:spacing w:line="360" w:lineRule="auto"/>
        <w:ind w:left="0" w:firstLine="64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尾气排放符合要求。</w:t>
      </w:r>
    </w:p>
    <w:p w14:paraId="2C17AC86">
      <w:pPr>
        <w:numPr>
          <w:ilvl w:val="0"/>
          <w:numId w:val="11"/>
        </w:numPr>
        <w:spacing w:line="360" w:lineRule="auto"/>
        <w:ind w:left="0" w:firstLine="640"/>
        <w:rPr>
          <w:rFonts w:hint="eastAsia" w:ascii="宋体" w:hAnsi="宋体" w:eastAsia="宋体" w:cs="宋体"/>
          <w:bCs/>
          <w:color w:val="auto"/>
          <w:sz w:val="28"/>
          <w:szCs w:val="28"/>
          <w:highlight w:val="none"/>
        </w:rPr>
      </w:pPr>
      <w:r>
        <w:rPr>
          <w:rFonts w:hint="eastAsia" w:ascii="宋体" w:hAnsi="宋体" w:eastAsia="宋体" w:cs="宋体"/>
          <w:color w:val="auto"/>
          <w:sz w:val="28"/>
          <w:szCs w:val="28"/>
          <w:highlight w:val="none"/>
        </w:rPr>
        <w:t>电控发动机控制系统修理后清除故障存放器，且电控系统工作正常。</w:t>
      </w:r>
    </w:p>
    <w:p w14:paraId="59368AAB">
      <w:pPr>
        <w:tabs>
          <w:tab w:val="left" w:pos="1060"/>
        </w:tabs>
        <w:spacing w:line="360" w:lineRule="auto"/>
        <w:ind w:firstLine="560" w:firstLineChars="200"/>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5.2.发动机中修、发动机更换活塞及活塞环出厂技术标准</w:t>
      </w:r>
    </w:p>
    <w:p w14:paraId="13353CAE">
      <w:pPr>
        <w:numPr>
          <w:ilvl w:val="0"/>
          <w:numId w:val="12"/>
        </w:numPr>
        <w:spacing w:line="360" w:lineRule="auto"/>
        <w:ind w:left="0" w:firstLine="64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空气滤清器、机油滤清器、燃油滤清器效能良好，无阻塞及短路现象，安装牢靠，密封可靠无渗漏现象。</w:t>
      </w:r>
    </w:p>
    <w:p w14:paraId="06E66226">
      <w:pPr>
        <w:numPr>
          <w:ilvl w:val="0"/>
          <w:numId w:val="12"/>
        </w:numPr>
        <w:spacing w:line="360" w:lineRule="auto"/>
        <w:ind w:left="0" w:firstLine="64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发动机冷车允许有短时轻微气门间隙调整器响声。</w:t>
      </w:r>
    </w:p>
    <w:p w14:paraId="36A0C846">
      <w:pPr>
        <w:numPr>
          <w:ilvl w:val="0"/>
          <w:numId w:val="12"/>
        </w:numPr>
        <w:spacing w:line="360" w:lineRule="auto"/>
        <w:ind w:left="0" w:firstLine="64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发动机应无渗漏。</w:t>
      </w:r>
    </w:p>
    <w:p w14:paraId="4C800D4C">
      <w:pPr>
        <w:numPr>
          <w:ilvl w:val="0"/>
          <w:numId w:val="12"/>
        </w:numPr>
        <w:spacing w:line="360" w:lineRule="auto"/>
        <w:ind w:left="0" w:firstLine="64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发动机各部连接螺栓、螺母安装扭力矩符合原厂要求。</w:t>
      </w:r>
    </w:p>
    <w:p w14:paraId="4028511E">
      <w:pPr>
        <w:numPr>
          <w:ilvl w:val="0"/>
          <w:numId w:val="12"/>
        </w:numPr>
        <w:spacing w:line="360" w:lineRule="auto"/>
        <w:ind w:left="0" w:firstLine="64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各油管、真空管、水管安装正确，不漏油、水、气。</w:t>
      </w:r>
    </w:p>
    <w:p w14:paraId="2E8673A0">
      <w:pPr>
        <w:numPr>
          <w:ilvl w:val="0"/>
          <w:numId w:val="12"/>
        </w:numPr>
        <w:spacing w:line="360" w:lineRule="auto"/>
        <w:ind w:left="0" w:firstLine="64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各传感器安装扭力矩符合要求，导线接头连接牢靠不漏电、线束固定良好可靠。</w:t>
      </w:r>
    </w:p>
    <w:p w14:paraId="5FB79356">
      <w:pPr>
        <w:numPr>
          <w:ilvl w:val="0"/>
          <w:numId w:val="12"/>
        </w:numPr>
        <w:spacing w:line="360" w:lineRule="auto"/>
        <w:ind w:left="0" w:firstLine="64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传动皮带、正时皮带张紧度符合原厂要求。</w:t>
      </w:r>
    </w:p>
    <w:p w14:paraId="2E75DA3E">
      <w:pPr>
        <w:numPr>
          <w:ilvl w:val="0"/>
          <w:numId w:val="12"/>
        </w:numPr>
        <w:spacing w:line="360" w:lineRule="auto"/>
        <w:ind w:left="0" w:firstLine="64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排气管接口安装牢靠，接口垫不漏气。</w:t>
      </w:r>
    </w:p>
    <w:p w14:paraId="58CD3D4B">
      <w:pPr>
        <w:numPr>
          <w:ilvl w:val="0"/>
          <w:numId w:val="12"/>
        </w:numPr>
        <w:spacing w:line="360" w:lineRule="auto"/>
        <w:ind w:left="0" w:firstLine="64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点火正时符合原厂要求。</w:t>
      </w:r>
    </w:p>
    <w:p w14:paraId="25CA2AFB">
      <w:pPr>
        <w:numPr>
          <w:ilvl w:val="0"/>
          <w:numId w:val="12"/>
        </w:numPr>
        <w:spacing w:line="360" w:lineRule="auto"/>
        <w:ind w:left="0" w:firstLine="64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气缸压力符合原厂要求。</w:t>
      </w:r>
    </w:p>
    <w:p w14:paraId="5D10C8C9">
      <w:pPr>
        <w:numPr>
          <w:ilvl w:val="0"/>
          <w:numId w:val="12"/>
        </w:numPr>
        <w:spacing w:line="360" w:lineRule="auto"/>
        <w:ind w:left="0" w:firstLine="64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机油压力符合原厂要求。</w:t>
      </w:r>
    </w:p>
    <w:p w14:paraId="6C79E997">
      <w:pPr>
        <w:numPr>
          <w:ilvl w:val="0"/>
          <w:numId w:val="12"/>
        </w:numPr>
        <w:spacing w:line="360" w:lineRule="auto"/>
        <w:ind w:left="0" w:firstLine="64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节气门、阻风门工作正常。</w:t>
      </w:r>
    </w:p>
    <w:p w14:paraId="52768EBD">
      <w:pPr>
        <w:numPr>
          <w:ilvl w:val="0"/>
          <w:numId w:val="12"/>
        </w:numPr>
        <w:spacing w:line="360" w:lineRule="auto"/>
        <w:ind w:left="0" w:firstLine="64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加速灵敏、不突爆、不回火、急速工况运行平稳、转速符合原厂要求。各工况工作正常，过渡平顺。</w:t>
      </w:r>
    </w:p>
    <w:p w14:paraId="182E4A0F">
      <w:pPr>
        <w:numPr>
          <w:ilvl w:val="0"/>
          <w:numId w:val="12"/>
        </w:numPr>
        <w:spacing w:line="360" w:lineRule="auto"/>
        <w:ind w:left="0" w:firstLine="64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在走合期之内 (1500km) 许可排气管有不显著冒蓝烟。</w:t>
      </w:r>
    </w:p>
    <w:p w14:paraId="6B3F342F">
      <w:pPr>
        <w:numPr>
          <w:ilvl w:val="0"/>
          <w:numId w:val="12"/>
        </w:numPr>
        <w:spacing w:line="360" w:lineRule="auto"/>
        <w:ind w:left="0" w:firstLine="64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尾气排放符合要求。</w:t>
      </w:r>
    </w:p>
    <w:p w14:paraId="695AA2EE">
      <w:pPr>
        <w:numPr>
          <w:ilvl w:val="0"/>
          <w:numId w:val="12"/>
        </w:numPr>
        <w:spacing w:line="360" w:lineRule="auto"/>
        <w:ind w:left="0" w:firstLine="64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电控发动机控制系统修理后清除故障存放器，且电控系统工作正常</w:t>
      </w:r>
    </w:p>
    <w:p w14:paraId="02E5160B">
      <w:pPr>
        <w:tabs>
          <w:tab w:val="left" w:pos="1060"/>
        </w:tabs>
        <w:spacing w:line="360" w:lineRule="auto"/>
        <w:ind w:left="420" w:leftChars="200"/>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5.3.保养、小修作业通常技术标准</w:t>
      </w:r>
    </w:p>
    <w:p w14:paraId="4D20E15F">
      <w:pPr>
        <w:numPr>
          <w:ilvl w:val="0"/>
          <w:numId w:val="13"/>
        </w:numPr>
        <w:spacing w:line="360" w:lineRule="auto"/>
        <w:ind w:left="0" w:firstLine="64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更换配件必需按工艺安装好，外表擦拭洁净。</w:t>
      </w:r>
    </w:p>
    <w:p w14:paraId="5BC90B72">
      <w:pPr>
        <w:numPr>
          <w:ilvl w:val="0"/>
          <w:numId w:val="13"/>
        </w:numPr>
        <w:spacing w:line="360" w:lineRule="auto"/>
        <w:ind w:left="0" w:firstLine="64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油、液面检验后，必需擦拭清洁容器外表。</w:t>
      </w:r>
    </w:p>
    <w:p w14:paraId="0D535A18">
      <w:pPr>
        <w:numPr>
          <w:ilvl w:val="0"/>
          <w:numId w:val="13"/>
        </w:numPr>
        <w:spacing w:line="360" w:lineRule="auto"/>
        <w:ind w:left="0" w:firstLine="64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防尘套检验后，要擦拭清洁。</w:t>
      </w:r>
    </w:p>
    <w:p w14:paraId="3FA1B51E">
      <w:pPr>
        <w:numPr>
          <w:ilvl w:val="0"/>
          <w:numId w:val="13"/>
        </w:numPr>
        <w:spacing w:line="360" w:lineRule="auto"/>
        <w:ind w:left="0" w:firstLine="64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校正急速转速、点火正时、尾气排放必需使用专用设备或仪器。</w:t>
      </w:r>
    </w:p>
    <w:p w14:paraId="740B5EC6">
      <w:pPr>
        <w:numPr>
          <w:ilvl w:val="0"/>
          <w:numId w:val="13"/>
        </w:numPr>
        <w:spacing w:line="360" w:lineRule="auto"/>
        <w:ind w:left="0" w:firstLine="64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皮带张紧度，必需符合原厂要求。</w:t>
      </w:r>
    </w:p>
    <w:p w14:paraId="73AAAD31">
      <w:pPr>
        <w:numPr>
          <w:ilvl w:val="0"/>
          <w:numId w:val="13"/>
        </w:numPr>
        <w:spacing w:line="360" w:lineRule="auto"/>
        <w:ind w:left="0" w:firstLine="64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发动机舱盖、后行李箱盖、车门较链、锁、限位器等部位使用润滑剂润滑。</w:t>
      </w:r>
    </w:p>
    <w:p w14:paraId="52AACB83">
      <w:pPr>
        <w:numPr>
          <w:ilvl w:val="0"/>
          <w:numId w:val="13"/>
        </w:numPr>
        <w:spacing w:line="360" w:lineRule="auto"/>
        <w:ind w:left="0" w:firstLine="64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检验各部连接，确保有效可靠。</w:t>
      </w:r>
    </w:p>
    <w:p w14:paraId="3981FC0F">
      <w:pPr>
        <w:numPr>
          <w:ilvl w:val="0"/>
          <w:numId w:val="13"/>
        </w:numPr>
        <w:spacing w:line="360" w:lineRule="auto"/>
        <w:ind w:left="0" w:firstLine="64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制动踏板必需检验自由行程、助力效能:手制动必需检验拉紧齿数和制动效能通知用户新换制动片使用时有磨合期，通常为 200km，故期间使用时要增大制动踏板力进行赔偿。</w:t>
      </w:r>
    </w:p>
    <w:p w14:paraId="585F1BED">
      <w:pPr>
        <w:numPr>
          <w:ilvl w:val="0"/>
          <w:numId w:val="13"/>
        </w:numPr>
        <w:spacing w:line="360" w:lineRule="auto"/>
        <w:ind w:left="0" w:firstLine="64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轮胎压力、花纹按标准检验。</w:t>
      </w:r>
    </w:p>
    <w:p w14:paraId="0E1D2CCB">
      <w:pPr>
        <w:tabs>
          <w:tab w:val="left" w:pos="1060"/>
        </w:tabs>
        <w:spacing w:line="360" w:lineRule="auto"/>
        <w:ind w:firstLine="560" w:firstLineChars="200"/>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5.4.检修制动系统出厂技术标准</w:t>
      </w:r>
    </w:p>
    <w:p w14:paraId="08D56EDF">
      <w:pPr>
        <w:tabs>
          <w:tab w:val="left" w:pos="1060"/>
        </w:tabs>
        <w:spacing w:line="360" w:lineRule="auto"/>
        <w:ind w:left="420" w:firstLine="560" w:firstLineChars="200"/>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项目包含: 修理或更换制动总泵、分泵、真空助力器、液压系统软、硬管、制动片盘或鼓、ABS 总成等。</w:t>
      </w:r>
    </w:p>
    <w:p w14:paraId="2F027EDC">
      <w:pPr>
        <w:numPr>
          <w:ilvl w:val="0"/>
          <w:numId w:val="14"/>
        </w:numPr>
        <w:spacing w:line="360" w:lineRule="auto"/>
        <w:ind w:left="0" w:firstLine="64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目视制动液容器，油面在上下标准范围之内，不许可超出上限。</w:t>
      </w:r>
    </w:p>
    <w:p w14:paraId="4EA2450B">
      <w:pPr>
        <w:numPr>
          <w:ilvl w:val="0"/>
          <w:numId w:val="14"/>
        </w:numPr>
        <w:spacing w:line="360" w:lineRule="auto"/>
        <w:ind w:left="0" w:firstLine="64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液压管理无渗漏。</w:t>
      </w:r>
    </w:p>
    <w:p w14:paraId="07105C8A">
      <w:pPr>
        <w:numPr>
          <w:ilvl w:val="0"/>
          <w:numId w:val="14"/>
        </w:numPr>
        <w:spacing w:line="360" w:lineRule="auto"/>
        <w:ind w:left="0" w:firstLine="64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制动踏板自由行程符合原厂标准。</w:t>
      </w:r>
    </w:p>
    <w:p w14:paraId="4DDD9684">
      <w:pPr>
        <w:numPr>
          <w:ilvl w:val="0"/>
          <w:numId w:val="14"/>
        </w:numPr>
        <w:spacing w:line="360" w:lineRule="auto"/>
        <w:ind w:left="0" w:firstLine="64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反复数次踏下制动踏板已耗尽真空后踏下制动踏板至不能踏下并保持住，起动发动机在真空助力器作用下踏板下行至不能继续下行时止，此时制动踏板距地板间隙应大于制动踏板总行程 1/3。</w:t>
      </w:r>
    </w:p>
    <w:p w14:paraId="15026A1B">
      <w:pPr>
        <w:numPr>
          <w:ilvl w:val="0"/>
          <w:numId w:val="14"/>
        </w:numPr>
        <w:spacing w:line="360" w:lineRule="auto"/>
        <w:ind w:left="0" w:firstLine="64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必需时路试，在平坦干燥柏油路面上 空档、车速 30km/h 时踩紧急制动，刹车距离不超出 6.2m，轮迹偏离不超出轮胎面宽: 40-60km/h 时轻踩制动，车辆应不出现偏驶现象。</w:t>
      </w:r>
    </w:p>
    <w:p w14:paraId="59A7239E">
      <w:pPr>
        <w:numPr>
          <w:ilvl w:val="0"/>
          <w:numId w:val="14"/>
        </w:numPr>
        <w:spacing w:line="360" w:lineRule="auto"/>
        <w:ind w:left="0" w:firstLine="64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在制动试验台上测试制动力，空载时应占整车质量 60%以上，满载时应占 50%以上。且前轴左、右轮制动力差不得大于 5%，后轴左、右轮制动力差不得大于8%。</w:t>
      </w:r>
    </w:p>
    <w:p w14:paraId="211BF390">
      <w:pPr>
        <w:numPr>
          <w:ilvl w:val="0"/>
          <w:numId w:val="14"/>
        </w:numPr>
        <w:spacing w:line="360" w:lineRule="auto"/>
        <w:ind w:left="0" w:firstLine="64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制动协调时间不得大于0.3 秒，制动完成释放时间不得大于0.8 秒</w:t>
      </w:r>
    </w:p>
    <w:p w14:paraId="15A1BE91">
      <w:pPr>
        <w:numPr>
          <w:ilvl w:val="0"/>
          <w:numId w:val="14"/>
        </w:numPr>
        <w:spacing w:line="360" w:lineRule="auto"/>
        <w:ind w:left="0" w:firstLine="64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带 ABS系统车辆维修后，ABS系统装配良好、牢靠，其性能符合原设计要求;故障排除后清除故障存放器。</w:t>
      </w:r>
    </w:p>
    <w:p w14:paraId="48D1081A">
      <w:pPr>
        <w:numPr>
          <w:ilvl w:val="0"/>
          <w:numId w:val="14"/>
        </w:numPr>
        <w:spacing w:line="360" w:lineRule="auto"/>
        <w:ind w:left="0" w:firstLine="64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ABS系统失效时，其制动效能应达成 1-4 条要求。</w:t>
      </w:r>
    </w:p>
    <w:p w14:paraId="0D4E91FB">
      <w:pPr>
        <w:numPr>
          <w:ilvl w:val="0"/>
          <w:numId w:val="14"/>
        </w:numPr>
        <w:spacing w:line="360" w:lineRule="auto"/>
        <w:ind w:left="0" w:firstLine="64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驻车制动:</w:t>
      </w:r>
    </w:p>
    <w:p w14:paraId="4ED0F7DC">
      <w:pPr>
        <w:tabs>
          <w:tab w:val="left" w:pos="1060"/>
        </w:tabs>
        <w:spacing w:line="360" w:lineRule="auto"/>
        <w:ind w:left="420" w:firstLine="560" w:firstLineChars="200"/>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A.驻车制动有效拉紧行程为 2-3 齿，在平坦道路上用二档起步，拉紧驻车制动器操纵杆，发动机应有熄灭现象。</w:t>
      </w:r>
    </w:p>
    <w:p w14:paraId="20B275AA">
      <w:pPr>
        <w:tabs>
          <w:tab w:val="left" w:pos="1060"/>
        </w:tabs>
        <w:spacing w:line="360" w:lineRule="auto"/>
        <w:ind w:left="420" w:firstLine="560" w:firstLineChars="200"/>
        <w:rPr>
          <w:rFonts w:hint="eastAsia" w:ascii="宋体" w:hAnsi="宋体" w:eastAsia="宋体" w:cs="宋体"/>
          <w:color w:val="auto"/>
          <w:sz w:val="28"/>
          <w:szCs w:val="28"/>
          <w:highlight w:val="none"/>
        </w:rPr>
      </w:pPr>
      <w:r>
        <w:rPr>
          <w:rFonts w:hint="eastAsia" w:ascii="宋体" w:hAnsi="宋体" w:eastAsia="宋体" w:cs="宋体"/>
          <w:bCs/>
          <w:color w:val="auto"/>
          <w:sz w:val="28"/>
          <w:szCs w:val="28"/>
          <w:highlight w:val="none"/>
        </w:rPr>
        <w:t>B.</w:t>
      </w:r>
      <w:r>
        <w:rPr>
          <w:rFonts w:hint="eastAsia" w:ascii="宋体" w:hAnsi="宋体" w:eastAsia="宋体" w:cs="宋体"/>
          <w:bCs/>
          <w:color w:val="auto"/>
          <w:sz w:val="28"/>
          <w:szCs w:val="28"/>
          <w:highlight w:val="none"/>
          <w:lang w:eastAsia="zh-CN"/>
        </w:rPr>
        <w:t>车辆</w:t>
      </w:r>
      <w:r>
        <w:rPr>
          <w:rFonts w:hint="eastAsia" w:ascii="宋体" w:hAnsi="宋体" w:eastAsia="宋体" w:cs="宋体"/>
          <w:bCs/>
          <w:color w:val="auto"/>
          <w:sz w:val="28"/>
          <w:szCs w:val="28"/>
          <w:highlight w:val="none"/>
        </w:rPr>
        <w:t>空载正反两方向在坡度 20%干燥坡道上，使用驻车制动应保持5分钟以上固定不动。</w:t>
      </w:r>
    </w:p>
    <w:p w14:paraId="1B750AA1">
      <w:pPr>
        <w:tabs>
          <w:tab w:val="left" w:pos="1060"/>
        </w:tabs>
        <w:spacing w:line="360" w:lineRule="auto"/>
        <w:ind w:firstLine="560" w:firstLineChars="200"/>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5.5.检修修转向系统出厂技术标准</w:t>
      </w:r>
    </w:p>
    <w:p w14:paraId="0DE02B5C">
      <w:pPr>
        <w:tabs>
          <w:tab w:val="left" w:pos="1060"/>
        </w:tabs>
        <w:spacing w:line="360" w:lineRule="auto"/>
        <w:ind w:left="420" w:firstLine="560" w:firstLineChars="200"/>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项目包含：维修或更换转向机、转向拉杆及球头、下控制臂、转向柱及万向节、动力转向助力泵及液压管路等。</w:t>
      </w:r>
    </w:p>
    <w:p w14:paraId="17C52DB2">
      <w:pPr>
        <w:numPr>
          <w:ilvl w:val="0"/>
          <w:numId w:val="15"/>
        </w:numPr>
        <w:spacing w:line="360" w:lineRule="auto"/>
        <w:ind w:left="0" w:firstLine="64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转向系统操作轻便、转动灵活。</w:t>
      </w:r>
    </w:p>
    <w:p w14:paraId="7C4FC73C">
      <w:pPr>
        <w:numPr>
          <w:ilvl w:val="0"/>
          <w:numId w:val="15"/>
        </w:numPr>
        <w:spacing w:line="360" w:lineRule="auto"/>
        <w:ind w:left="0" w:firstLine="64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方向盘无自由量，盘在中间位置。</w:t>
      </w:r>
    </w:p>
    <w:p w14:paraId="2201AD25">
      <w:pPr>
        <w:numPr>
          <w:ilvl w:val="0"/>
          <w:numId w:val="15"/>
        </w:numPr>
        <w:spacing w:line="360" w:lineRule="auto"/>
        <w:ind w:left="0" w:firstLine="64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最大转向角时轮胎侧面不和地面接触、不得和其它部件有干涉现象,</w:t>
      </w:r>
    </w:p>
    <w:p w14:paraId="44F212D8">
      <w:pPr>
        <w:numPr>
          <w:ilvl w:val="0"/>
          <w:numId w:val="15"/>
        </w:numPr>
        <w:spacing w:line="360" w:lineRule="auto"/>
        <w:ind w:left="0" w:firstLine="64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转向拉杆球头无间隙。</w:t>
      </w:r>
    </w:p>
    <w:p w14:paraId="0FDDD3AA">
      <w:pPr>
        <w:numPr>
          <w:ilvl w:val="0"/>
          <w:numId w:val="15"/>
        </w:numPr>
        <w:spacing w:line="360" w:lineRule="auto"/>
        <w:ind w:left="0" w:firstLine="64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发动机工作，车轮回正时，转向助力油在容器上下标准线之间。</w:t>
      </w:r>
    </w:p>
    <w:p w14:paraId="5DA969A9">
      <w:pPr>
        <w:numPr>
          <w:ilvl w:val="0"/>
          <w:numId w:val="15"/>
        </w:numPr>
        <w:spacing w:line="360" w:lineRule="auto"/>
        <w:ind w:left="0" w:firstLine="64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转向助力泵、液压管路无渗漏。</w:t>
      </w:r>
    </w:p>
    <w:p w14:paraId="461FA504">
      <w:pPr>
        <w:numPr>
          <w:ilvl w:val="0"/>
          <w:numId w:val="15"/>
        </w:numPr>
        <w:spacing w:line="360" w:lineRule="auto"/>
        <w:ind w:left="0" w:firstLine="64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行驶中车轮转向后能自动回正，保持车辆直线行驶。</w:t>
      </w:r>
    </w:p>
    <w:p w14:paraId="7BF61D94">
      <w:pPr>
        <w:numPr>
          <w:ilvl w:val="0"/>
          <w:numId w:val="15"/>
        </w:numPr>
        <w:spacing w:line="360" w:lineRule="auto"/>
        <w:ind w:left="0" w:firstLine="64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修理或更换转向机、转向拉杆、下控制臂，球头、转向柱、万向节或对前悬系统进行了修理或更换部件，必需对车轮定位做调整，检测仪测试，前轮侧滑不超出±5m/km。</w:t>
      </w:r>
    </w:p>
    <w:p w14:paraId="0685D410">
      <w:pPr>
        <w:numPr>
          <w:ilvl w:val="0"/>
          <w:numId w:val="15"/>
        </w:numPr>
        <w:spacing w:line="360" w:lineRule="auto"/>
        <w:ind w:left="0" w:firstLine="64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转向系统大修，车轮定位应符合原厂要求。</w:t>
      </w:r>
    </w:p>
    <w:p w14:paraId="76267C03">
      <w:pPr>
        <w:tabs>
          <w:tab w:val="left" w:pos="1060"/>
        </w:tabs>
        <w:spacing w:line="360" w:lineRule="auto"/>
        <w:ind w:firstLine="560" w:firstLineChars="200"/>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5.6.检修传动系统出厂技术标准</w:t>
      </w:r>
    </w:p>
    <w:p w14:paraId="4FFD88C9">
      <w:pPr>
        <w:numPr>
          <w:ilvl w:val="0"/>
          <w:numId w:val="16"/>
        </w:numPr>
        <w:spacing w:line="360" w:lineRule="auto"/>
        <w:ind w:left="0" w:firstLine="64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离合器</w:t>
      </w:r>
    </w:p>
    <w:p w14:paraId="6C91E068">
      <w:pPr>
        <w:tabs>
          <w:tab w:val="left" w:pos="1060"/>
        </w:tabs>
        <w:spacing w:line="360" w:lineRule="auto"/>
        <w:ind w:left="420" w:firstLine="560" w:firstLineChars="200"/>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项目包含:更换飞轮、离合器压盘、片、离合器分离轴承、离合器分离拨叉离合器拉索、离合器总系、分泵及液压管路。</w:t>
      </w:r>
    </w:p>
    <w:p w14:paraId="66E54337">
      <w:pPr>
        <w:numPr>
          <w:ilvl w:val="0"/>
          <w:numId w:val="17"/>
        </w:numPr>
        <w:spacing w:line="360" w:lineRule="auto"/>
        <w:ind w:left="845" w:hanging="5"/>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离合器接合平稳、分离根本、不打滑、不抖动、无异响。</w:t>
      </w:r>
    </w:p>
    <w:p w14:paraId="5AC33FF4">
      <w:pPr>
        <w:numPr>
          <w:ilvl w:val="0"/>
          <w:numId w:val="17"/>
        </w:numPr>
        <w:spacing w:line="360" w:lineRule="auto"/>
        <w:ind w:left="845" w:hanging="5"/>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离合器踏板行程要求符合原厂要求，且操纵灵活无卡滞。</w:t>
      </w:r>
    </w:p>
    <w:p w14:paraId="22263B80">
      <w:pPr>
        <w:numPr>
          <w:ilvl w:val="0"/>
          <w:numId w:val="17"/>
        </w:numPr>
        <w:spacing w:line="360" w:lineRule="auto"/>
        <w:ind w:left="845" w:hanging="5"/>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目视离合器分泵、总泵、液压管路无渗漏。</w:t>
      </w:r>
    </w:p>
    <w:p w14:paraId="0E4A228C">
      <w:pPr>
        <w:numPr>
          <w:ilvl w:val="0"/>
          <w:numId w:val="17"/>
        </w:numPr>
        <w:spacing w:line="360" w:lineRule="auto"/>
        <w:ind w:left="845" w:hanging="5"/>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机械拉索操纵机构连接有效可靠，操纵灵活无卡滞，和其它部件工作时无运动干涉。</w:t>
      </w:r>
    </w:p>
    <w:p w14:paraId="09E2802B">
      <w:pPr>
        <w:numPr>
          <w:ilvl w:val="0"/>
          <w:numId w:val="16"/>
        </w:numPr>
        <w:spacing w:line="360" w:lineRule="auto"/>
        <w:ind w:left="0" w:firstLine="64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变速器</w:t>
      </w:r>
    </w:p>
    <w:p w14:paraId="536CBA18">
      <w:pPr>
        <w:tabs>
          <w:tab w:val="left" w:pos="1060"/>
        </w:tabs>
        <w:spacing w:line="360" w:lineRule="auto"/>
        <w:ind w:left="420" w:firstLine="560" w:firstLineChars="200"/>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项目包含：修理机械变速器、自动变速器、换档操纵机构等。</w:t>
      </w:r>
    </w:p>
    <w:p w14:paraId="014C2036">
      <w:pPr>
        <w:numPr>
          <w:ilvl w:val="0"/>
          <w:numId w:val="18"/>
        </w:numPr>
        <w:spacing w:line="360" w:lineRule="auto"/>
        <w:ind w:left="845" w:hanging="5"/>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变速器换档机构操作灵活、无异响。</w:t>
      </w:r>
    </w:p>
    <w:p w14:paraId="10EA1D9B">
      <w:pPr>
        <w:numPr>
          <w:ilvl w:val="0"/>
          <w:numId w:val="18"/>
        </w:numPr>
        <w:spacing w:line="360" w:lineRule="auto"/>
        <w:ind w:left="845" w:hanging="5"/>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变速器行驶中不掉档、不乱档、无异响。</w:t>
      </w:r>
    </w:p>
    <w:p w14:paraId="51864821">
      <w:pPr>
        <w:numPr>
          <w:ilvl w:val="0"/>
          <w:numId w:val="18"/>
        </w:numPr>
        <w:spacing w:line="360" w:lineRule="auto"/>
        <w:ind w:left="845" w:hanging="5"/>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自动变速器行驶中升档、降档正常，无异响。</w:t>
      </w:r>
    </w:p>
    <w:p w14:paraId="25EEFCD3">
      <w:pPr>
        <w:numPr>
          <w:ilvl w:val="0"/>
          <w:numId w:val="18"/>
        </w:numPr>
        <w:spacing w:line="360" w:lineRule="auto"/>
        <w:ind w:left="845" w:hanging="5"/>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目视变速器、油管、散热器无渗漏。</w:t>
      </w:r>
    </w:p>
    <w:p w14:paraId="67F4E0D3">
      <w:pPr>
        <w:numPr>
          <w:ilvl w:val="0"/>
          <w:numId w:val="18"/>
        </w:numPr>
        <w:spacing w:line="360" w:lineRule="auto"/>
        <w:ind w:left="845" w:hanging="5"/>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自动变速器 ATF 油面符合原厂标准</w:t>
      </w:r>
    </w:p>
    <w:p w14:paraId="3F94676D">
      <w:pPr>
        <w:numPr>
          <w:ilvl w:val="0"/>
          <w:numId w:val="18"/>
        </w:numPr>
        <w:spacing w:line="360" w:lineRule="auto"/>
        <w:ind w:left="845" w:hanging="5"/>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机械变速器油面和检测孔下缘平齐。</w:t>
      </w:r>
    </w:p>
    <w:p w14:paraId="468DC88D">
      <w:pPr>
        <w:tabs>
          <w:tab w:val="left" w:pos="1060"/>
        </w:tabs>
        <w:spacing w:line="360" w:lineRule="auto"/>
        <w:ind w:firstLine="560" w:firstLineChars="200"/>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5.7.检修电器系统出厂技术标准</w:t>
      </w:r>
    </w:p>
    <w:p w14:paraId="143FBC24">
      <w:pPr>
        <w:numPr>
          <w:ilvl w:val="0"/>
          <w:numId w:val="16"/>
        </w:numPr>
        <w:spacing w:line="360" w:lineRule="auto"/>
        <w:ind w:left="0" w:firstLine="64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发电机</w:t>
      </w:r>
    </w:p>
    <w:p w14:paraId="1C47749A">
      <w:pPr>
        <w:pStyle w:val="10"/>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项目包含:修理或更换发电机、调整器、充电指示灯、线路等。</w:t>
      </w:r>
    </w:p>
    <w:p w14:paraId="3F5B6DDC">
      <w:pPr>
        <w:numPr>
          <w:ilvl w:val="0"/>
          <w:numId w:val="19"/>
        </w:numPr>
        <w:spacing w:line="360" w:lineRule="auto"/>
        <w:ind w:left="845" w:hanging="5"/>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 充电电压符合原厂要求。</w:t>
      </w:r>
    </w:p>
    <w:p w14:paraId="3B5B89FD">
      <w:pPr>
        <w:numPr>
          <w:ilvl w:val="0"/>
          <w:numId w:val="19"/>
        </w:numPr>
        <w:spacing w:line="360" w:lineRule="auto"/>
        <w:ind w:left="845" w:hanging="5"/>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充电指示灯:打开点火开关时应亮，起动发动机后应灭。</w:t>
      </w:r>
    </w:p>
    <w:p w14:paraId="162D4910">
      <w:pPr>
        <w:numPr>
          <w:ilvl w:val="0"/>
          <w:numId w:val="19"/>
        </w:numPr>
        <w:spacing w:line="360" w:lineRule="auto"/>
        <w:ind w:left="845" w:hanging="5"/>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发电机转动无异响。</w:t>
      </w:r>
    </w:p>
    <w:p w14:paraId="46E500D4">
      <w:pPr>
        <w:numPr>
          <w:ilvl w:val="0"/>
          <w:numId w:val="19"/>
        </w:numPr>
        <w:spacing w:line="360" w:lineRule="auto"/>
        <w:ind w:left="845" w:hanging="5"/>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线路无损、固定及连接应牢靠可靠。</w:t>
      </w:r>
    </w:p>
    <w:p w14:paraId="6877C939">
      <w:pPr>
        <w:numPr>
          <w:ilvl w:val="0"/>
          <w:numId w:val="19"/>
        </w:numPr>
        <w:spacing w:line="360" w:lineRule="auto"/>
        <w:ind w:left="845" w:hanging="5"/>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皮带张紧度应符合原厂要求。</w:t>
      </w:r>
    </w:p>
    <w:p w14:paraId="3E680E89">
      <w:pPr>
        <w:numPr>
          <w:ilvl w:val="0"/>
          <w:numId w:val="16"/>
        </w:numPr>
        <w:spacing w:line="360" w:lineRule="auto"/>
        <w:ind w:left="0" w:firstLine="64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起动机</w:t>
      </w:r>
    </w:p>
    <w:p w14:paraId="22E1EB23">
      <w:pPr>
        <w:pStyle w:val="10"/>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项目包含:更换起动机、电磁开关、单向齿、线束或拆卸修理变速器、离合器等。</w:t>
      </w:r>
    </w:p>
    <w:p w14:paraId="50153B4D">
      <w:pPr>
        <w:numPr>
          <w:ilvl w:val="0"/>
          <w:numId w:val="20"/>
        </w:numPr>
        <w:spacing w:line="360" w:lineRule="auto"/>
        <w:ind w:left="845" w:hanging="5"/>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起动机转动无异响，离、合正常无卡滞空转现象。</w:t>
      </w:r>
    </w:p>
    <w:p w14:paraId="4B8D4163">
      <w:pPr>
        <w:numPr>
          <w:ilvl w:val="0"/>
          <w:numId w:val="20"/>
        </w:numPr>
        <w:spacing w:line="360" w:lineRule="auto"/>
        <w:ind w:left="845" w:hanging="5"/>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电磁开关动作正常，无不吸合现象。</w:t>
      </w:r>
    </w:p>
    <w:p w14:paraId="5A32C535">
      <w:pPr>
        <w:numPr>
          <w:ilvl w:val="0"/>
          <w:numId w:val="20"/>
        </w:numPr>
        <w:spacing w:line="360" w:lineRule="auto"/>
        <w:ind w:left="845" w:hanging="5"/>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接线柱连接可靠、接触良好，无发烧。</w:t>
      </w:r>
    </w:p>
    <w:p w14:paraId="7FDA993E">
      <w:pPr>
        <w:numPr>
          <w:ilvl w:val="0"/>
          <w:numId w:val="20"/>
        </w:numPr>
        <w:spacing w:line="360" w:lineRule="auto"/>
        <w:ind w:left="845" w:hanging="5"/>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线路无破损，连接及固定牢靠可靠。</w:t>
      </w:r>
    </w:p>
    <w:p w14:paraId="2B608958">
      <w:pPr>
        <w:numPr>
          <w:ilvl w:val="0"/>
          <w:numId w:val="16"/>
        </w:numPr>
        <w:spacing w:line="360" w:lineRule="auto"/>
        <w:ind w:left="0" w:firstLine="64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明灯及仪表指示</w:t>
      </w:r>
    </w:p>
    <w:p w14:paraId="156089C8">
      <w:pPr>
        <w:pStyle w:val="10"/>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项目包含:更换灯泡、保险片、灯总成、灯开关、继电器或修理线路等。</w:t>
      </w:r>
    </w:p>
    <w:p w14:paraId="2B7921DA">
      <w:pPr>
        <w:numPr>
          <w:ilvl w:val="0"/>
          <w:numId w:val="21"/>
        </w:numPr>
        <w:spacing w:line="360" w:lineRule="auto"/>
        <w:ind w:left="845" w:hanging="5"/>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各外部指示灯安装牢靠、灯光齐全有效。</w:t>
      </w:r>
    </w:p>
    <w:p w14:paraId="47824ECE">
      <w:pPr>
        <w:numPr>
          <w:ilvl w:val="0"/>
          <w:numId w:val="21"/>
        </w:numPr>
        <w:spacing w:line="360" w:lineRule="auto"/>
        <w:ind w:left="845" w:hanging="5"/>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各仪表灯齐全有效。</w:t>
      </w:r>
    </w:p>
    <w:p w14:paraId="034A3C36">
      <w:pPr>
        <w:numPr>
          <w:ilvl w:val="0"/>
          <w:numId w:val="21"/>
        </w:numPr>
        <w:spacing w:line="360" w:lineRule="auto"/>
        <w:ind w:left="845" w:hanging="5"/>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线束无破损，插头良好。</w:t>
      </w:r>
    </w:p>
    <w:p w14:paraId="28575226">
      <w:pPr>
        <w:tabs>
          <w:tab w:val="left" w:pos="1060"/>
        </w:tabs>
        <w:spacing w:line="360" w:lineRule="auto"/>
        <w:ind w:firstLine="560" w:firstLineChars="200"/>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5.8.车身维修出厂技术标准</w:t>
      </w:r>
    </w:p>
    <w:p w14:paraId="06D2EC19">
      <w:pPr>
        <w:numPr>
          <w:ilvl w:val="0"/>
          <w:numId w:val="22"/>
        </w:numPr>
        <w:spacing w:line="360" w:lineRule="auto"/>
        <w:ind w:left="0" w:firstLine="64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修复后车身及附件外形尺寸应符合原厂要求。</w:t>
      </w:r>
    </w:p>
    <w:p w14:paraId="415A7418">
      <w:pPr>
        <w:numPr>
          <w:ilvl w:val="0"/>
          <w:numId w:val="22"/>
        </w:numPr>
        <w:spacing w:line="360" w:lineRule="auto"/>
        <w:ind w:left="0" w:firstLine="64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车身各构件无损伤、断裂或严重锈蚀。整形部位外形平整，曲面衔接改变均匀。</w:t>
      </w:r>
    </w:p>
    <w:p w14:paraId="3B85EE20">
      <w:pPr>
        <w:numPr>
          <w:ilvl w:val="0"/>
          <w:numId w:val="22"/>
        </w:numPr>
        <w:spacing w:line="360" w:lineRule="auto"/>
        <w:ind w:left="0" w:firstLine="64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车身覆盖件，更换后保持开关灵活，板件间隙均匀适宜，修复表面保持平整，外形曲面过渡均匀，无裂损。</w:t>
      </w:r>
    </w:p>
    <w:p w14:paraId="29CFB516">
      <w:pPr>
        <w:numPr>
          <w:ilvl w:val="0"/>
          <w:numId w:val="22"/>
        </w:numPr>
        <w:spacing w:line="360" w:lineRule="auto"/>
        <w:ind w:left="0" w:firstLine="640"/>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全部铆钉应平滑，紧固，排列整齐，间距均匀。焊接表面高低一致，宽度均匀,内部饰件外观应平顺贴合，无凹凸，分段接口处平齐，保持清洁。</w:t>
      </w:r>
    </w:p>
    <w:p w14:paraId="5403B42E">
      <w:pPr>
        <w:numPr>
          <w:ilvl w:val="0"/>
          <w:numId w:val="22"/>
        </w:numPr>
        <w:spacing w:line="360" w:lineRule="auto"/>
        <w:ind w:left="0" w:firstLine="640"/>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内部饰件</w:t>
      </w:r>
      <w:r>
        <w:rPr>
          <w:rFonts w:hint="eastAsia" w:ascii="宋体" w:hAnsi="宋体" w:eastAsia="宋体" w:cs="宋体"/>
          <w:color w:val="auto"/>
          <w:sz w:val="28"/>
          <w:szCs w:val="28"/>
          <w:highlight w:val="none"/>
        </w:rPr>
        <w:t>外观</w:t>
      </w:r>
      <w:r>
        <w:rPr>
          <w:rFonts w:hint="eastAsia" w:ascii="宋体" w:hAnsi="宋体" w:eastAsia="宋体" w:cs="宋体"/>
          <w:bCs/>
          <w:color w:val="auto"/>
          <w:sz w:val="28"/>
          <w:szCs w:val="28"/>
          <w:highlight w:val="none"/>
        </w:rPr>
        <w:t>应平顺贴合，无凹凸，分段接口处平齐，保持清洁。</w:t>
      </w:r>
    </w:p>
    <w:p w14:paraId="6E8549A4">
      <w:pPr>
        <w:numPr>
          <w:ilvl w:val="0"/>
          <w:numId w:val="22"/>
        </w:numPr>
        <w:spacing w:line="360" w:lineRule="auto"/>
        <w:ind w:left="0" w:firstLine="640"/>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全部经过火烤、焊接、切割部件及车身外部底板全部应进行防锈、防腐蚀处理。</w:t>
      </w:r>
    </w:p>
    <w:p w14:paraId="1AB5C5BC">
      <w:pPr>
        <w:tabs>
          <w:tab w:val="left" w:pos="1060"/>
        </w:tabs>
        <w:spacing w:line="360" w:lineRule="auto"/>
        <w:ind w:firstLine="560" w:firstLineChars="200"/>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5.9.</w:t>
      </w:r>
      <w:r>
        <w:rPr>
          <w:rFonts w:hint="eastAsia" w:ascii="宋体" w:hAnsi="宋体" w:eastAsia="宋体" w:cs="宋体"/>
          <w:bCs/>
          <w:color w:val="auto"/>
          <w:sz w:val="28"/>
          <w:szCs w:val="28"/>
          <w:highlight w:val="none"/>
          <w:lang w:eastAsia="zh-CN"/>
        </w:rPr>
        <w:t>车辆</w:t>
      </w:r>
      <w:r>
        <w:rPr>
          <w:rFonts w:hint="eastAsia" w:ascii="宋体" w:hAnsi="宋体" w:eastAsia="宋体" w:cs="宋体"/>
          <w:bCs/>
          <w:color w:val="auto"/>
          <w:sz w:val="28"/>
          <w:szCs w:val="28"/>
          <w:highlight w:val="none"/>
        </w:rPr>
        <w:t>喷、补漆出厂技术标准</w:t>
      </w:r>
    </w:p>
    <w:p w14:paraId="2D21D2E8">
      <w:pPr>
        <w:numPr>
          <w:ilvl w:val="0"/>
          <w:numId w:val="23"/>
        </w:numPr>
        <w:spacing w:line="360" w:lineRule="auto"/>
        <w:ind w:left="0" w:firstLine="640"/>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lang w:eastAsia="zh-CN"/>
        </w:rPr>
        <w:t>车辆</w:t>
      </w:r>
      <w:r>
        <w:rPr>
          <w:rFonts w:hint="eastAsia" w:ascii="宋体" w:hAnsi="宋体" w:eastAsia="宋体" w:cs="宋体"/>
          <w:bCs/>
          <w:color w:val="auto"/>
          <w:sz w:val="28"/>
          <w:szCs w:val="28"/>
          <w:highlight w:val="none"/>
        </w:rPr>
        <w:t>喷漆表面平滑光亮，色泽均匀，色调协调，边界整齐。</w:t>
      </w:r>
    </w:p>
    <w:p w14:paraId="127CE84F">
      <w:pPr>
        <w:numPr>
          <w:ilvl w:val="0"/>
          <w:numId w:val="23"/>
        </w:numPr>
        <w:spacing w:line="360" w:lineRule="auto"/>
        <w:ind w:left="0" w:firstLine="640"/>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lang w:eastAsia="zh-CN"/>
        </w:rPr>
        <w:t>车辆</w:t>
      </w:r>
      <w:r>
        <w:rPr>
          <w:rFonts w:hint="eastAsia" w:ascii="宋体" w:hAnsi="宋体" w:eastAsia="宋体" w:cs="宋体"/>
          <w:bCs/>
          <w:color w:val="auto"/>
          <w:sz w:val="28"/>
          <w:szCs w:val="28"/>
          <w:highlight w:val="none"/>
        </w:rPr>
        <w:t>喷漆漆面应无显著气泡、流痕、皱纹、漏漆。</w:t>
      </w:r>
    </w:p>
    <w:p w14:paraId="0BA21A8B">
      <w:pPr>
        <w:numPr>
          <w:ilvl w:val="0"/>
          <w:numId w:val="23"/>
        </w:numPr>
        <w:spacing w:line="360" w:lineRule="auto"/>
        <w:ind w:left="0" w:firstLine="640"/>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不须喷漆部分不应有漆痕。</w:t>
      </w:r>
    </w:p>
    <w:p w14:paraId="1405580E">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宋体"/>
          <w:bCs/>
          <w:color w:val="auto"/>
          <w:sz w:val="28"/>
          <w:szCs w:val="28"/>
          <w:highlight w:val="none"/>
          <w:lang w:eastAsia="zh-CN"/>
        </w:rPr>
      </w:pPr>
      <w:r>
        <w:rPr>
          <w:rFonts w:hint="eastAsia" w:ascii="宋体" w:hAnsi="宋体" w:eastAsia="宋体" w:cs="宋体"/>
          <w:bCs/>
          <w:color w:val="auto"/>
          <w:sz w:val="28"/>
          <w:szCs w:val="28"/>
          <w:highlight w:val="none"/>
          <w:lang w:val="en-US" w:eastAsia="zh-CN"/>
        </w:rPr>
        <w:t>5.10.</w:t>
      </w:r>
      <w:r>
        <w:rPr>
          <w:rFonts w:hint="eastAsia" w:ascii="宋体" w:hAnsi="宋体" w:eastAsia="宋体" w:cs="宋体"/>
          <w:bCs/>
          <w:color w:val="auto"/>
          <w:sz w:val="28"/>
          <w:szCs w:val="28"/>
          <w:highlight w:val="none"/>
          <w:lang w:eastAsia="zh-CN"/>
        </w:rPr>
        <w:t>竣工出厂质量保证期标准</w:t>
      </w:r>
    </w:p>
    <w:p w14:paraId="218EAAEB">
      <w:pPr>
        <w:keepNext w:val="0"/>
        <w:keepLines w:val="0"/>
        <w:pageBreakBefore w:val="0"/>
        <w:widowControl w:val="0"/>
        <w:numPr>
          <w:ilvl w:val="0"/>
          <w:numId w:val="24"/>
        </w:numPr>
        <w:kinsoku/>
        <w:wordWrap/>
        <w:overflowPunct/>
        <w:topLinePunct w:val="0"/>
        <w:autoSpaceDE/>
        <w:autoSpaceDN/>
        <w:bidi w:val="0"/>
        <w:adjustRightInd/>
        <w:snapToGrid/>
        <w:spacing w:line="360" w:lineRule="auto"/>
        <w:ind w:left="0" w:leftChars="0" w:firstLine="560" w:firstLineChars="200"/>
        <w:textAlignment w:val="auto"/>
        <w:rPr>
          <w:rFonts w:hint="eastAsia" w:ascii="宋体" w:hAnsi="宋体" w:eastAsia="宋体" w:cs="宋体"/>
          <w:bCs/>
          <w:color w:val="auto"/>
          <w:sz w:val="28"/>
          <w:szCs w:val="28"/>
          <w:highlight w:val="none"/>
          <w:lang w:val="en-US" w:eastAsia="zh-CN"/>
        </w:rPr>
      </w:pPr>
      <w:r>
        <w:rPr>
          <w:rFonts w:hint="eastAsia" w:ascii="宋体" w:hAnsi="宋体" w:eastAsia="宋体" w:cs="宋体"/>
          <w:bCs/>
          <w:color w:val="auto"/>
          <w:sz w:val="28"/>
          <w:szCs w:val="28"/>
          <w:highlight w:val="none"/>
          <w:lang w:val="en-US" w:eastAsia="zh-CN"/>
        </w:rPr>
        <w:t>车辆修理质量保证期：机动车行驶 6000 公里或者 90 日；维护、小修及专项修理质量保证期为机动车行驶 1000 公里或者 15 日。</w:t>
      </w:r>
    </w:p>
    <w:p w14:paraId="28095900">
      <w:pPr>
        <w:keepNext w:val="0"/>
        <w:keepLines w:val="0"/>
        <w:pageBreakBefore w:val="0"/>
        <w:widowControl w:val="0"/>
        <w:numPr>
          <w:ilvl w:val="0"/>
          <w:numId w:val="24"/>
        </w:numPr>
        <w:kinsoku/>
        <w:wordWrap/>
        <w:overflowPunct/>
        <w:topLinePunct w:val="0"/>
        <w:autoSpaceDE/>
        <w:autoSpaceDN/>
        <w:bidi w:val="0"/>
        <w:adjustRightInd/>
        <w:snapToGrid/>
        <w:spacing w:line="360" w:lineRule="auto"/>
        <w:ind w:left="0" w:leftChars="0" w:firstLine="560" w:firstLineChars="200"/>
        <w:textAlignment w:val="auto"/>
        <w:rPr>
          <w:rFonts w:hint="eastAsia" w:ascii="宋体" w:hAnsi="宋体" w:eastAsia="宋体" w:cs="宋体"/>
          <w:bCs/>
          <w:color w:val="auto"/>
          <w:sz w:val="28"/>
          <w:szCs w:val="28"/>
          <w:highlight w:val="none"/>
          <w:lang w:val="en-US" w:eastAsia="zh-CN"/>
        </w:rPr>
      </w:pPr>
      <w:r>
        <w:rPr>
          <w:rFonts w:hint="eastAsia" w:ascii="宋体" w:hAnsi="宋体" w:eastAsia="宋体" w:cs="宋体"/>
          <w:bCs/>
          <w:color w:val="auto"/>
          <w:sz w:val="28"/>
          <w:szCs w:val="28"/>
          <w:highlight w:val="none"/>
          <w:lang w:val="en-US" w:eastAsia="zh-CN"/>
        </w:rPr>
        <w:t>质量保证期中行驶里程和日期指标，以先达到者为准。</w:t>
      </w:r>
    </w:p>
    <w:p w14:paraId="02C5B31E">
      <w:pPr>
        <w:keepNext w:val="0"/>
        <w:keepLines w:val="0"/>
        <w:pageBreakBefore w:val="0"/>
        <w:widowControl w:val="0"/>
        <w:numPr>
          <w:ilvl w:val="0"/>
          <w:numId w:val="24"/>
        </w:numPr>
        <w:kinsoku/>
        <w:wordWrap/>
        <w:overflowPunct/>
        <w:topLinePunct w:val="0"/>
        <w:autoSpaceDE/>
        <w:autoSpaceDN/>
        <w:bidi w:val="0"/>
        <w:adjustRightInd/>
        <w:snapToGrid/>
        <w:spacing w:line="360" w:lineRule="auto"/>
        <w:ind w:left="0" w:leftChars="0" w:firstLine="560" w:firstLineChars="200"/>
        <w:textAlignment w:val="auto"/>
        <w:rPr>
          <w:rFonts w:hint="eastAsia" w:ascii="宋体" w:hAnsi="宋体" w:eastAsia="宋体" w:cs="宋体"/>
          <w:bCs/>
          <w:color w:val="auto"/>
          <w:sz w:val="28"/>
          <w:szCs w:val="28"/>
          <w:highlight w:val="none"/>
          <w:lang w:val="en-US" w:eastAsia="zh-CN"/>
        </w:rPr>
      </w:pPr>
      <w:r>
        <w:rPr>
          <w:rFonts w:hint="eastAsia" w:ascii="宋体" w:hAnsi="宋体" w:eastAsia="宋体" w:cs="宋体"/>
          <w:bCs/>
          <w:color w:val="auto"/>
          <w:sz w:val="28"/>
          <w:szCs w:val="28"/>
          <w:highlight w:val="none"/>
          <w:lang w:val="en-US" w:eastAsia="zh-CN"/>
        </w:rPr>
        <w:t>机动车维修质量保证期，从维修竣工出厂之日起计算。</w:t>
      </w:r>
    </w:p>
    <w:p w14:paraId="1BA03897">
      <w:pPr>
        <w:keepNext w:val="0"/>
        <w:keepLines w:val="0"/>
        <w:pageBreakBefore w:val="0"/>
        <w:widowControl w:val="0"/>
        <w:numPr>
          <w:ilvl w:val="0"/>
          <w:numId w:val="24"/>
        </w:numPr>
        <w:kinsoku/>
        <w:wordWrap/>
        <w:overflowPunct/>
        <w:topLinePunct w:val="0"/>
        <w:autoSpaceDE/>
        <w:autoSpaceDN/>
        <w:bidi w:val="0"/>
        <w:adjustRightInd/>
        <w:snapToGrid/>
        <w:spacing w:line="360" w:lineRule="auto"/>
        <w:ind w:left="0" w:leftChars="0" w:firstLine="560" w:firstLineChars="200"/>
        <w:textAlignment w:val="auto"/>
        <w:rPr>
          <w:rFonts w:hint="eastAsia" w:ascii="宋体" w:hAnsi="宋体" w:eastAsia="宋体" w:cs="宋体"/>
          <w:bCs/>
          <w:color w:val="auto"/>
          <w:sz w:val="28"/>
          <w:szCs w:val="28"/>
          <w:highlight w:val="none"/>
          <w:lang w:val="en-US" w:eastAsia="zh-CN"/>
        </w:rPr>
      </w:pPr>
      <w:r>
        <w:rPr>
          <w:rFonts w:hint="eastAsia" w:ascii="宋体" w:hAnsi="宋体" w:eastAsia="宋体" w:cs="宋体"/>
          <w:bCs/>
          <w:color w:val="auto"/>
          <w:sz w:val="28"/>
          <w:szCs w:val="28"/>
          <w:highlight w:val="none"/>
          <w:lang w:val="en-US" w:eastAsia="zh-CN"/>
        </w:rPr>
        <w:t>在质量保证期和承诺的质量保证期内，因维修质量原因造成机动车无法正常使用，且车辆维保服务商在 3 日内不能或者无法提供因非维修原因而造成机动车无法使用的相关证据的，车辆维保服务商应当及时无偿返修，不得故意拖延或者无理拒绝。</w:t>
      </w:r>
    </w:p>
    <w:p w14:paraId="2684C349">
      <w:pPr>
        <w:keepNext w:val="0"/>
        <w:keepLines w:val="0"/>
        <w:pageBreakBefore w:val="0"/>
        <w:widowControl w:val="0"/>
        <w:numPr>
          <w:ilvl w:val="0"/>
          <w:numId w:val="24"/>
        </w:numPr>
        <w:kinsoku/>
        <w:wordWrap/>
        <w:overflowPunct/>
        <w:topLinePunct w:val="0"/>
        <w:autoSpaceDE/>
        <w:autoSpaceDN/>
        <w:bidi w:val="0"/>
        <w:adjustRightInd/>
        <w:snapToGrid/>
        <w:spacing w:line="360" w:lineRule="auto"/>
        <w:ind w:left="0" w:leftChars="0" w:firstLine="560" w:firstLineChars="200"/>
        <w:textAlignment w:val="auto"/>
        <w:rPr>
          <w:rFonts w:hint="eastAsia" w:ascii="宋体" w:hAnsi="宋体" w:eastAsia="宋体" w:cs="宋体"/>
          <w:bCs/>
          <w:color w:val="auto"/>
          <w:sz w:val="28"/>
          <w:szCs w:val="28"/>
          <w:highlight w:val="none"/>
          <w:lang w:val="en-US" w:eastAsia="zh-CN"/>
        </w:rPr>
      </w:pPr>
      <w:r>
        <w:rPr>
          <w:rFonts w:hint="eastAsia" w:ascii="宋体" w:hAnsi="宋体" w:eastAsia="宋体" w:cs="宋体"/>
          <w:bCs/>
          <w:color w:val="auto"/>
          <w:sz w:val="28"/>
          <w:szCs w:val="28"/>
          <w:highlight w:val="none"/>
          <w:lang w:val="en-US" w:eastAsia="zh-CN"/>
        </w:rPr>
        <w:t>在质量保证期内，机动车因同一故障或维修项目经两次修理仍不能正常使用的，车辆维保服务商应当负责联系其他机动车维修经营者，并承担相应修理费用。</w:t>
      </w:r>
    </w:p>
    <w:p w14:paraId="1AEA7469">
      <w:pPr>
        <w:keepNext w:val="0"/>
        <w:keepLines w:val="0"/>
        <w:pageBreakBefore w:val="0"/>
        <w:widowControl w:val="0"/>
        <w:numPr>
          <w:ilvl w:val="0"/>
          <w:numId w:val="24"/>
        </w:numPr>
        <w:kinsoku/>
        <w:wordWrap/>
        <w:overflowPunct/>
        <w:topLinePunct w:val="0"/>
        <w:autoSpaceDE/>
        <w:autoSpaceDN/>
        <w:bidi w:val="0"/>
        <w:adjustRightInd/>
        <w:snapToGrid/>
        <w:spacing w:line="360" w:lineRule="auto"/>
        <w:ind w:left="0" w:leftChars="0" w:firstLine="560" w:firstLineChars="200"/>
        <w:textAlignment w:val="auto"/>
        <w:rPr>
          <w:rFonts w:hint="eastAsia" w:ascii="宋体" w:hAnsi="宋体" w:eastAsia="宋体" w:cs="宋体"/>
          <w:bCs/>
          <w:color w:val="auto"/>
          <w:sz w:val="28"/>
          <w:szCs w:val="28"/>
          <w:highlight w:val="none"/>
          <w:lang w:val="en-US" w:eastAsia="zh-CN"/>
        </w:rPr>
      </w:pPr>
      <w:r>
        <w:rPr>
          <w:rFonts w:hint="eastAsia" w:ascii="宋体" w:hAnsi="宋体" w:eastAsia="宋体" w:cs="宋体"/>
          <w:bCs/>
          <w:color w:val="auto"/>
          <w:sz w:val="28"/>
          <w:szCs w:val="28"/>
          <w:highlight w:val="none"/>
          <w:lang w:val="en-US" w:eastAsia="zh-CN"/>
        </w:rPr>
        <w:t>车辆维保服务商应当公示承诺的机动车维修质量保证期。所承诺的质量保证期不得低于行业标准。</w:t>
      </w:r>
    </w:p>
    <w:p w14:paraId="6677F683">
      <w:pPr>
        <w:keepNext w:val="0"/>
        <w:keepLines w:val="0"/>
        <w:pageBreakBefore w:val="0"/>
        <w:widowControl w:val="0"/>
        <w:numPr>
          <w:ilvl w:val="0"/>
          <w:numId w:val="24"/>
        </w:numPr>
        <w:kinsoku/>
        <w:wordWrap/>
        <w:overflowPunct/>
        <w:topLinePunct w:val="0"/>
        <w:autoSpaceDE/>
        <w:autoSpaceDN/>
        <w:bidi w:val="0"/>
        <w:adjustRightInd/>
        <w:snapToGrid/>
        <w:spacing w:line="360" w:lineRule="auto"/>
        <w:ind w:left="0" w:leftChars="0" w:firstLine="560" w:firstLineChars="200"/>
        <w:textAlignment w:val="auto"/>
        <w:rPr>
          <w:rFonts w:hint="eastAsia" w:ascii="宋体" w:hAnsi="宋体" w:eastAsia="宋体" w:cs="宋体"/>
          <w:bCs/>
          <w:color w:val="auto"/>
          <w:sz w:val="28"/>
          <w:szCs w:val="28"/>
          <w:highlight w:val="none"/>
          <w:lang w:val="en-US" w:eastAsia="zh-CN"/>
        </w:rPr>
      </w:pPr>
      <w:r>
        <w:rPr>
          <w:rFonts w:hint="eastAsia" w:ascii="宋体" w:hAnsi="宋体" w:eastAsia="宋体" w:cs="宋体"/>
          <w:bCs/>
          <w:color w:val="auto"/>
          <w:sz w:val="28"/>
          <w:szCs w:val="28"/>
          <w:highlight w:val="none"/>
          <w:lang w:val="en-US" w:eastAsia="zh-CN"/>
        </w:rPr>
        <w:t>机动车维修质量纠纷双方当事人均有保护当事车辆原始状态的义务。必要时可拆检车辆有关部位，但双方当事人应同时在场，共同认可拆检情况。</w:t>
      </w:r>
    </w:p>
    <w:p w14:paraId="0D7215F0">
      <w:pPr>
        <w:keepNext w:val="0"/>
        <w:keepLines w:val="0"/>
        <w:pageBreakBefore w:val="0"/>
        <w:widowControl w:val="0"/>
        <w:numPr>
          <w:ilvl w:val="0"/>
          <w:numId w:val="24"/>
        </w:numPr>
        <w:kinsoku/>
        <w:wordWrap/>
        <w:overflowPunct/>
        <w:topLinePunct w:val="0"/>
        <w:autoSpaceDE/>
        <w:autoSpaceDN/>
        <w:bidi w:val="0"/>
        <w:adjustRightInd/>
        <w:snapToGrid/>
        <w:spacing w:line="360" w:lineRule="auto"/>
        <w:ind w:left="0" w:leftChars="0" w:firstLine="560" w:firstLineChars="200"/>
        <w:textAlignment w:val="auto"/>
        <w:rPr>
          <w:rFonts w:hint="eastAsia" w:ascii="宋体" w:hAnsi="宋体" w:eastAsia="宋体" w:cs="宋体"/>
          <w:bCs/>
          <w:color w:val="auto"/>
          <w:sz w:val="28"/>
          <w:szCs w:val="28"/>
          <w:highlight w:val="none"/>
          <w:lang w:val="en-US" w:eastAsia="zh-CN"/>
        </w:rPr>
      </w:pPr>
      <w:r>
        <w:rPr>
          <w:rFonts w:hint="eastAsia" w:ascii="宋体" w:hAnsi="宋体" w:eastAsia="宋体" w:cs="宋体"/>
          <w:bCs/>
          <w:color w:val="auto"/>
          <w:sz w:val="28"/>
          <w:szCs w:val="28"/>
          <w:highlight w:val="none"/>
          <w:lang w:val="en-US" w:eastAsia="zh-CN"/>
        </w:rPr>
        <w:t>对机动车维修质量的责任认定需要进行技术分析和鉴定，双方可共同委托维修行业主管机构协调或委托具有法定检测资格的检测机构作出技术分析鉴定。鉴定费用由责任方承担。</w:t>
      </w:r>
    </w:p>
    <w:p w14:paraId="6D849B0E">
      <w:pPr>
        <w:pStyle w:val="4"/>
        <w:keepNext w:val="0"/>
        <w:keepLines w:val="0"/>
        <w:numPr>
          <w:ilvl w:val="0"/>
          <w:numId w:val="0"/>
        </w:numPr>
        <w:autoSpaceDE w:val="0"/>
        <w:autoSpaceDN w:val="0"/>
        <w:adjustRightInd w:val="0"/>
        <w:snapToGrid w:val="0"/>
        <w:spacing w:before="120" w:after="60" w:line="360" w:lineRule="auto"/>
        <w:ind w:leftChars="0"/>
        <w:outlineLvl w:val="0"/>
        <w:rPr>
          <w:rFonts w:hint="eastAsia" w:ascii="宋体" w:hAnsi="宋体" w:eastAsia="宋体" w:cs="宋体"/>
          <w:bCs w:val="0"/>
          <w:color w:val="auto"/>
          <w:sz w:val="28"/>
          <w:szCs w:val="22"/>
          <w:highlight w:val="none"/>
        </w:rPr>
      </w:pPr>
      <w:r>
        <w:rPr>
          <w:rFonts w:hint="eastAsia"/>
          <w:lang w:val="en-US" w:eastAsia="zh-CN"/>
        </w:rPr>
        <w:t>六</w:t>
      </w:r>
      <w:r>
        <w:t>、</w:t>
      </w:r>
      <w:bookmarkStart w:id="13" w:name="_Toc6828"/>
      <w:r>
        <w:rPr>
          <w:rFonts w:hint="eastAsia" w:ascii="宋体" w:hAnsi="宋体" w:eastAsia="宋体" w:cs="宋体"/>
          <w:bCs w:val="0"/>
          <w:color w:val="auto"/>
          <w:sz w:val="28"/>
          <w:szCs w:val="22"/>
          <w:highlight w:val="none"/>
        </w:rPr>
        <w:t>顾客权益保障</w:t>
      </w:r>
      <w:bookmarkEnd w:id="13"/>
    </w:p>
    <w:p w14:paraId="1FDA0AD8">
      <w:pPr>
        <w:pStyle w:val="19"/>
        <w:ind w:firstLine="560" w:firstLineChars="200"/>
        <w:jc w:val="both"/>
        <w:rPr>
          <w:rFonts w:hint="eastAsia" w:asciiTheme="minorEastAsia" w:hAnsiTheme="minorEastAsia" w:eastAsiaTheme="minorEastAsia" w:cstheme="minorEastAsia"/>
          <w:sz w:val="28"/>
          <w:szCs w:val="28"/>
          <w:lang w:val="en-US" w:eastAsia="zh-CN"/>
        </w:rPr>
      </w:pPr>
      <w:r>
        <w:rPr>
          <w:rFonts w:hint="eastAsia" w:asciiTheme="minorEastAsia" w:hAnsiTheme="minorEastAsia" w:eastAsiaTheme="minorEastAsia" w:cstheme="minorEastAsia"/>
          <w:sz w:val="28"/>
          <w:szCs w:val="28"/>
          <w:lang w:val="en-US" w:eastAsia="zh-CN"/>
        </w:rPr>
        <w:t>1.车辆维保服务商在受理需求单位的车辆维修时，应以良好的职业道德和认真负责的态度做好维修服务。需求单位代表或其委托人可以随时到车辆维保服务商维修现场查看跟踪车辆维修情况，车辆维保服务商应积极提供条件给予配合，不得以任何借口拖延、推搪或拒绝。</w:t>
      </w:r>
    </w:p>
    <w:p w14:paraId="679F72F4">
      <w:pPr>
        <w:pStyle w:val="19"/>
        <w:ind w:firstLine="560" w:firstLineChars="200"/>
        <w:jc w:val="both"/>
        <w:rPr>
          <w:rFonts w:hint="eastAsia" w:asciiTheme="minorEastAsia" w:hAnsiTheme="minorEastAsia" w:eastAsiaTheme="minorEastAsia" w:cstheme="minorEastAsia"/>
          <w:sz w:val="28"/>
          <w:szCs w:val="28"/>
          <w:lang w:val="en-US" w:eastAsia="zh-CN"/>
        </w:rPr>
      </w:pPr>
      <w:r>
        <w:rPr>
          <w:rFonts w:hint="eastAsia" w:asciiTheme="minorEastAsia" w:hAnsiTheme="minorEastAsia" w:eastAsiaTheme="minorEastAsia" w:cstheme="minorEastAsia"/>
          <w:sz w:val="28"/>
          <w:szCs w:val="28"/>
          <w:lang w:val="en-US" w:eastAsia="zh-CN"/>
        </w:rPr>
        <w:t>2.车辆维保服务商在承接附带保险理赔的维修车辆时，须确保车辆安全性能和整车价值前提下，实事求是，切实维护和保障需求单位利益，严禁有不道德、不负责、不诚实的行为出现。</w:t>
      </w:r>
    </w:p>
    <w:p w14:paraId="77447656">
      <w:pPr>
        <w:pStyle w:val="19"/>
        <w:ind w:firstLine="560" w:firstLineChars="200"/>
        <w:jc w:val="both"/>
        <w:rPr>
          <w:rFonts w:hint="eastAsia" w:asciiTheme="minorEastAsia" w:hAnsiTheme="minorEastAsia" w:eastAsiaTheme="minorEastAsia" w:cstheme="minorEastAsia"/>
          <w:sz w:val="28"/>
          <w:szCs w:val="28"/>
          <w:lang w:val="en-US" w:eastAsia="zh-CN"/>
        </w:rPr>
      </w:pPr>
      <w:r>
        <w:rPr>
          <w:rFonts w:hint="eastAsia" w:asciiTheme="minorEastAsia" w:hAnsiTheme="minorEastAsia" w:eastAsiaTheme="minorEastAsia" w:cstheme="minorEastAsia"/>
          <w:sz w:val="28"/>
          <w:szCs w:val="28"/>
          <w:lang w:val="en-US" w:eastAsia="zh-CN"/>
        </w:rPr>
        <w:t>3.车辆维保服务商与需求单位车辆承保公司就事故车损的理赔标准和数额未能达成一致意见时，双方可共同委托当地专业车损评估机构进行评估鉴定，对其鉴定意见双方应予尊照执行，所发生的评估费用由车辆维保服务商负责。</w:t>
      </w:r>
    </w:p>
    <w:p w14:paraId="2A216C1C">
      <w:pPr>
        <w:pStyle w:val="19"/>
        <w:ind w:firstLine="560" w:firstLineChars="200"/>
        <w:jc w:val="both"/>
        <w:rPr>
          <w:rFonts w:hint="eastAsia" w:asciiTheme="minorEastAsia" w:hAnsiTheme="minorEastAsia" w:eastAsiaTheme="minorEastAsia" w:cstheme="minorEastAsia"/>
          <w:sz w:val="28"/>
          <w:szCs w:val="28"/>
          <w:lang w:val="en-US" w:eastAsia="zh-CN"/>
        </w:rPr>
      </w:pPr>
      <w:r>
        <w:rPr>
          <w:rFonts w:hint="eastAsia" w:asciiTheme="minorEastAsia" w:hAnsiTheme="minorEastAsia" w:eastAsiaTheme="minorEastAsia" w:cstheme="minorEastAsia"/>
          <w:sz w:val="28"/>
          <w:szCs w:val="28"/>
          <w:lang w:val="en-US" w:eastAsia="zh-CN"/>
        </w:rPr>
        <w:t>4.需求单位车辆在车辆维保服务商服务所在标包的行政区域范围内发生故障或事故，车辆维保服务商应为需求单位提供 24 小时免费救车、拖车服务。</w:t>
      </w:r>
    </w:p>
    <w:p w14:paraId="58D4C636">
      <w:pPr>
        <w:pStyle w:val="19"/>
        <w:ind w:firstLine="560" w:firstLineChars="200"/>
        <w:jc w:val="both"/>
        <w:rPr>
          <w:rFonts w:hint="eastAsia" w:asciiTheme="minorEastAsia" w:hAnsiTheme="minorEastAsia" w:eastAsiaTheme="minorEastAsia" w:cstheme="minorEastAsia"/>
          <w:sz w:val="28"/>
          <w:szCs w:val="28"/>
          <w:lang w:val="en-US" w:eastAsia="zh-CN"/>
        </w:rPr>
      </w:pPr>
      <w:r>
        <w:rPr>
          <w:rFonts w:hint="eastAsia" w:asciiTheme="minorEastAsia" w:hAnsiTheme="minorEastAsia" w:eastAsiaTheme="minorEastAsia" w:cstheme="minorEastAsia"/>
          <w:sz w:val="28"/>
          <w:szCs w:val="28"/>
          <w:lang w:val="en-US" w:eastAsia="zh-CN"/>
        </w:rPr>
        <w:t>5.车辆维保服务商安排专人跟进需求单位维修服务，编制车辆年审、保养维护维修计划，做好保养维护、维修的日常档案管理，免费提供重大节日前车辆安全检测，确保车辆的安全性能。</w:t>
      </w:r>
    </w:p>
    <w:p w14:paraId="1791A518">
      <w:pPr>
        <w:pStyle w:val="19"/>
        <w:ind w:firstLine="560" w:firstLineChars="200"/>
        <w:jc w:val="both"/>
        <w:rPr>
          <w:rFonts w:hint="eastAsia" w:asciiTheme="minorEastAsia" w:hAnsiTheme="minorEastAsia" w:eastAsiaTheme="minorEastAsia" w:cstheme="minorEastAsia"/>
          <w:sz w:val="28"/>
          <w:szCs w:val="28"/>
          <w:lang w:val="en-US" w:eastAsia="zh-CN"/>
        </w:rPr>
      </w:pPr>
      <w:r>
        <w:rPr>
          <w:rFonts w:hint="eastAsia" w:asciiTheme="minorEastAsia" w:hAnsiTheme="minorEastAsia" w:eastAsiaTheme="minorEastAsia" w:cstheme="minorEastAsia"/>
          <w:sz w:val="28"/>
          <w:szCs w:val="28"/>
          <w:lang w:val="en-US" w:eastAsia="zh-CN"/>
        </w:rPr>
        <w:t>6.车辆维保服务商应无条件使用需求单位要求的车辆维修管理系统（以下简称“维修系统”），通过维修系统完成车辆维修等相关业务的申请、审批、归档等工作流程；免费提供车辆维修记录薄，并做相关记录。</w:t>
      </w:r>
    </w:p>
    <w:p w14:paraId="596DFFB3">
      <w:pPr>
        <w:pStyle w:val="5"/>
      </w:pPr>
      <w:r>
        <w:t>七、服务期限及地点</w:t>
      </w:r>
    </w:p>
    <w:p w14:paraId="314C7397">
      <w:pPr>
        <w:pStyle w:val="19"/>
        <w:ind w:firstLine="560" w:firstLineChars="200"/>
        <w:jc w:val="both"/>
        <w:rPr>
          <w:rFonts w:hint="default" w:asciiTheme="minorEastAsia" w:hAnsiTheme="minorEastAsia" w:eastAsiaTheme="minorEastAsia" w:cstheme="minorEastAsia"/>
          <w:sz w:val="28"/>
          <w:szCs w:val="28"/>
          <w:lang w:val="en-US" w:eastAsia="zh-CN"/>
        </w:rPr>
      </w:pPr>
      <w:r>
        <w:rPr>
          <w:rFonts w:hint="eastAsia" w:asciiTheme="minorEastAsia" w:hAnsiTheme="minorEastAsia" w:eastAsiaTheme="minorEastAsia" w:cstheme="minorEastAsia"/>
          <w:sz w:val="28"/>
          <w:szCs w:val="28"/>
          <w:lang w:val="en-US" w:eastAsia="zh-CN"/>
        </w:rPr>
        <w:t>服务期限：（1）自合同签订之日至1年止。（2）到期前已通过合法采购程序确定新供应商的，新合同生效日起旧合同自动终止。（3）若期满未能确定新供应商，旧合同自动顺延，顺延期限最长不超过3个月。</w:t>
      </w:r>
    </w:p>
    <w:p w14:paraId="1BBE22E2">
      <w:pPr>
        <w:pStyle w:val="19"/>
        <w:ind w:firstLine="560" w:firstLineChars="200"/>
        <w:jc w:val="both"/>
        <w:rPr>
          <w:rFonts w:hint="eastAsia" w:asciiTheme="minorEastAsia" w:hAnsiTheme="minorEastAsia" w:eastAsiaTheme="minorEastAsia" w:cstheme="minorEastAsia"/>
          <w:sz w:val="28"/>
          <w:szCs w:val="28"/>
          <w:lang w:val="en-US" w:eastAsia="zh-CN"/>
        </w:rPr>
      </w:pPr>
      <w:r>
        <w:rPr>
          <w:rFonts w:hint="eastAsia" w:asciiTheme="minorEastAsia" w:hAnsiTheme="minorEastAsia" w:eastAsiaTheme="minorEastAsia" w:cstheme="minorEastAsia"/>
          <w:sz w:val="28"/>
          <w:szCs w:val="28"/>
          <w:lang w:val="en-US" w:eastAsia="zh-CN"/>
        </w:rPr>
        <w:t>服务地点：（1）采购方指定车辆停放点、供应商维修场地、车辆故障发生地。</w:t>
      </w:r>
    </w:p>
    <w:p w14:paraId="7B1A32BB">
      <w:pPr>
        <w:pStyle w:val="19"/>
        <w:ind w:firstLine="560" w:firstLineChars="200"/>
        <w:jc w:val="both"/>
        <w:rPr>
          <w:rFonts w:hint="default" w:asciiTheme="minorEastAsia" w:hAnsiTheme="minorEastAsia" w:eastAsiaTheme="minorEastAsia" w:cstheme="minorEastAsia"/>
          <w:sz w:val="28"/>
          <w:szCs w:val="28"/>
          <w:lang w:val="en-US" w:eastAsia="zh-CN"/>
        </w:rPr>
      </w:pPr>
    </w:p>
    <w:sectPr>
      <w:pgSz w:w="11906" w:h="16838"/>
      <w:pgMar w:top="1440" w:right="1440" w:bottom="1440" w:left="1440" w:header="708" w:footer="708" w:gutter="0"/>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1BE1049"/>
    <w:multiLevelType w:val="singleLevel"/>
    <w:tmpl w:val="81BE1049"/>
    <w:lvl w:ilvl="0" w:tentative="0">
      <w:start w:val="1"/>
      <w:numFmt w:val="decimal"/>
      <w:lvlText w:val="(%1)"/>
      <w:lvlJc w:val="left"/>
      <w:pPr>
        <w:ind w:left="425" w:hanging="425"/>
      </w:pPr>
      <w:rPr>
        <w:rFonts w:hint="default"/>
      </w:rPr>
    </w:lvl>
  </w:abstractNum>
  <w:abstractNum w:abstractNumId="1">
    <w:nsid w:val="8993A7C0"/>
    <w:multiLevelType w:val="singleLevel"/>
    <w:tmpl w:val="8993A7C0"/>
    <w:lvl w:ilvl="0" w:tentative="0">
      <w:start w:val="1"/>
      <w:numFmt w:val="decimal"/>
      <w:lvlText w:val="(%1)"/>
      <w:lvlJc w:val="left"/>
      <w:pPr>
        <w:ind w:left="845" w:hanging="425"/>
      </w:pPr>
      <w:rPr>
        <w:rFonts w:hint="default"/>
      </w:rPr>
    </w:lvl>
  </w:abstractNum>
  <w:abstractNum w:abstractNumId="2">
    <w:nsid w:val="8F6B4C6E"/>
    <w:multiLevelType w:val="singleLevel"/>
    <w:tmpl w:val="8F6B4C6E"/>
    <w:lvl w:ilvl="0" w:tentative="0">
      <w:start w:val="1"/>
      <w:numFmt w:val="decimal"/>
      <w:lvlText w:val="(%1)"/>
      <w:lvlJc w:val="left"/>
      <w:pPr>
        <w:ind w:left="845" w:hanging="425"/>
      </w:pPr>
      <w:rPr>
        <w:rFonts w:hint="default"/>
      </w:rPr>
    </w:lvl>
  </w:abstractNum>
  <w:abstractNum w:abstractNumId="3">
    <w:nsid w:val="9F24346B"/>
    <w:multiLevelType w:val="singleLevel"/>
    <w:tmpl w:val="9F24346B"/>
    <w:lvl w:ilvl="0" w:tentative="0">
      <w:start w:val="1"/>
      <w:numFmt w:val="decimal"/>
      <w:lvlText w:val="(%1)"/>
      <w:lvlJc w:val="left"/>
      <w:pPr>
        <w:ind w:left="3685" w:hanging="425"/>
      </w:pPr>
      <w:rPr>
        <w:rFonts w:hint="default"/>
      </w:rPr>
    </w:lvl>
  </w:abstractNum>
  <w:abstractNum w:abstractNumId="4">
    <w:nsid w:val="AA17943F"/>
    <w:multiLevelType w:val="singleLevel"/>
    <w:tmpl w:val="AA17943F"/>
    <w:lvl w:ilvl="0" w:tentative="0">
      <w:start w:val="1"/>
      <w:numFmt w:val="decimal"/>
      <w:lvlText w:val="(%1)"/>
      <w:lvlJc w:val="left"/>
      <w:pPr>
        <w:ind w:left="845" w:hanging="425"/>
      </w:pPr>
      <w:rPr>
        <w:rFonts w:hint="default"/>
      </w:rPr>
    </w:lvl>
  </w:abstractNum>
  <w:abstractNum w:abstractNumId="5">
    <w:nsid w:val="ADBE57FF"/>
    <w:multiLevelType w:val="singleLevel"/>
    <w:tmpl w:val="ADBE57FF"/>
    <w:lvl w:ilvl="0" w:tentative="0">
      <w:start w:val="1"/>
      <w:numFmt w:val="decimalEnclosedCircleChinese"/>
      <w:suff w:val="nothing"/>
      <w:lvlText w:val="%1　"/>
      <w:lvlJc w:val="left"/>
      <w:pPr>
        <w:ind w:left="0" w:firstLine="400"/>
      </w:pPr>
      <w:rPr>
        <w:rFonts w:hint="eastAsia"/>
      </w:rPr>
    </w:lvl>
  </w:abstractNum>
  <w:abstractNum w:abstractNumId="6">
    <w:nsid w:val="BDDFB168"/>
    <w:multiLevelType w:val="singleLevel"/>
    <w:tmpl w:val="BDDFB168"/>
    <w:lvl w:ilvl="0" w:tentative="0">
      <w:start w:val="1"/>
      <w:numFmt w:val="decimalEnclosedCircleChinese"/>
      <w:suff w:val="nothing"/>
      <w:lvlText w:val="%1　"/>
      <w:lvlJc w:val="left"/>
      <w:pPr>
        <w:ind w:left="0" w:firstLine="400"/>
      </w:pPr>
      <w:rPr>
        <w:rFonts w:hint="eastAsia"/>
      </w:rPr>
    </w:lvl>
  </w:abstractNum>
  <w:abstractNum w:abstractNumId="7">
    <w:nsid w:val="C1668FA9"/>
    <w:multiLevelType w:val="singleLevel"/>
    <w:tmpl w:val="C1668FA9"/>
    <w:lvl w:ilvl="0" w:tentative="0">
      <w:start w:val="1"/>
      <w:numFmt w:val="decimalEnclosedCircleChinese"/>
      <w:suff w:val="nothing"/>
      <w:lvlText w:val="%1　"/>
      <w:lvlJc w:val="left"/>
      <w:pPr>
        <w:ind w:left="0" w:firstLine="400"/>
      </w:pPr>
      <w:rPr>
        <w:rFonts w:hint="eastAsia"/>
      </w:rPr>
    </w:lvl>
  </w:abstractNum>
  <w:abstractNum w:abstractNumId="8">
    <w:nsid w:val="CE130FAC"/>
    <w:multiLevelType w:val="singleLevel"/>
    <w:tmpl w:val="CE130FAC"/>
    <w:lvl w:ilvl="0" w:tentative="0">
      <w:start w:val="1"/>
      <w:numFmt w:val="decimal"/>
      <w:lvlText w:val="(%1)"/>
      <w:lvlJc w:val="left"/>
      <w:pPr>
        <w:ind w:left="425" w:hanging="425"/>
      </w:pPr>
      <w:rPr>
        <w:rFonts w:hint="default"/>
      </w:rPr>
    </w:lvl>
  </w:abstractNum>
  <w:abstractNum w:abstractNumId="9">
    <w:nsid w:val="E24A191F"/>
    <w:multiLevelType w:val="singleLevel"/>
    <w:tmpl w:val="E24A191F"/>
    <w:lvl w:ilvl="0" w:tentative="0">
      <w:start w:val="1"/>
      <w:numFmt w:val="decimal"/>
      <w:lvlText w:val="(%1)"/>
      <w:lvlJc w:val="left"/>
      <w:pPr>
        <w:ind w:left="845" w:hanging="425"/>
      </w:pPr>
      <w:rPr>
        <w:rFonts w:hint="default"/>
      </w:rPr>
    </w:lvl>
  </w:abstractNum>
  <w:abstractNum w:abstractNumId="10">
    <w:nsid w:val="E6F840F5"/>
    <w:multiLevelType w:val="singleLevel"/>
    <w:tmpl w:val="E6F840F5"/>
    <w:lvl w:ilvl="0" w:tentative="0">
      <w:start w:val="1"/>
      <w:numFmt w:val="decimal"/>
      <w:lvlText w:val="(%1)"/>
      <w:lvlJc w:val="left"/>
      <w:pPr>
        <w:ind w:left="425" w:hanging="425"/>
      </w:pPr>
      <w:rPr>
        <w:rFonts w:hint="default"/>
      </w:rPr>
    </w:lvl>
  </w:abstractNum>
  <w:abstractNum w:abstractNumId="11">
    <w:nsid w:val="EFF9CB02"/>
    <w:multiLevelType w:val="singleLevel"/>
    <w:tmpl w:val="EFF9CB02"/>
    <w:lvl w:ilvl="0" w:tentative="0">
      <w:start w:val="1"/>
      <w:numFmt w:val="decimal"/>
      <w:lvlText w:val="(%1)"/>
      <w:lvlJc w:val="left"/>
      <w:pPr>
        <w:ind w:left="425" w:hanging="425"/>
      </w:pPr>
      <w:rPr>
        <w:rFonts w:hint="default"/>
      </w:rPr>
    </w:lvl>
  </w:abstractNum>
  <w:abstractNum w:abstractNumId="12">
    <w:nsid w:val="F91EA0E9"/>
    <w:multiLevelType w:val="singleLevel"/>
    <w:tmpl w:val="F91EA0E9"/>
    <w:lvl w:ilvl="0" w:tentative="0">
      <w:start w:val="1"/>
      <w:numFmt w:val="decimalEnclosedCircleChinese"/>
      <w:suff w:val="nothing"/>
      <w:lvlText w:val="%1　"/>
      <w:lvlJc w:val="left"/>
      <w:pPr>
        <w:ind w:left="0" w:firstLine="400"/>
      </w:pPr>
      <w:rPr>
        <w:rFonts w:hint="eastAsia"/>
      </w:rPr>
    </w:lvl>
  </w:abstractNum>
  <w:abstractNum w:abstractNumId="13">
    <w:nsid w:val="FEAD9F6F"/>
    <w:multiLevelType w:val="singleLevel"/>
    <w:tmpl w:val="FEAD9F6F"/>
    <w:lvl w:ilvl="0" w:tentative="0">
      <w:start w:val="1"/>
      <w:numFmt w:val="decimalEnclosedCircleChinese"/>
      <w:suff w:val="nothing"/>
      <w:lvlText w:val="%1　"/>
      <w:lvlJc w:val="left"/>
      <w:pPr>
        <w:ind w:left="0" w:firstLine="400"/>
      </w:pPr>
      <w:rPr>
        <w:rFonts w:hint="eastAsia"/>
      </w:rPr>
    </w:lvl>
  </w:abstractNum>
  <w:abstractNum w:abstractNumId="14">
    <w:nsid w:val="03468703"/>
    <w:multiLevelType w:val="singleLevel"/>
    <w:tmpl w:val="03468703"/>
    <w:lvl w:ilvl="0" w:tentative="0">
      <w:start w:val="1"/>
      <w:numFmt w:val="decimal"/>
      <w:lvlText w:val="(%1)"/>
      <w:lvlJc w:val="left"/>
      <w:pPr>
        <w:ind w:left="845" w:hanging="425"/>
      </w:pPr>
      <w:rPr>
        <w:rFonts w:hint="default"/>
      </w:rPr>
    </w:lvl>
  </w:abstractNum>
  <w:abstractNum w:abstractNumId="15">
    <w:nsid w:val="0DAEBEB2"/>
    <w:multiLevelType w:val="singleLevel"/>
    <w:tmpl w:val="0DAEBEB2"/>
    <w:lvl w:ilvl="0" w:tentative="0">
      <w:start w:val="1"/>
      <w:numFmt w:val="decimalEnclosedCircleChinese"/>
      <w:suff w:val="nothing"/>
      <w:lvlText w:val="%1　"/>
      <w:lvlJc w:val="left"/>
      <w:pPr>
        <w:ind w:left="0" w:firstLine="400"/>
      </w:pPr>
      <w:rPr>
        <w:rFonts w:hint="eastAsia"/>
      </w:rPr>
    </w:lvl>
  </w:abstractNum>
  <w:abstractNum w:abstractNumId="16">
    <w:nsid w:val="1288CE49"/>
    <w:multiLevelType w:val="singleLevel"/>
    <w:tmpl w:val="1288CE49"/>
    <w:lvl w:ilvl="0" w:tentative="0">
      <w:start w:val="1"/>
      <w:numFmt w:val="decimal"/>
      <w:lvlText w:val="(%1)"/>
      <w:lvlJc w:val="left"/>
      <w:pPr>
        <w:ind w:left="425" w:hanging="425"/>
      </w:pPr>
      <w:rPr>
        <w:rFonts w:hint="default"/>
      </w:rPr>
    </w:lvl>
  </w:abstractNum>
  <w:abstractNum w:abstractNumId="17">
    <w:nsid w:val="1E1CF0B2"/>
    <w:multiLevelType w:val="singleLevel"/>
    <w:tmpl w:val="1E1CF0B2"/>
    <w:lvl w:ilvl="0" w:tentative="0">
      <w:start w:val="1"/>
      <w:numFmt w:val="decimal"/>
      <w:lvlText w:val="(%1)"/>
      <w:lvlJc w:val="left"/>
      <w:pPr>
        <w:ind w:left="845" w:hanging="425"/>
      </w:pPr>
      <w:rPr>
        <w:rFonts w:hint="default"/>
      </w:rPr>
    </w:lvl>
  </w:abstractNum>
  <w:abstractNum w:abstractNumId="18">
    <w:nsid w:val="394F8E8B"/>
    <w:multiLevelType w:val="singleLevel"/>
    <w:tmpl w:val="394F8E8B"/>
    <w:lvl w:ilvl="0" w:tentative="0">
      <w:start w:val="1"/>
      <w:numFmt w:val="decimal"/>
      <w:lvlText w:val="(%1)"/>
      <w:lvlJc w:val="left"/>
      <w:pPr>
        <w:ind w:left="845" w:hanging="425"/>
      </w:pPr>
      <w:rPr>
        <w:rFonts w:hint="default"/>
      </w:rPr>
    </w:lvl>
  </w:abstractNum>
  <w:abstractNum w:abstractNumId="19">
    <w:nsid w:val="50360A3D"/>
    <w:multiLevelType w:val="singleLevel"/>
    <w:tmpl w:val="50360A3D"/>
    <w:lvl w:ilvl="0" w:tentative="0">
      <w:start w:val="1"/>
      <w:numFmt w:val="decimal"/>
      <w:lvlText w:val="(%1)"/>
      <w:lvlJc w:val="left"/>
      <w:pPr>
        <w:ind w:left="425" w:hanging="425"/>
      </w:pPr>
      <w:rPr>
        <w:rFonts w:hint="default"/>
      </w:rPr>
    </w:lvl>
  </w:abstractNum>
  <w:abstractNum w:abstractNumId="20">
    <w:nsid w:val="59C32A73"/>
    <w:multiLevelType w:val="singleLevel"/>
    <w:tmpl w:val="59C32A73"/>
    <w:lvl w:ilvl="0" w:tentative="0">
      <w:start w:val="1"/>
      <w:numFmt w:val="decimalEnclosedCircleChinese"/>
      <w:suff w:val="nothing"/>
      <w:lvlText w:val="%1　"/>
      <w:lvlJc w:val="left"/>
      <w:pPr>
        <w:ind w:left="0" w:firstLine="400"/>
      </w:pPr>
      <w:rPr>
        <w:rFonts w:hint="eastAsia"/>
      </w:rPr>
    </w:lvl>
  </w:abstractNum>
  <w:abstractNum w:abstractNumId="21">
    <w:nsid w:val="6777D487"/>
    <w:multiLevelType w:val="singleLevel"/>
    <w:tmpl w:val="6777D487"/>
    <w:lvl w:ilvl="0" w:tentative="0">
      <w:start w:val="1"/>
      <w:numFmt w:val="decimalEnclosedCircleChinese"/>
      <w:suff w:val="nothing"/>
      <w:lvlText w:val="%1　"/>
      <w:lvlJc w:val="left"/>
      <w:pPr>
        <w:ind w:left="0" w:firstLine="400"/>
      </w:pPr>
      <w:rPr>
        <w:rFonts w:hint="eastAsia"/>
      </w:rPr>
    </w:lvl>
  </w:abstractNum>
  <w:abstractNum w:abstractNumId="22">
    <w:nsid w:val="6E84F3B1"/>
    <w:multiLevelType w:val="singleLevel"/>
    <w:tmpl w:val="6E84F3B1"/>
    <w:lvl w:ilvl="0" w:tentative="0">
      <w:start w:val="1"/>
      <w:numFmt w:val="decimal"/>
      <w:lvlText w:val="(%1)"/>
      <w:lvlJc w:val="left"/>
      <w:pPr>
        <w:tabs>
          <w:tab w:val="left" w:pos="420"/>
        </w:tabs>
        <w:ind w:left="845" w:hanging="425"/>
      </w:pPr>
      <w:rPr>
        <w:rFonts w:hint="default"/>
      </w:rPr>
    </w:lvl>
  </w:abstractNum>
  <w:abstractNum w:abstractNumId="23">
    <w:nsid w:val="7C367970"/>
    <w:multiLevelType w:val="singleLevel"/>
    <w:tmpl w:val="7C367970"/>
    <w:lvl w:ilvl="0" w:tentative="0">
      <w:start w:val="1"/>
      <w:numFmt w:val="decimal"/>
      <w:lvlText w:val="(%1)"/>
      <w:lvlJc w:val="left"/>
      <w:pPr>
        <w:ind w:left="845" w:hanging="425"/>
      </w:pPr>
      <w:rPr>
        <w:rFonts w:hint="default"/>
      </w:rPr>
    </w:lvl>
  </w:abstractNum>
  <w:num w:numId="1">
    <w:abstractNumId w:val="10"/>
  </w:num>
  <w:num w:numId="2">
    <w:abstractNumId w:val="19"/>
  </w:num>
  <w:num w:numId="3">
    <w:abstractNumId w:val="8"/>
  </w:num>
  <w:num w:numId="4">
    <w:abstractNumId w:val="11"/>
  </w:num>
  <w:num w:numId="5">
    <w:abstractNumId w:val="16"/>
  </w:num>
  <w:num w:numId="6">
    <w:abstractNumId w:val="0"/>
  </w:num>
  <w:num w:numId="7">
    <w:abstractNumId w:val="3"/>
  </w:num>
  <w:num w:numId="8">
    <w:abstractNumId w:val="13"/>
  </w:num>
  <w:num w:numId="9">
    <w:abstractNumId w:val="6"/>
  </w:num>
  <w:num w:numId="10">
    <w:abstractNumId w:val="20"/>
  </w:num>
  <w:num w:numId="11">
    <w:abstractNumId w:val="4"/>
  </w:num>
  <w:num w:numId="12">
    <w:abstractNumId w:val="9"/>
  </w:num>
  <w:num w:numId="13">
    <w:abstractNumId w:val="23"/>
  </w:num>
  <w:num w:numId="14">
    <w:abstractNumId w:val="2"/>
  </w:num>
  <w:num w:numId="15">
    <w:abstractNumId w:val="14"/>
  </w:num>
  <w:num w:numId="16">
    <w:abstractNumId w:val="17"/>
  </w:num>
  <w:num w:numId="17">
    <w:abstractNumId w:val="7"/>
  </w:num>
  <w:num w:numId="18">
    <w:abstractNumId w:val="5"/>
  </w:num>
  <w:num w:numId="19">
    <w:abstractNumId w:val="12"/>
  </w:num>
  <w:num w:numId="20">
    <w:abstractNumId w:val="15"/>
  </w:num>
  <w:num w:numId="21">
    <w:abstractNumId w:val="21"/>
  </w:num>
  <w:num w:numId="22">
    <w:abstractNumId w:val="1"/>
  </w:num>
  <w:num w:numId="23">
    <w:abstractNumId w:val="18"/>
  </w:num>
  <w:num w:numId="24">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7"/>
  <w:displayBackgroundShape w:val="1"/>
  <w:documentProtection w:enforcement="0"/>
  <w:compat>
    <w:useFELayout/>
    <w:compatSetting w:name="compatibilityMode" w:uri="http://schemas.microsoft.com/office/word" w:val="15"/>
  </w:compat>
  <w:rsids>
    <w:rsidRoot w:val="00000000"/>
    <w:rsid w:val="007D451F"/>
    <w:rsid w:val="01E3032A"/>
    <w:rsid w:val="0A740EB7"/>
    <w:rsid w:val="168420EC"/>
    <w:rsid w:val="387127E3"/>
    <w:rsid w:val="596E7B62"/>
    <w:rsid w:val="5C5C0526"/>
    <w:rsid w:val="5FDD794A"/>
    <w:rsid w:val="5FFDB838"/>
    <w:rsid w:val="68E725C1"/>
    <w:rsid w:val="6A575BB3"/>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qFormat="1" w:uiPriority="99"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qFormat="1" w:uiPriority="99"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qFormat="1" w:unhideWhenUsed="0" w:uiPriority="0" w:semiHidden="0" w:name="Body Text Indent 3"/>
    <w:lsdException w:unhideWhenUsed="0" w:uiPriority="0" w:semiHidden="0" w:name="Block Text"/>
    <w:lsdException w:qFormat="1"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sz w:val="21"/>
      <w:szCs w:val="22"/>
    </w:rPr>
  </w:style>
  <w:style w:type="paragraph" w:styleId="4">
    <w:name w:val="heading 1"/>
    <w:basedOn w:val="1"/>
    <w:next w:val="1"/>
    <w:qFormat/>
    <w:uiPriority w:val="0"/>
    <w:pPr>
      <w:spacing w:before="380" w:after="140" w:line="288" w:lineRule="auto"/>
      <w:ind w:left="0"/>
      <w:jc w:val="left"/>
      <w:outlineLvl w:val="0"/>
    </w:pPr>
    <w:rPr>
      <w:rFonts w:ascii="Arial" w:hAnsi="Arial" w:eastAsia="等线" w:cs="Arial"/>
      <w:b/>
      <w:bCs/>
      <w:sz w:val="36"/>
      <w:szCs w:val="36"/>
    </w:rPr>
  </w:style>
  <w:style w:type="paragraph" w:styleId="5">
    <w:name w:val="heading 2"/>
    <w:next w:val="1"/>
    <w:qFormat/>
    <w:uiPriority w:val="0"/>
    <w:pPr>
      <w:spacing w:before="320" w:after="120" w:line="288" w:lineRule="auto"/>
      <w:ind w:left="0"/>
      <w:jc w:val="left"/>
      <w:outlineLvl w:val="1"/>
    </w:pPr>
    <w:rPr>
      <w:rFonts w:ascii="Arial" w:hAnsi="Arial" w:eastAsia="等线" w:cs="Arial"/>
      <w:b/>
      <w:bCs/>
      <w:sz w:val="32"/>
      <w:szCs w:val="32"/>
    </w:rPr>
  </w:style>
  <w:style w:type="paragraph" w:styleId="6">
    <w:name w:val="heading 3"/>
    <w:next w:val="1"/>
    <w:qFormat/>
    <w:uiPriority w:val="0"/>
    <w:pPr>
      <w:spacing w:before="300" w:after="120" w:line="288" w:lineRule="auto"/>
      <w:ind w:left="0"/>
      <w:jc w:val="left"/>
      <w:outlineLvl w:val="2"/>
    </w:pPr>
    <w:rPr>
      <w:rFonts w:ascii="Arial" w:hAnsi="Arial" w:eastAsia="等线" w:cs="Arial"/>
      <w:b/>
      <w:bCs/>
      <w:sz w:val="30"/>
      <w:szCs w:val="30"/>
    </w:rPr>
  </w:style>
  <w:style w:type="paragraph" w:styleId="7">
    <w:name w:val="heading 4"/>
    <w:next w:val="1"/>
    <w:qFormat/>
    <w:uiPriority w:val="0"/>
    <w:pPr>
      <w:spacing w:before="260" w:after="120" w:line="288" w:lineRule="auto"/>
      <w:ind w:left="0"/>
      <w:jc w:val="left"/>
      <w:outlineLvl w:val="3"/>
    </w:pPr>
    <w:rPr>
      <w:rFonts w:ascii="Arial" w:hAnsi="Arial" w:eastAsia="等线" w:cs="Arial"/>
      <w:b/>
      <w:bCs/>
      <w:sz w:val="28"/>
      <w:szCs w:val="28"/>
    </w:rPr>
  </w:style>
  <w:style w:type="paragraph" w:styleId="8">
    <w:name w:val="heading 5"/>
    <w:next w:val="1"/>
    <w:qFormat/>
    <w:uiPriority w:val="0"/>
    <w:pPr>
      <w:spacing w:before="240" w:after="120" w:line="288" w:lineRule="auto"/>
      <w:ind w:left="0"/>
      <w:jc w:val="left"/>
      <w:outlineLvl w:val="4"/>
    </w:pPr>
    <w:rPr>
      <w:rFonts w:ascii="Arial" w:hAnsi="Arial" w:eastAsia="等线" w:cs="Arial"/>
      <w:b/>
      <w:bCs/>
      <w:sz w:val="24"/>
      <w:szCs w:val="24"/>
    </w:rPr>
  </w:style>
  <w:style w:type="paragraph" w:styleId="9">
    <w:name w:val="heading 6"/>
    <w:next w:val="1"/>
    <w:qFormat/>
    <w:uiPriority w:val="0"/>
    <w:pPr>
      <w:spacing w:before="240" w:after="120" w:line="288" w:lineRule="auto"/>
      <w:ind w:left="0"/>
      <w:jc w:val="left"/>
      <w:outlineLvl w:val="5"/>
    </w:pPr>
    <w:rPr>
      <w:rFonts w:ascii="Arial" w:hAnsi="Arial" w:eastAsia="等线" w:cs="Arial"/>
      <w:b/>
      <w:bCs/>
      <w:sz w:val="24"/>
      <w:szCs w:val="24"/>
    </w:rPr>
  </w:style>
  <w:style w:type="character" w:default="1" w:styleId="14">
    <w:name w:val="Default Paragraph Font"/>
    <w:semiHidden/>
    <w:qFormat/>
    <w:uiPriority w:val="0"/>
  </w:style>
  <w:style w:type="table" w:default="1" w:styleId="13">
    <w:name w:val="Normal Table"/>
    <w:semiHidden/>
    <w:qFormat/>
    <w:uiPriority w:val="0"/>
    <w:tblPr>
      <w:tblCellMar>
        <w:top w:w="0" w:type="dxa"/>
        <w:left w:w="108" w:type="dxa"/>
        <w:bottom w:w="0" w:type="dxa"/>
        <w:right w:w="108" w:type="dxa"/>
      </w:tblCellMar>
    </w:tblPr>
  </w:style>
  <w:style w:type="paragraph" w:customStyle="1" w:styleId="2">
    <w:name w:val="_Style 3"/>
    <w:basedOn w:val="1"/>
    <w:next w:val="3"/>
    <w:qFormat/>
    <w:uiPriority w:val="0"/>
    <w:pPr>
      <w:autoSpaceDE w:val="0"/>
      <w:autoSpaceDN w:val="0"/>
      <w:adjustRightInd w:val="0"/>
      <w:spacing w:line="480" w:lineRule="exact"/>
      <w:ind w:firstLine="560"/>
      <w:jc w:val="left"/>
    </w:pPr>
    <w:rPr>
      <w:rFonts w:ascii="宋体" w:hAnsi="宋体"/>
      <w:color w:val="000000"/>
      <w:kern w:val="0"/>
      <w:sz w:val="28"/>
      <w:szCs w:val="20"/>
    </w:rPr>
  </w:style>
  <w:style w:type="paragraph" w:styleId="3">
    <w:name w:val="Body Text Indent 3"/>
    <w:basedOn w:val="1"/>
    <w:qFormat/>
    <w:uiPriority w:val="0"/>
    <w:pPr>
      <w:spacing w:after="120"/>
      <w:ind w:left="420" w:leftChars="200"/>
    </w:pPr>
    <w:rPr>
      <w:sz w:val="16"/>
      <w:szCs w:val="16"/>
    </w:rPr>
  </w:style>
  <w:style w:type="paragraph" w:styleId="10">
    <w:name w:val="Body Text"/>
    <w:basedOn w:val="1"/>
    <w:next w:val="11"/>
    <w:qFormat/>
    <w:uiPriority w:val="0"/>
    <w:pPr>
      <w:spacing w:after="120"/>
    </w:pPr>
  </w:style>
  <w:style w:type="paragraph" w:styleId="11">
    <w:name w:val="Title"/>
    <w:basedOn w:val="1"/>
    <w:next w:val="1"/>
    <w:qFormat/>
    <w:uiPriority w:val="0"/>
    <w:pPr>
      <w:spacing w:before="480" w:after="480" w:line="288" w:lineRule="auto"/>
      <w:ind w:left="0"/>
    </w:pPr>
    <w:rPr>
      <w:rFonts w:ascii="Arial" w:hAnsi="Arial" w:eastAsia="等线" w:cs="Arial"/>
      <w:b/>
      <w:bCs/>
      <w:sz w:val="52"/>
      <w:szCs w:val="52"/>
    </w:rPr>
  </w:style>
  <w:style w:type="paragraph" w:styleId="12">
    <w:name w:val="footnote text"/>
    <w:link w:val="18"/>
    <w:semiHidden/>
    <w:unhideWhenUsed/>
    <w:qFormat/>
    <w:uiPriority w:val="99"/>
    <w:pPr>
      <w:spacing w:after="0" w:line="240" w:lineRule="auto"/>
    </w:pPr>
    <w:rPr>
      <w:rFonts w:asciiTheme="minorHAnsi" w:hAnsiTheme="minorHAnsi" w:eastAsiaTheme="minorEastAsia" w:cstheme="minorBidi"/>
      <w:sz w:val="20"/>
      <w:szCs w:val="20"/>
    </w:rPr>
  </w:style>
  <w:style w:type="character" w:styleId="15">
    <w:name w:val="Hyperlink"/>
    <w:unhideWhenUsed/>
    <w:qFormat/>
    <w:uiPriority w:val="99"/>
    <w:rPr>
      <w:color w:val="0563C1"/>
      <w:u w:val="single"/>
    </w:rPr>
  </w:style>
  <w:style w:type="character" w:styleId="16">
    <w:name w:val="footnote reference"/>
    <w:semiHidden/>
    <w:unhideWhenUsed/>
    <w:qFormat/>
    <w:uiPriority w:val="99"/>
    <w:rPr>
      <w:vertAlign w:val="superscript"/>
    </w:rPr>
  </w:style>
  <w:style w:type="paragraph" w:styleId="17">
    <w:name w:val="List Paragraph"/>
    <w:qFormat/>
    <w:uiPriority w:val="0"/>
    <w:rPr>
      <w:rFonts w:asciiTheme="minorHAnsi" w:hAnsiTheme="minorHAnsi" w:eastAsiaTheme="minorEastAsia" w:cstheme="minorBidi"/>
      <w:sz w:val="21"/>
      <w:szCs w:val="22"/>
    </w:rPr>
  </w:style>
  <w:style w:type="character" w:customStyle="1" w:styleId="18">
    <w:name w:val="Footnote Text Char"/>
    <w:link w:val="12"/>
    <w:semiHidden/>
    <w:unhideWhenUsed/>
    <w:qFormat/>
    <w:uiPriority w:val="99"/>
    <w:rPr>
      <w:sz w:val="20"/>
      <w:szCs w:val="20"/>
    </w:rPr>
  </w:style>
  <w:style w:type="paragraph" w:customStyle="1" w:styleId="19">
    <w:name w:val="_Style 13"/>
    <w:qFormat/>
    <w:uiPriority w:val="0"/>
    <w:pPr>
      <w:spacing w:before="120" w:after="120" w:line="288" w:lineRule="auto"/>
      <w:ind w:left="0"/>
      <w:jc w:val="left"/>
    </w:pPr>
    <w:rPr>
      <w:rFonts w:ascii="Arial" w:hAnsi="Arial" w:eastAsia="等线" w:cs="Arial"/>
      <w:sz w:val="22"/>
      <w:szCs w:val="22"/>
    </w:rPr>
  </w:style>
  <w:style w:type="paragraph" w:customStyle="1" w:styleId="20">
    <w:name w:val="_Style 14"/>
    <w:qFormat/>
    <w:uiPriority w:val="0"/>
    <w:pPr>
      <w:spacing w:before="120" w:after="120" w:line="288" w:lineRule="auto"/>
      <w:ind w:left="0"/>
      <w:jc w:val="left"/>
    </w:pPr>
    <w:rPr>
      <w:rFonts w:ascii="Arial" w:hAnsi="Arial" w:eastAsia="等线" w:cs="Arial"/>
      <w:color w:val="8F959E"/>
      <w:sz w:val="22"/>
      <w:szCs w:val="22"/>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Pages>17</Pages>
  <TotalTime>29</TotalTime>
  <ScaleCrop>false</ScaleCrop>
  <LinksUpToDate>false</LinksUpToDate>
  <Application>WPS Office_12.1.0.22529_F1E327BC-269C-435d-A152-05C5408002CA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2026-05-06T14:59:00Z</dcterms:created>
  <dc:creator>Un-named</dc:creator>
  <cp:lastModifiedBy>yangyanbin</cp:lastModifiedBy>
  <dcterms:modified xsi:type="dcterms:W3CDTF">2026-07-30T07:06:44Z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ICV">
    <vt:lpwstr>8BDBCD860916435CB88C50C001AC8654</vt:lpwstr>
  </property>
</Properties>
</file>