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鼎和财产保险股份有限公司大理中心支公司食材采购配送服务项目技术文件</w:t>
      </w:r>
    </w:p>
    <w:p>
      <w:pPr>
        <w:numPr>
          <w:ilvl w:val="0"/>
          <w:numId w:val="0"/>
        </w:numPr>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t>一、项目概况</w:t>
      </w:r>
      <w:bookmarkStart w:id="0" w:name="_GoBack"/>
      <w:bookmarkEnd w:id="0"/>
    </w:p>
    <w:p>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为体现公司关怀，解决员工工作期间用餐问题，大理中支拟签订食材采购服务项目合同。</w:t>
      </w:r>
    </w:p>
    <w:p>
      <w:pPr>
        <w:numPr>
          <w:ilvl w:val="0"/>
          <w:numId w:val="0"/>
        </w:numPr>
        <w:ind w:leftChars="0"/>
        <w:rPr>
          <w:rFonts w:hint="eastAsia"/>
          <w:b/>
          <w:bCs/>
          <w:sz w:val="36"/>
          <w:szCs w:val="36"/>
          <w:lang w:val="en-US" w:eastAsia="zh-CN"/>
        </w:rPr>
      </w:pPr>
      <w:r>
        <w:rPr>
          <w:rFonts w:hint="eastAsia"/>
          <w:b/>
          <w:bCs/>
          <w:sz w:val="36"/>
          <w:szCs w:val="36"/>
          <w:lang w:val="en-US" w:eastAsia="zh-CN"/>
        </w:rPr>
        <w:t>二、项目相关要求</w:t>
      </w:r>
    </w:p>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1.采购配送服务范围</w:t>
      </w:r>
    </w:p>
    <w:p>
      <w:pPr>
        <w:spacing w:line="360" w:lineRule="auto"/>
        <w:ind w:firstLine="560"/>
        <w:rPr>
          <w:rFonts w:hint="eastAsia" w:ascii="仿宋" w:hAnsi="仿宋" w:eastAsia="仿宋" w:cs="仿宋"/>
          <w:kern w:val="0"/>
          <w:sz w:val="32"/>
          <w:szCs w:val="32"/>
          <w:u w:val="none"/>
        </w:rPr>
      </w:pPr>
      <w:r>
        <w:rPr>
          <w:rFonts w:hint="eastAsia" w:ascii="仿宋" w:hAnsi="仿宋" w:eastAsia="仿宋" w:cs="仿宋"/>
          <w:kern w:val="0"/>
          <w:sz w:val="32"/>
          <w:szCs w:val="32"/>
          <w:u w:val="none"/>
        </w:rPr>
        <w:t>1.1 采购品种：</w:t>
      </w:r>
      <w:r>
        <w:rPr>
          <w:rFonts w:hint="eastAsia" w:ascii="仿宋" w:hAnsi="仿宋" w:eastAsia="仿宋" w:cs="仿宋"/>
          <w:kern w:val="0"/>
          <w:sz w:val="32"/>
          <w:szCs w:val="32"/>
          <w:u w:val="none"/>
          <w:lang w:val="en-US" w:eastAsia="zh-CN"/>
        </w:rPr>
        <w:t>米、油、杂粮、蔬菜、肉类、蛋类等</w:t>
      </w:r>
    </w:p>
    <w:p>
      <w:pPr>
        <w:spacing w:line="360" w:lineRule="auto"/>
        <w:ind w:firstLine="560"/>
        <w:rPr>
          <w:rFonts w:hint="eastAsia" w:ascii="仿宋" w:hAnsi="仿宋" w:eastAsia="仿宋" w:cs="仿宋"/>
          <w:kern w:val="0"/>
          <w:sz w:val="32"/>
          <w:szCs w:val="32"/>
          <w:u w:val="none"/>
        </w:rPr>
      </w:pPr>
      <w:r>
        <w:rPr>
          <w:rFonts w:hint="eastAsia" w:ascii="仿宋" w:hAnsi="仿宋" w:eastAsia="仿宋" w:cs="仿宋"/>
          <w:kern w:val="0"/>
          <w:sz w:val="32"/>
          <w:szCs w:val="32"/>
          <w:u w:val="none"/>
        </w:rPr>
        <w:t>1.2 具体品种及数量：</w:t>
      </w:r>
      <w:r>
        <w:rPr>
          <w:rFonts w:hint="eastAsia" w:ascii="仿宋" w:hAnsi="仿宋" w:eastAsia="仿宋" w:cs="仿宋"/>
          <w:kern w:val="0"/>
          <w:sz w:val="32"/>
          <w:szCs w:val="32"/>
          <w:u w:val="none"/>
          <w:lang w:val="en-US" w:eastAsia="zh-CN"/>
        </w:rPr>
        <w:t>根据甲方每日所需实际情况而定</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kern w:val="0"/>
          <w:sz w:val="32"/>
          <w:szCs w:val="32"/>
          <w:u w:val="none"/>
          <w:lang w:val="en-US" w:eastAsia="zh-CN"/>
        </w:rPr>
      </w:pPr>
      <w:r>
        <w:rPr>
          <w:rFonts w:hint="eastAsia" w:ascii="仿宋" w:hAnsi="仿宋" w:eastAsia="仿宋" w:cs="仿宋"/>
          <w:kern w:val="0"/>
          <w:sz w:val="32"/>
          <w:szCs w:val="32"/>
          <w:u w:val="none"/>
        </w:rPr>
        <w:t>1.3 配送详细地址：</w:t>
      </w:r>
      <w:r>
        <w:rPr>
          <w:rFonts w:hint="eastAsia" w:ascii="仿宋" w:hAnsi="仿宋" w:eastAsia="仿宋" w:cs="仿宋"/>
          <w:kern w:val="0"/>
          <w:sz w:val="32"/>
          <w:szCs w:val="32"/>
          <w:u w:val="none"/>
          <w:lang w:val="en-US" w:eastAsia="zh-CN"/>
        </w:rPr>
        <w:t>乙方指定时间内送至鼎和财产保险股份有限公司大理中心支公司食堂或甲方指定地点。</w:t>
      </w:r>
    </w:p>
    <w:p>
      <w:pPr>
        <w:numPr>
          <w:ilvl w:val="0"/>
          <w:numId w:val="0"/>
        </w:numPr>
        <w:rPr>
          <w:rFonts w:hint="default"/>
          <w:lang w:val="en-US" w:eastAsia="zh-CN"/>
        </w:rPr>
      </w:pPr>
      <w:r>
        <w:rPr>
          <w:rFonts w:hint="eastAsia" w:ascii="仿宋" w:hAnsi="仿宋" w:eastAsia="仿宋" w:cs="仿宋"/>
          <w:kern w:val="0"/>
          <w:sz w:val="32"/>
          <w:szCs w:val="32"/>
          <w:u w:val="none"/>
          <w:lang w:val="en-US" w:eastAsia="zh-CN"/>
        </w:rPr>
        <w:t xml:space="preserve">    1.4</w:t>
      </w:r>
      <w:r>
        <w:rPr>
          <w:rFonts w:hint="eastAsia" w:ascii="仿宋" w:hAnsi="仿宋" w:eastAsia="仿宋" w:cs="仿宋"/>
          <w:sz w:val="32"/>
          <w:szCs w:val="32"/>
          <w:lang w:val="en-US" w:eastAsia="zh-CN"/>
        </w:rPr>
        <w:t>.</w:t>
      </w:r>
      <w:r>
        <w:rPr>
          <w:rFonts w:hint="eastAsia" w:ascii="仿宋" w:hAnsi="仿宋" w:eastAsia="仿宋" w:cs="仿宋"/>
          <w:color w:val="auto"/>
          <w:sz w:val="32"/>
          <w:szCs w:val="32"/>
          <w:u w:val="none"/>
          <w:lang w:val="en-US" w:eastAsia="zh-CN"/>
        </w:rPr>
        <w:t>乙方应在甲方付款前5日开具等额的增值税普通发票， 否则甲方有权迟延支付相应价款，乙方因此造成的损失由其自行承担。</w:t>
      </w:r>
    </w:p>
    <w:p>
      <w:pPr>
        <w:pStyle w:val="2"/>
        <w:rPr>
          <w:rFonts w:hint="eastAsia" w:ascii="仿宋" w:hAnsi="仿宋" w:eastAsia="仿宋" w:cs="仿宋"/>
          <w:kern w:val="0"/>
          <w:sz w:val="32"/>
          <w:szCs w:val="32"/>
          <w:u w:val="none"/>
          <w:lang w:val="en-US" w:eastAsia="zh-CN"/>
        </w:rPr>
      </w:pPr>
      <w:r>
        <w:rPr>
          <w:rFonts w:hint="eastAsia" w:ascii="仿宋" w:hAnsi="仿宋" w:eastAsia="仿宋" w:cs="仿宋"/>
          <w:kern w:val="0"/>
          <w:sz w:val="32"/>
          <w:szCs w:val="32"/>
          <w:u w:val="none"/>
          <w:lang w:val="en-US" w:eastAsia="zh-CN"/>
        </w:rPr>
        <w:t>2.食品的标准和要求</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bCs/>
          <w:color w:val="000000"/>
          <w:kern w:val="0"/>
          <w:sz w:val="32"/>
          <w:szCs w:val="32"/>
          <w:lang w:val="en-US" w:eastAsia="zh-CN"/>
        </w:rPr>
        <w:t>2.1</w:t>
      </w:r>
      <w:r>
        <w:rPr>
          <w:rFonts w:hint="eastAsia" w:ascii="仿宋" w:hAnsi="仿宋" w:eastAsia="仿宋" w:cs="仿宋"/>
          <w:bCs/>
          <w:color w:val="000000"/>
          <w:kern w:val="0"/>
          <w:sz w:val="32"/>
          <w:szCs w:val="32"/>
        </w:rPr>
        <w:t>除需符合国家《食品卫生标准》及《食品安全法实施条例》的有关标准外，还需符合下表的要求：</w:t>
      </w:r>
    </w:p>
    <w:tbl>
      <w:tblPr>
        <w:tblStyle w:val="4"/>
        <w:tblW w:w="97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1124"/>
        <w:gridCol w:w="6321"/>
        <w:gridCol w:w="15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776" w:type="dxa"/>
            <w:vAlign w:val="center"/>
          </w:tcPr>
          <w:p>
            <w:pPr>
              <w:spacing w:line="360" w:lineRule="auto"/>
              <w:ind w:firstLine="0" w:firstLineChars="0"/>
              <w:jc w:val="center"/>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序号</w:t>
            </w:r>
          </w:p>
        </w:tc>
        <w:tc>
          <w:tcPr>
            <w:tcW w:w="1124" w:type="dxa"/>
            <w:vAlign w:val="center"/>
          </w:tcPr>
          <w:p>
            <w:pPr>
              <w:spacing w:line="360" w:lineRule="auto"/>
              <w:ind w:firstLine="0" w:firstLineChars="0"/>
              <w:jc w:val="center"/>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类别</w:t>
            </w:r>
          </w:p>
        </w:tc>
        <w:tc>
          <w:tcPr>
            <w:tcW w:w="6321" w:type="dxa"/>
            <w:vAlign w:val="center"/>
          </w:tcPr>
          <w:p>
            <w:pPr>
              <w:spacing w:line="360" w:lineRule="auto"/>
              <w:ind w:firstLine="0" w:firstLineChars="0"/>
              <w:jc w:val="center"/>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要求</w:t>
            </w:r>
          </w:p>
        </w:tc>
        <w:tc>
          <w:tcPr>
            <w:tcW w:w="1543" w:type="dxa"/>
            <w:vAlign w:val="center"/>
          </w:tcPr>
          <w:p>
            <w:pPr>
              <w:spacing w:line="360" w:lineRule="auto"/>
              <w:ind w:firstLine="0" w:firstLineChars="0"/>
              <w:jc w:val="center"/>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776" w:type="dxa"/>
            <w:vAlign w:val="center"/>
          </w:tcPr>
          <w:p>
            <w:pPr>
              <w:spacing w:line="360" w:lineRule="auto"/>
              <w:ind w:firstLine="0" w:firstLineChars="0"/>
              <w:jc w:val="center"/>
              <w:rPr>
                <w:rFonts w:hint="eastAsia" w:ascii="仿宋" w:hAnsi="仿宋" w:eastAsia="仿宋" w:cs="仿宋"/>
                <w:color w:val="000000"/>
                <w:kern w:val="0"/>
                <w:sz w:val="32"/>
                <w:szCs w:val="32"/>
                <w:lang w:val="en-US" w:eastAsia="zh-CN"/>
              </w:rPr>
            </w:pPr>
            <w:r>
              <w:rPr>
                <w:rFonts w:hint="eastAsia" w:ascii="仿宋" w:hAnsi="仿宋" w:eastAsia="仿宋" w:cs="仿宋"/>
                <w:color w:val="000000"/>
                <w:kern w:val="0"/>
                <w:sz w:val="32"/>
                <w:szCs w:val="32"/>
                <w:lang w:val="en-US" w:eastAsia="zh-CN"/>
              </w:rPr>
              <w:t>1</w:t>
            </w:r>
          </w:p>
        </w:tc>
        <w:tc>
          <w:tcPr>
            <w:tcW w:w="1124" w:type="dxa"/>
            <w:vAlign w:val="center"/>
          </w:tcPr>
          <w:p>
            <w:pPr>
              <w:spacing w:line="360" w:lineRule="auto"/>
              <w:ind w:firstLine="0" w:firstLineChars="0"/>
              <w:jc w:val="center"/>
              <w:rPr>
                <w:rFonts w:hint="eastAsia" w:ascii="仿宋" w:hAnsi="仿宋" w:eastAsia="仿宋" w:cs="仿宋"/>
                <w:color w:val="000000"/>
                <w:kern w:val="0"/>
                <w:sz w:val="32"/>
                <w:szCs w:val="32"/>
              </w:rPr>
            </w:pPr>
            <w:r>
              <w:rPr>
                <w:rFonts w:hint="eastAsia" w:ascii="仿宋" w:hAnsi="仿宋" w:eastAsia="仿宋" w:cs="仿宋"/>
                <w:kern w:val="0"/>
                <w:sz w:val="32"/>
                <w:szCs w:val="32"/>
                <w:u w:val="single"/>
                <w:lang w:val="en-US" w:eastAsia="zh-CN"/>
              </w:rPr>
              <w:t>米、油、杂粮、蔬菜、肉类、蛋类等</w:t>
            </w:r>
          </w:p>
        </w:tc>
        <w:tc>
          <w:tcPr>
            <w:tcW w:w="6321" w:type="dxa"/>
            <w:vAlign w:val="center"/>
          </w:tcPr>
          <w:p>
            <w:pPr>
              <w:spacing w:line="360" w:lineRule="auto"/>
              <w:ind w:firstLine="0" w:firstLineChars="0"/>
              <w:jc w:val="center"/>
              <w:rPr>
                <w:rFonts w:hint="eastAsia" w:ascii="仿宋" w:hAnsi="仿宋" w:eastAsia="仿宋" w:cs="仿宋"/>
                <w:color w:val="000000"/>
                <w:kern w:val="0"/>
                <w:sz w:val="32"/>
                <w:szCs w:val="32"/>
              </w:rPr>
            </w:pPr>
            <w:r>
              <w:rPr>
                <w:rFonts w:hint="eastAsia" w:ascii="仿宋" w:hAnsi="仿宋" w:eastAsia="仿宋" w:cs="仿宋"/>
                <w:kern w:val="0"/>
                <w:sz w:val="32"/>
                <w:szCs w:val="32"/>
                <w:lang w:val="en-US" w:eastAsia="zh-CN"/>
              </w:rPr>
              <w:t>乙方所送食材需</w:t>
            </w:r>
            <w:r>
              <w:rPr>
                <w:rFonts w:hint="eastAsia" w:ascii="仿宋" w:hAnsi="仿宋" w:eastAsia="仿宋" w:cs="仿宋"/>
                <w:kern w:val="0"/>
                <w:sz w:val="32"/>
                <w:szCs w:val="32"/>
              </w:rPr>
              <w:t>新鲜、安全、无异味、无变质</w:t>
            </w:r>
            <w:r>
              <w:rPr>
                <w:rFonts w:hint="eastAsia" w:ascii="仿宋" w:hAnsi="仿宋" w:eastAsia="仿宋" w:cs="仿宋"/>
                <w:color w:val="000000"/>
                <w:kern w:val="0"/>
                <w:sz w:val="32"/>
                <w:szCs w:val="32"/>
              </w:rPr>
              <w:t>，</w:t>
            </w:r>
            <w:r>
              <w:rPr>
                <w:rFonts w:hint="eastAsia" w:ascii="仿宋" w:hAnsi="仿宋" w:eastAsia="仿宋" w:cs="仿宋"/>
                <w:color w:val="000000"/>
                <w:kern w:val="0"/>
                <w:sz w:val="32"/>
                <w:szCs w:val="32"/>
                <w:lang w:val="en-US" w:eastAsia="zh-CN"/>
              </w:rPr>
              <w:t>并具备有该类食材经销商或供应商的经营许可证、生产许可证等行政许可证件，必须有生产单位或委托检测单位出具的同批次食材质量和卫生检验合格证或报告等法律要求的其他检验证明，以便备查。所有检验合格证明或化验单，必须注明产品的厂名、品名、生产日期及批号，并与该批食品的保质期一致，未提供相关资料的物品，甲方有权拒收。</w:t>
            </w:r>
          </w:p>
        </w:tc>
        <w:tc>
          <w:tcPr>
            <w:tcW w:w="1543" w:type="dxa"/>
            <w:vAlign w:val="center"/>
          </w:tcPr>
          <w:p>
            <w:pPr>
              <w:spacing w:line="360" w:lineRule="auto"/>
              <w:ind w:left="0" w:leftChars="0" w:firstLine="0" w:firstLineChars="0"/>
              <w:jc w:val="both"/>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lang w:val="en-US" w:eastAsia="zh-CN"/>
              </w:rPr>
              <w:t>乙方提供的食材必须符合国家有关标准和规定</w:t>
            </w:r>
          </w:p>
        </w:tc>
      </w:tr>
    </w:tbl>
    <w:p>
      <w:pPr>
        <w:pStyle w:val="3"/>
        <w:jc w:val="both"/>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AF308C"/>
    <w:rsid w:val="2CAF308C"/>
    <w:rsid w:val="2E486C0E"/>
    <w:rsid w:val="33237B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qFormat/>
    <w:uiPriority w:val="0"/>
    <w:pPr>
      <w:spacing w:before="240" w:beforeLines="0" w:beforeAutospacing="0" w:after="60" w:afterLines="0" w:afterAutospacing="0"/>
      <w:jc w:val="center"/>
      <w:outlineLvl w:val="0"/>
    </w:pPr>
    <w:rPr>
      <w:rFonts w:ascii="Arial" w:hAnsi="Arial"/>
      <w:b/>
      <w:sz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2025-04-02T08:51:00Z</dcterms:created>
  <dc:creator>董进霞</dc:creator>
  <cp:lastModifiedBy>杨云青</cp:lastModifiedBy>
  <dcterms:modified xsi:type="dcterms:W3CDTF">2025-06-05T09:51:57Z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390F9FFB9AA54DBD924634494D394BD7</vt:lpwstr>
  </property>
</Properties>
</file>