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A0A92">
      <w:pPr>
        <w:spacing w:before="156" w:beforeLines="50" w:after="156" w:afterLines="50"/>
        <w:ind w:firstLine="172" w:firstLineChars="36"/>
        <w:jc w:val="right"/>
        <w:rPr>
          <w:rFonts w:hAnsi="宋体"/>
          <w:b/>
          <w:spacing w:val="30"/>
          <w:sz w:val="48"/>
          <w:highlight w:val="none"/>
        </w:rPr>
      </w:pPr>
      <w:bookmarkStart w:id="0" w:name="hp_TitlePage"/>
      <w:bookmarkStart w:id="286" w:name="_GoBack"/>
      <w:bookmarkEnd w:id="286"/>
      <w:r>
        <w:rPr>
          <w:rFonts w:hint="eastAsia" w:ascii="黑体" w:hAnsi="黑体" w:eastAsia="黑体" w:cs="黑体"/>
          <w:b w:val="0"/>
          <w:bCs/>
          <w:color w:val="auto"/>
          <w:sz w:val="48"/>
          <w:szCs w:val="48"/>
          <w:lang w:val="en-US" w:eastAsia="zh-CN"/>
        </w:rPr>
        <w:drawing>
          <wp:anchor distT="0" distB="0" distL="114300" distR="114300" simplePos="0" relativeHeight="251659264" behindDoc="1" locked="0" layoutInCell="1" allowOverlap="1">
            <wp:simplePos x="0" y="0"/>
            <wp:positionH relativeFrom="column">
              <wp:posOffset>-1136650</wp:posOffset>
            </wp:positionH>
            <wp:positionV relativeFrom="paragraph">
              <wp:posOffset>-904875</wp:posOffset>
            </wp:positionV>
            <wp:extent cx="7546340" cy="10671175"/>
            <wp:effectExtent l="0" t="0" r="16510"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6"/>
                    <a:srcRect/>
                    <a:stretch>
                      <a:fillRect/>
                    </a:stretch>
                  </pic:blipFill>
                  <pic:spPr>
                    <a:xfrm>
                      <a:off x="0" y="0"/>
                      <a:ext cx="7546340" cy="10671175"/>
                    </a:xfrm>
                    <a:prstGeom prst="rect">
                      <a:avLst/>
                    </a:prstGeom>
                    <a:noFill/>
                    <a:ln w="9525">
                      <a:noFill/>
                      <a:miter lim="800000"/>
                      <a:headEnd/>
                      <a:tailEnd/>
                    </a:ln>
                  </pic:spPr>
                </pic:pic>
              </a:graphicData>
            </a:graphic>
          </wp:anchor>
        </w:drawing>
      </w:r>
    </w:p>
    <w:p w14:paraId="009E9CD0">
      <w:pPr>
        <w:spacing w:before="156" w:beforeLines="50" w:after="156" w:afterLines="50"/>
        <w:ind w:firstLine="195" w:firstLineChars="36"/>
        <w:jc w:val="right"/>
        <w:rPr>
          <w:rFonts w:hAnsi="宋体"/>
          <w:b/>
          <w:spacing w:val="30"/>
          <w:sz w:val="48"/>
          <w:highlight w:val="none"/>
        </w:rPr>
      </w:pPr>
    </w:p>
    <w:p w14:paraId="1D81D32E">
      <w:pPr>
        <w:spacing w:before="156" w:beforeLines="50" w:after="156" w:afterLines="50"/>
        <w:jc w:val="right"/>
        <w:rPr>
          <w:rFonts w:hAnsi="宋体"/>
          <w:b/>
          <w:spacing w:val="30"/>
          <w:sz w:val="48"/>
          <w:szCs w:val="48"/>
          <w:highlight w:val="none"/>
        </w:rPr>
      </w:pPr>
    </w:p>
    <w:p w14:paraId="13F5A6F8">
      <w:pPr>
        <w:spacing w:before="156" w:beforeLines="50" w:after="156" w:afterLines="50"/>
        <w:jc w:val="right"/>
        <w:rPr>
          <w:rFonts w:hAnsi="宋体"/>
          <w:b w:val="0"/>
          <w:bCs/>
          <w:spacing w:val="30"/>
          <w:sz w:val="48"/>
          <w:szCs w:val="48"/>
          <w:highlight w:val="none"/>
        </w:rPr>
      </w:pPr>
    </w:p>
    <w:p w14:paraId="1A8E089A">
      <w:pPr>
        <w:spacing w:before="156" w:beforeLines="50" w:after="156" w:afterLines="50" w:line="720" w:lineRule="auto"/>
        <w:jc w:val="right"/>
        <w:rPr>
          <w:rFonts w:hAnsi="宋体"/>
          <w:b w:val="0"/>
          <w:bCs/>
          <w:sz w:val="48"/>
          <w:szCs w:val="48"/>
          <w:highlight w:val="none"/>
        </w:rPr>
      </w:pPr>
      <w:r>
        <w:rPr>
          <w:rFonts w:hint="eastAsia" w:hAnsi="宋体"/>
          <w:b w:val="0"/>
          <w:bCs/>
          <w:sz w:val="48"/>
          <w:szCs w:val="48"/>
          <w:highlight w:val="none"/>
          <w:lang w:val="en-US" w:eastAsia="zh-CN"/>
        </w:rPr>
        <w:t>2026-2027年</w:t>
      </w:r>
      <w:r>
        <w:rPr>
          <w:rFonts w:hint="eastAsia" w:hAnsi="宋体"/>
          <w:b w:val="0"/>
          <w:bCs/>
          <w:sz w:val="48"/>
          <w:szCs w:val="48"/>
          <w:highlight w:val="none"/>
        </w:rPr>
        <w:t>数字化服务第三方评价监督与体系提升项目</w:t>
      </w:r>
    </w:p>
    <w:p w14:paraId="3EE3A834">
      <w:pPr>
        <w:spacing w:before="156" w:beforeLines="50" w:after="156" w:afterLines="50" w:line="720" w:lineRule="auto"/>
        <w:ind w:right="0" w:rightChars="0"/>
        <w:jc w:val="right"/>
        <w:rPr>
          <w:rFonts w:hAnsi="宋体" w:cs="黑体"/>
          <w:bCs/>
          <w:sz w:val="52"/>
          <w:szCs w:val="52"/>
          <w:highlight w:val="none"/>
        </w:rPr>
      </w:pPr>
      <w:r>
        <w:rPr>
          <w:rFonts w:hint="eastAsia" w:hAnsi="宋体" w:cs="黑体"/>
          <w:b/>
          <w:bCs w:val="0"/>
          <w:spacing w:val="30"/>
          <w:sz w:val="52"/>
          <w:szCs w:val="52"/>
          <w:highlight w:val="none"/>
        </w:rPr>
        <w:t>技术规范书</w:t>
      </w:r>
    </w:p>
    <w:p w14:paraId="43C51A41">
      <w:pPr>
        <w:spacing w:before="156" w:beforeLines="50" w:after="156" w:afterLines="50"/>
        <w:jc w:val="right"/>
        <w:rPr>
          <w:rFonts w:hAnsi="宋体" w:cs="黑体"/>
          <w:bCs/>
          <w:spacing w:val="30"/>
          <w:sz w:val="52"/>
          <w:szCs w:val="52"/>
          <w:highlight w:val="none"/>
        </w:rPr>
      </w:pPr>
    </w:p>
    <w:p w14:paraId="4E2D5500">
      <w:pPr>
        <w:spacing w:before="156" w:beforeLines="50" w:after="156" w:afterLines="50"/>
        <w:rPr>
          <w:rFonts w:hAnsi="宋体"/>
          <w:highlight w:val="none"/>
        </w:rPr>
      </w:pPr>
    </w:p>
    <w:p w14:paraId="33979A98">
      <w:pPr>
        <w:spacing w:before="156" w:beforeLines="50" w:after="156" w:afterLines="50"/>
        <w:jc w:val="center"/>
        <w:rPr>
          <w:rFonts w:hAnsi="宋体"/>
          <w:highlight w:val="none"/>
        </w:rPr>
      </w:pPr>
    </w:p>
    <w:p w14:paraId="0C8D6E37">
      <w:pPr>
        <w:spacing w:before="156" w:beforeLines="50" w:after="156" w:afterLines="50"/>
        <w:jc w:val="center"/>
        <w:rPr>
          <w:rFonts w:hAnsi="宋体"/>
          <w:highlight w:val="none"/>
        </w:rPr>
      </w:pPr>
    </w:p>
    <w:p w14:paraId="559B1CC6">
      <w:pPr>
        <w:spacing w:before="156" w:beforeLines="50" w:after="156" w:afterLines="50"/>
        <w:jc w:val="both"/>
        <w:rPr>
          <w:rFonts w:hAnsi="宋体" w:cs="黑体"/>
          <w:sz w:val="32"/>
          <w:szCs w:val="32"/>
          <w:highlight w:val="none"/>
        </w:rPr>
      </w:pPr>
    </w:p>
    <w:p w14:paraId="083686CA">
      <w:pPr>
        <w:spacing w:before="156" w:beforeLines="50" w:after="156" w:afterLines="50"/>
        <w:jc w:val="center"/>
        <w:rPr>
          <w:rFonts w:hAnsi="宋体" w:cs="黑体"/>
          <w:sz w:val="32"/>
          <w:szCs w:val="32"/>
          <w:highlight w:val="none"/>
        </w:rPr>
      </w:pPr>
    </w:p>
    <w:p w14:paraId="26F50E39">
      <w:pPr>
        <w:spacing w:before="156" w:beforeLines="50" w:after="156" w:afterLines="50"/>
        <w:jc w:val="center"/>
        <w:rPr>
          <w:rFonts w:hAnsi="宋体" w:cs="黑体"/>
          <w:sz w:val="32"/>
          <w:szCs w:val="32"/>
          <w:highlight w:val="none"/>
        </w:rPr>
      </w:pPr>
    </w:p>
    <w:p w14:paraId="5A768231">
      <w:pPr>
        <w:spacing w:before="0" w:beforeLines="-2147483648" w:after="0" w:afterLines="-2147483648"/>
        <w:ind w:firstLine="2240" w:firstLineChars="700"/>
        <w:jc w:val="both"/>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中国南方电网有限责任公司</w:t>
      </w:r>
    </w:p>
    <w:p w14:paraId="270DBD54">
      <w:pPr>
        <w:spacing w:before="156" w:beforeLines="50" w:after="156" w:afterLines="50"/>
        <w:jc w:val="center"/>
        <w:rPr>
          <w:rFonts w:hAnsi="宋体"/>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r>
        <w:rPr>
          <w:rFonts w:hint="eastAsia" w:ascii="黑体" w:hAnsi="黑体" w:eastAsia="黑体" w:cs="黑体"/>
          <w:spacing w:val="20"/>
          <w:sz w:val="32"/>
          <w:szCs w:val="32"/>
          <w:highlight w:val="none"/>
          <w:lang w:val="en-US" w:eastAsia="zh-CN"/>
        </w:rPr>
        <w:t>2026</w:t>
      </w:r>
      <w:r>
        <w:rPr>
          <w:rFonts w:hint="eastAsia" w:ascii="黑体" w:hAnsi="黑体" w:eastAsia="黑体" w:cs="黑体"/>
          <w:spacing w:val="20"/>
          <w:sz w:val="32"/>
          <w:szCs w:val="32"/>
          <w:highlight w:val="none"/>
        </w:rPr>
        <w:t>年</w:t>
      </w:r>
      <w:r>
        <w:rPr>
          <w:rFonts w:hint="eastAsia" w:ascii="黑体" w:hAnsi="黑体" w:eastAsia="黑体" w:cs="黑体"/>
          <w:spacing w:val="20"/>
          <w:sz w:val="32"/>
          <w:szCs w:val="32"/>
          <w:highlight w:val="none"/>
          <w:lang w:val="en-US" w:eastAsia="zh-CN"/>
        </w:rPr>
        <w:t>6</w:t>
      </w:r>
      <w:r>
        <w:rPr>
          <w:rFonts w:hint="eastAsia" w:ascii="黑体" w:hAnsi="黑体" w:eastAsia="黑体" w:cs="黑体"/>
          <w:spacing w:val="20"/>
          <w:sz w:val="32"/>
          <w:szCs w:val="32"/>
          <w:highlight w:val="none"/>
        </w:rPr>
        <w:t>月</w:t>
      </w:r>
    </w:p>
    <w:bookmarkEnd w:id="0"/>
    <w:p w14:paraId="768E2BE3">
      <w:pPr>
        <w:spacing w:before="156" w:beforeLines="50" w:after="156" w:afterLines="50" w:line="240" w:lineRule="auto"/>
        <w:jc w:val="center"/>
        <w:rPr>
          <w:rFonts w:hAnsi="宋体"/>
          <w:b/>
          <w:sz w:val="21"/>
          <w:szCs w:val="21"/>
          <w:highlight w:val="none"/>
        </w:rPr>
      </w:pPr>
    </w:p>
    <w:p w14:paraId="6D72FC05">
      <w:pPr>
        <w:spacing w:before="156" w:beforeLines="50" w:after="156" w:afterLines="50" w:line="240" w:lineRule="auto"/>
        <w:jc w:val="center"/>
        <w:rPr>
          <w:rFonts w:hAnsi="宋体"/>
          <w:b/>
          <w:sz w:val="32"/>
          <w:szCs w:val="32"/>
          <w:highlight w:val="none"/>
        </w:rPr>
      </w:pPr>
      <w:r>
        <w:rPr>
          <w:rFonts w:hAnsi="宋体"/>
          <w:b/>
          <w:sz w:val="32"/>
          <w:szCs w:val="32"/>
          <w:highlight w:val="none"/>
        </w:rPr>
        <w:t>目</w:t>
      </w:r>
      <w:r>
        <w:rPr>
          <w:rFonts w:hint="eastAsia" w:hAnsi="宋体"/>
          <w:b/>
          <w:sz w:val="32"/>
          <w:szCs w:val="32"/>
          <w:highlight w:val="none"/>
        </w:rPr>
        <w:t xml:space="preserve"> </w:t>
      </w:r>
      <w:r>
        <w:rPr>
          <w:rFonts w:hAnsi="宋体"/>
          <w:b/>
          <w:sz w:val="32"/>
          <w:szCs w:val="32"/>
          <w:highlight w:val="none"/>
        </w:rPr>
        <w:t>录</w:t>
      </w:r>
    </w:p>
    <w:p w14:paraId="465B9202">
      <w:pPr>
        <w:pStyle w:val="19"/>
        <w:tabs>
          <w:tab w:val="right" w:leader="dot" w:pos="8306"/>
        </w:tabs>
      </w:pPr>
      <w:r>
        <w:rPr>
          <w:rFonts w:hAnsi="宋体"/>
          <w:highlight w:val="none"/>
        </w:rPr>
        <w:fldChar w:fldCharType="begin"/>
      </w:r>
      <w:r>
        <w:rPr>
          <w:rFonts w:hAnsi="宋体"/>
          <w:highlight w:val="none"/>
        </w:rPr>
        <w:instrText xml:space="preserve"> TOC \o "1-3" \h \z \u </w:instrText>
      </w:r>
      <w:r>
        <w:rPr>
          <w:rFonts w:hAnsi="宋体"/>
          <w:highlight w:val="none"/>
        </w:rPr>
        <w:fldChar w:fldCharType="separate"/>
      </w:r>
      <w:r>
        <w:rPr>
          <w:rFonts w:hAnsi="宋体"/>
          <w:highlight w:val="none"/>
        </w:rPr>
        <w:fldChar w:fldCharType="begin"/>
      </w:r>
      <w:r>
        <w:rPr>
          <w:rFonts w:hAnsi="宋体"/>
          <w:highlight w:val="none"/>
        </w:rPr>
        <w:instrText xml:space="preserve"> HYPERLINK \l _Toc15810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 </w:t>
      </w:r>
      <w:r>
        <w:rPr>
          <w:rFonts w:hint="eastAsia" w:hAnsi="宋体"/>
          <w:highlight w:val="none"/>
        </w:rPr>
        <w:t>项目描述</w:t>
      </w:r>
      <w:r>
        <w:tab/>
      </w:r>
      <w:r>
        <w:fldChar w:fldCharType="begin"/>
      </w:r>
      <w:r>
        <w:instrText xml:space="preserve"> PAGEREF _Toc15810 \h </w:instrText>
      </w:r>
      <w:r>
        <w:fldChar w:fldCharType="separate"/>
      </w:r>
      <w:r>
        <w:t>1</w:t>
      </w:r>
      <w:r>
        <w:fldChar w:fldCharType="end"/>
      </w:r>
      <w:r>
        <w:rPr>
          <w:rFonts w:hAnsi="宋体"/>
          <w:highlight w:val="none"/>
        </w:rPr>
        <w:fldChar w:fldCharType="end"/>
      </w:r>
    </w:p>
    <w:p w14:paraId="3DD415F5">
      <w:pPr>
        <w:pStyle w:val="20"/>
        <w:tabs>
          <w:tab w:val="right" w:leader="dot" w:pos="8306"/>
        </w:tabs>
      </w:pPr>
      <w:r>
        <w:rPr>
          <w:rFonts w:hAnsi="宋体"/>
          <w:highlight w:val="none"/>
        </w:rPr>
        <w:fldChar w:fldCharType="begin"/>
      </w:r>
      <w:r>
        <w:rPr>
          <w:rFonts w:hAnsi="宋体"/>
          <w:highlight w:val="none"/>
        </w:rPr>
        <w:instrText xml:space="preserve"> HYPERLINK \l _Toc10376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1.1. </w:t>
      </w:r>
      <w:r>
        <w:rPr>
          <w:rFonts w:hint="eastAsia" w:ascii="宋体" w:hAnsi="宋体" w:eastAsia="宋体" w:cs="宋体"/>
        </w:rPr>
        <w:t>项目背景</w:t>
      </w:r>
      <w:r>
        <w:tab/>
      </w:r>
      <w:r>
        <w:fldChar w:fldCharType="begin"/>
      </w:r>
      <w:r>
        <w:instrText xml:space="preserve"> PAGEREF _Toc10376 \h </w:instrText>
      </w:r>
      <w:r>
        <w:fldChar w:fldCharType="separate"/>
      </w:r>
      <w:r>
        <w:t>1</w:t>
      </w:r>
      <w:r>
        <w:fldChar w:fldCharType="end"/>
      </w:r>
      <w:r>
        <w:rPr>
          <w:rFonts w:hAnsi="宋体"/>
          <w:highlight w:val="none"/>
        </w:rPr>
        <w:fldChar w:fldCharType="end"/>
      </w:r>
    </w:p>
    <w:p w14:paraId="0628CF6F">
      <w:pPr>
        <w:pStyle w:val="20"/>
        <w:tabs>
          <w:tab w:val="right" w:leader="dot" w:pos="8306"/>
        </w:tabs>
      </w:pPr>
      <w:r>
        <w:rPr>
          <w:rFonts w:hAnsi="宋体"/>
          <w:highlight w:val="none"/>
        </w:rPr>
        <w:fldChar w:fldCharType="begin"/>
      </w:r>
      <w:r>
        <w:rPr>
          <w:rFonts w:hAnsi="宋体"/>
          <w:highlight w:val="none"/>
        </w:rPr>
        <w:instrText xml:space="preserve"> HYPERLINK \l _Toc14233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1.2. </w:t>
      </w:r>
      <w:r>
        <w:rPr>
          <w:rFonts w:hint="eastAsia" w:hAnsi="宋体"/>
          <w:highlight w:val="none"/>
        </w:rPr>
        <w:t>项目现状</w:t>
      </w:r>
      <w:r>
        <w:tab/>
      </w:r>
      <w:r>
        <w:fldChar w:fldCharType="begin"/>
      </w:r>
      <w:r>
        <w:instrText xml:space="preserve"> PAGEREF _Toc14233 \h </w:instrText>
      </w:r>
      <w:r>
        <w:fldChar w:fldCharType="separate"/>
      </w:r>
      <w:r>
        <w:t>1</w:t>
      </w:r>
      <w:r>
        <w:fldChar w:fldCharType="end"/>
      </w:r>
      <w:r>
        <w:rPr>
          <w:rFonts w:hAnsi="宋体"/>
          <w:highlight w:val="none"/>
        </w:rPr>
        <w:fldChar w:fldCharType="end"/>
      </w:r>
    </w:p>
    <w:p w14:paraId="0CEB2600">
      <w:pPr>
        <w:pStyle w:val="20"/>
        <w:tabs>
          <w:tab w:val="right" w:leader="dot" w:pos="8306"/>
        </w:tabs>
      </w:pPr>
      <w:r>
        <w:rPr>
          <w:rFonts w:hAnsi="宋体"/>
          <w:highlight w:val="none"/>
        </w:rPr>
        <w:fldChar w:fldCharType="begin"/>
      </w:r>
      <w:r>
        <w:rPr>
          <w:rFonts w:hAnsi="宋体"/>
          <w:highlight w:val="none"/>
        </w:rPr>
        <w:instrText xml:space="preserve"> HYPERLINK \l _Toc26670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1.3. </w:t>
      </w:r>
      <w:r>
        <w:rPr>
          <w:rFonts w:hint="eastAsia" w:hAnsi="宋体"/>
          <w:highlight w:val="none"/>
        </w:rPr>
        <w:t>项目目标</w:t>
      </w:r>
      <w:r>
        <w:tab/>
      </w:r>
      <w:r>
        <w:fldChar w:fldCharType="begin"/>
      </w:r>
      <w:r>
        <w:instrText xml:space="preserve"> PAGEREF _Toc26670 \h </w:instrText>
      </w:r>
      <w:r>
        <w:fldChar w:fldCharType="separate"/>
      </w:r>
      <w:r>
        <w:t>2</w:t>
      </w:r>
      <w:r>
        <w:fldChar w:fldCharType="end"/>
      </w:r>
      <w:r>
        <w:rPr>
          <w:rFonts w:hAnsi="宋体"/>
          <w:highlight w:val="none"/>
        </w:rPr>
        <w:fldChar w:fldCharType="end"/>
      </w:r>
    </w:p>
    <w:p w14:paraId="00AFF257">
      <w:pPr>
        <w:pStyle w:val="20"/>
        <w:tabs>
          <w:tab w:val="right" w:leader="dot" w:pos="8306"/>
        </w:tabs>
      </w:pPr>
      <w:r>
        <w:rPr>
          <w:rFonts w:hAnsi="宋体"/>
          <w:highlight w:val="none"/>
        </w:rPr>
        <w:fldChar w:fldCharType="begin"/>
      </w:r>
      <w:r>
        <w:rPr>
          <w:rFonts w:hAnsi="宋体"/>
          <w:highlight w:val="none"/>
        </w:rPr>
        <w:instrText xml:space="preserve"> HYPERLINK \l _Toc6467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1.4. </w:t>
      </w:r>
      <w:r>
        <w:rPr>
          <w:rFonts w:hint="eastAsia" w:hAnsi="宋体"/>
          <w:highlight w:val="none"/>
        </w:rPr>
        <w:t>项目范围</w:t>
      </w:r>
      <w:r>
        <w:tab/>
      </w:r>
      <w:r>
        <w:fldChar w:fldCharType="begin"/>
      </w:r>
      <w:r>
        <w:instrText xml:space="preserve"> PAGEREF _Toc6467 \h </w:instrText>
      </w:r>
      <w:r>
        <w:fldChar w:fldCharType="separate"/>
      </w:r>
      <w:r>
        <w:t>2</w:t>
      </w:r>
      <w:r>
        <w:fldChar w:fldCharType="end"/>
      </w:r>
      <w:r>
        <w:rPr>
          <w:rFonts w:hAnsi="宋体"/>
          <w:highlight w:val="none"/>
        </w:rPr>
        <w:fldChar w:fldCharType="end"/>
      </w:r>
    </w:p>
    <w:p w14:paraId="32AA1FFB">
      <w:pPr>
        <w:pStyle w:val="20"/>
        <w:tabs>
          <w:tab w:val="right" w:leader="dot" w:pos="8306"/>
        </w:tabs>
      </w:pPr>
      <w:r>
        <w:rPr>
          <w:rFonts w:hAnsi="宋体"/>
          <w:highlight w:val="none"/>
        </w:rPr>
        <w:fldChar w:fldCharType="begin"/>
      </w:r>
      <w:r>
        <w:rPr>
          <w:rFonts w:hAnsi="宋体"/>
          <w:highlight w:val="none"/>
        </w:rPr>
        <w:instrText xml:space="preserve"> HYPERLINK \l _Toc26872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1.5. </w:t>
      </w:r>
      <w:r>
        <w:rPr>
          <w:rFonts w:hint="eastAsia" w:ascii="宋体" w:hAnsi="宋体" w:eastAsia="宋体" w:cs="宋体"/>
        </w:rPr>
        <w:t>项目依据</w:t>
      </w:r>
      <w:r>
        <w:tab/>
      </w:r>
      <w:r>
        <w:fldChar w:fldCharType="begin"/>
      </w:r>
      <w:r>
        <w:instrText xml:space="preserve"> PAGEREF _Toc26872 \h </w:instrText>
      </w:r>
      <w:r>
        <w:fldChar w:fldCharType="separate"/>
      </w:r>
      <w:r>
        <w:t>3</w:t>
      </w:r>
      <w:r>
        <w:fldChar w:fldCharType="end"/>
      </w:r>
      <w:r>
        <w:rPr>
          <w:rFonts w:hAnsi="宋体"/>
          <w:highlight w:val="none"/>
        </w:rPr>
        <w:fldChar w:fldCharType="end"/>
      </w:r>
    </w:p>
    <w:p w14:paraId="18F36A40">
      <w:pPr>
        <w:pStyle w:val="19"/>
        <w:tabs>
          <w:tab w:val="right" w:leader="dot" w:pos="8306"/>
        </w:tabs>
      </w:pPr>
      <w:r>
        <w:rPr>
          <w:rFonts w:hAnsi="宋体"/>
          <w:highlight w:val="none"/>
        </w:rPr>
        <w:fldChar w:fldCharType="begin"/>
      </w:r>
      <w:r>
        <w:rPr>
          <w:rFonts w:hAnsi="宋体"/>
          <w:highlight w:val="none"/>
        </w:rPr>
        <w:instrText xml:space="preserve"> HYPERLINK \l _Toc3758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 </w:t>
      </w:r>
      <w:r>
        <w:rPr>
          <w:rFonts w:hint="eastAsia" w:hAnsi="宋体"/>
          <w:highlight w:val="none"/>
          <w:lang w:val="en-US" w:eastAsia="zh-CN"/>
        </w:rPr>
        <w:t>业务支撑内容及要求</w:t>
      </w:r>
      <w:r>
        <w:tab/>
      </w:r>
      <w:r>
        <w:fldChar w:fldCharType="begin"/>
      </w:r>
      <w:r>
        <w:instrText xml:space="preserve"> PAGEREF _Toc3758 \h </w:instrText>
      </w:r>
      <w:r>
        <w:fldChar w:fldCharType="separate"/>
      </w:r>
      <w:r>
        <w:t>4</w:t>
      </w:r>
      <w:r>
        <w:fldChar w:fldCharType="end"/>
      </w:r>
      <w:r>
        <w:rPr>
          <w:rFonts w:hAnsi="宋体"/>
          <w:highlight w:val="none"/>
        </w:rPr>
        <w:fldChar w:fldCharType="end"/>
      </w:r>
    </w:p>
    <w:p w14:paraId="43BC57D4">
      <w:pPr>
        <w:pStyle w:val="20"/>
        <w:tabs>
          <w:tab w:val="right" w:leader="dot" w:pos="8306"/>
        </w:tabs>
      </w:pPr>
      <w:r>
        <w:rPr>
          <w:rFonts w:hAnsi="宋体"/>
          <w:highlight w:val="none"/>
        </w:rPr>
        <w:fldChar w:fldCharType="begin"/>
      </w:r>
      <w:r>
        <w:rPr>
          <w:rFonts w:hAnsi="宋体"/>
          <w:highlight w:val="none"/>
        </w:rPr>
        <w:instrText xml:space="preserve"> HYPERLINK \l _Toc26108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2.1. </w:t>
      </w:r>
      <w:r>
        <w:rPr>
          <w:rFonts w:hint="eastAsia" w:ascii="宋体" w:hAnsi="宋体" w:eastAsia="宋体" w:cs="宋体"/>
          <w:lang w:val="en-US" w:eastAsia="zh-CN"/>
        </w:rPr>
        <w:t>业务支撑内容要求</w:t>
      </w:r>
      <w:r>
        <w:tab/>
      </w:r>
      <w:r>
        <w:fldChar w:fldCharType="begin"/>
      </w:r>
      <w:r>
        <w:instrText xml:space="preserve"> PAGEREF _Toc26108 \h </w:instrText>
      </w:r>
      <w:r>
        <w:fldChar w:fldCharType="separate"/>
      </w:r>
      <w:r>
        <w:t>4</w:t>
      </w:r>
      <w:r>
        <w:fldChar w:fldCharType="end"/>
      </w:r>
      <w:r>
        <w:rPr>
          <w:rFonts w:hAnsi="宋体"/>
          <w:highlight w:val="none"/>
        </w:rPr>
        <w:fldChar w:fldCharType="end"/>
      </w:r>
    </w:p>
    <w:p w14:paraId="7395C96B">
      <w:pPr>
        <w:pStyle w:val="15"/>
        <w:tabs>
          <w:tab w:val="right" w:leader="dot" w:pos="8306"/>
        </w:tabs>
      </w:pPr>
      <w:r>
        <w:rPr>
          <w:rFonts w:hAnsi="宋体"/>
          <w:highlight w:val="none"/>
        </w:rPr>
        <w:fldChar w:fldCharType="begin"/>
      </w:r>
      <w:r>
        <w:rPr>
          <w:rFonts w:hAnsi="宋体"/>
          <w:highlight w:val="none"/>
        </w:rPr>
        <w:instrText xml:space="preserve"> HYPERLINK \l _Toc12784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lang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2.1.1. </w:t>
      </w:r>
      <w:r>
        <w:rPr>
          <w:rFonts w:hint="eastAsia" w:ascii="宋体" w:hAnsi="宋体" w:eastAsia="宋体" w:cs="宋体"/>
          <w:lang w:eastAsia="zh-CN"/>
        </w:rPr>
        <w:t>数字化服务体系创新与能力提升研究</w:t>
      </w:r>
      <w:r>
        <w:tab/>
      </w:r>
      <w:r>
        <w:fldChar w:fldCharType="begin"/>
      </w:r>
      <w:r>
        <w:instrText xml:space="preserve"> PAGEREF _Toc12784 \h </w:instrText>
      </w:r>
      <w:r>
        <w:fldChar w:fldCharType="separate"/>
      </w:r>
      <w:r>
        <w:t>4</w:t>
      </w:r>
      <w:r>
        <w:fldChar w:fldCharType="end"/>
      </w:r>
      <w:r>
        <w:rPr>
          <w:rFonts w:hAnsi="宋体"/>
          <w:highlight w:val="none"/>
        </w:rPr>
        <w:fldChar w:fldCharType="end"/>
      </w:r>
    </w:p>
    <w:p w14:paraId="241C506F">
      <w:pPr>
        <w:pStyle w:val="15"/>
        <w:tabs>
          <w:tab w:val="right" w:leader="dot" w:pos="8306"/>
        </w:tabs>
      </w:pPr>
      <w:r>
        <w:rPr>
          <w:rFonts w:hAnsi="宋体"/>
          <w:highlight w:val="none"/>
        </w:rPr>
        <w:fldChar w:fldCharType="begin"/>
      </w:r>
      <w:r>
        <w:rPr>
          <w:rFonts w:hAnsi="宋体"/>
          <w:highlight w:val="none"/>
        </w:rPr>
        <w:instrText xml:space="preserve"> HYPERLINK \l _Toc5870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2.1.2. </w:t>
      </w:r>
      <w:r>
        <w:rPr>
          <w:rFonts w:hint="eastAsia" w:ascii="宋体" w:hAnsi="宋体" w:eastAsia="宋体" w:cs="宋体"/>
          <w:lang w:val="en-US" w:eastAsia="zh-CN"/>
        </w:rPr>
        <w:t>数字化服务第三方满意度调查与用户运营</w:t>
      </w:r>
      <w:r>
        <w:tab/>
      </w:r>
      <w:r>
        <w:fldChar w:fldCharType="begin"/>
      </w:r>
      <w:r>
        <w:instrText xml:space="preserve"> PAGEREF _Toc5870 \h </w:instrText>
      </w:r>
      <w:r>
        <w:fldChar w:fldCharType="separate"/>
      </w:r>
      <w:r>
        <w:t>5</w:t>
      </w:r>
      <w:r>
        <w:fldChar w:fldCharType="end"/>
      </w:r>
      <w:r>
        <w:rPr>
          <w:rFonts w:hAnsi="宋体"/>
          <w:highlight w:val="none"/>
        </w:rPr>
        <w:fldChar w:fldCharType="end"/>
      </w:r>
    </w:p>
    <w:p w14:paraId="094756E9">
      <w:pPr>
        <w:pStyle w:val="15"/>
        <w:tabs>
          <w:tab w:val="right" w:leader="dot" w:pos="8306"/>
        </w:tabs>
      </w:pPr>
      <w:r>
        <w:rPr>
          <w:rFonts w:hAnsi="宋体"/>
          <w:highlight w:val="none"/>
        </w:rPr>
        <w:fldChar w:fldCharType="begin"/>
      </w:r>
      <w:r>
        <w:rPr>
          <w:rFonts w:hAnsi="宋体"/>
          <w:highlight w:val="none"/>
        </w:rPr>
        <w:instrText xml:space="preserve"> HYPERLINK \l _Toc4631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lang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2.1.3. </w:t>
      </w:r>
      <w:r>
        <w:rPr>
          <w:rFonts w:hint="eastAsia" w:ascii="宋体" w:hAnsi="宋体" w:eastAsia="宋体" w:cs="宋体"/>
          <w:lang w:val="en-US" w:eastAsia="zh-CN"/>
        </w:rPr>
        <w:t>网级前台及中台服务监督与分析</w:t>
      </w:r>
      <w:r>
        <w:tab/>
      </w:r>
      <w:r>
        <w:fldChar w:fldCharType="begin"/>
      </w:r>
      <w:r>
        <w:instrText xml:space="preserve"> PAGEREF _Toc4631 \h </w:instrText>
      </w:r>
      <w:r>
        <w:fldChar w:fldCharType="separate"/>
      </w:r>
      <w:r>
        <w:t>10</w:t>
      </w:r>
      <w:r>
        <w:fldChar w:fldCharType="end"/>
      </w:r>
      <w:r>
        <w:rPr>
          <w:rFonts w:hAnsi="宋体"/>
          <w:highlight w:val="none"/>
        </w:rPr>
        <w:fldChar w:fldCharType="end"/>
      </w:r>
    </w:p>
    <w:p w14:paraId="52C2C28A">
      <w:pPr>
        <w:pStyle w:val="20"/>
        <w:tabs>
          <w:tab w:val="right" w:leader="dot" w:pos="8306"/>
        </w:tabs>
      </w:pPr>
      <w:r>
        <w:rPr>
          <w:rFonts w:hAnsi="宋体"/>
          <w:highlight w:val="none"/>
        </w:rPr>
        <w:fldChar w:fldCharType="begin"/>
      </w:r>
      <w:r>
        <w:rPr>
          <w:rFonts w:hAnsi="宋体"/>
          <w:highlight w:val="none"/>
        </w:rPr>
        <w:instrText xml:space="preserve"> HYPERLINK \l _Toc21538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2.2. </w:t>
      </w:r>
      <w:r>
        <w:rPr>
          <w:rFonts w:hint="eastAsia" w:hAnsi="宋体"/>
          <w:highlight w:val="none"/>
          <w:lang w:val="en-US" w:eastAsia="zh-CN"/>
        </w:rPr>
        <w:t>业务指标支撑要求</w:t>
      </w:r>
      <w:r>
        <w:tab/>
      </w:r>
      <w:r>
        <w:fldChar w:fldCharType="begin"/>
      </w:r>
      <w:r>
        <w:instrText xml:space="preserve"> PAGEREF _Toc21538 \h </w:instrText>
      </w:r>
      <w:r>
        <w:fldChar w:fldCharType="separate"/>
      </w:r>
      <w:r>
        <w:t>13</w:t>
      </w:r>
      <w:r>
        <w:fldChar w:fldCharType="end"/>
      </w:r>
      <w:r>
        <w:rPr>
          <w:rFonts w:hAnsi="宋体"/>
          <w:highlight w:val="none"/>
        </w:rPr>
        <w:fldChar w:fldCharType="end"/>
      </w:r>
    </w:p>
    <w:p w14:paraId="1EA0D947">
      <w:pPr>
        <w:pStyle w:val="20"/>
        <w:tabs>
          <w:tab w:val="right" w:leader="dot" w:pos="8306"/>
        </w:tabs>
      </w:pPr>
      <w:r>
        <w:rPr>
          <w:rFonts w:hAnsi="宋体"/>
          <w:highlight w:val="none"/>
        </w:rPr>
        <w:fldChar w:fldCharType="begin"/>
      </w:r>
      <w:r>
        <w:rPr>
          <w:rFonts w:hAnsi="宋体"/>
          <w:highlight w:val="none"/>
        </w:rPr>
        <w:instrText xml:space="preserve"> HYPERLINK \l _Toc7586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2.3. </w:t>
      </w:r>
      <w:r>
        <w:rPr>
          <w:rFonts w:hint="eastAsia" w:asciiTheme="minorEastAsia" w:eastAsiaTheme="minorEastAsia" w:cstheme="minorEastAsia"/>
        </w:rPr>
        <w:t>信息管理要求</w:t>
      </w:r>
      <w:r>
        <w:tab/>
      </w:r>
      <w:r>
        <w:fldChar w:fldCharType="begin"/>
      </w:r>
      <w:r>
        <w:instrText xml:space="preserve"> PAGEREF _Toc7586 \h </w:instrText>
      </w:r>
      <w:r>
        <w:fldChar w:fldCharType="separate"/>
      </w:r>
      <w:r>
        <w:t>14</w:t>
      </w:r>
      <w:r>
        <w:fldChar w:fldCharType="end"/>
      </w:r>
      <w:r>
        <w:rPr>
          <w:rFonts w:hAnsi="宋体"/>
          <w:highlight w:val="none"/>
        </w:rPr>
        <w:fldChar w:fldCharType="end"/>
      </w:r>
    </w:p>
    <w:p w14:paraId="3B788BE5">
      <w:pPr>
        <w:pStyle w:val="20"/>
        <w:tabs>
          <w:tab w:val="right" w:leader="dot" w:pos="8306"/>
        </w:tabs>
      </w:pPr>
      <w:r>
        <w:rPr>
          <w:rFonts w:hAnsi="宋体"/>
          <w:highlight w:val="none"/>
        </w:rPr>
        <w:fldChar w:fldCharType="begin"/>
      </w:r>
      <w:r>
        <w:rPr>
          <w:rFonts w:hAnsi="宋体"/>
          <w:highlight w:val="none"/>
        </w:rPr>
        <w:instrText xml:space="preserve"> HYPERLINK \l _Toc21419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2.4. </w:t>
      </w:r>
      <w:r>
        <w:rPr>
          <w:rFonts w:hint="eastAsia" w:hAnsi="宋体"/>
        </w:rPr>
        <w:t>安全要求</w:t>
      </w:r>
      <w:r>
        <w:tab/>
      </w:r>
      <w:r>
        <w:fldChar w:fldCharType="begin"/>
      </w:r>
      <w:r>
        <w:instrText xml:space="preserve"> PAGEREF _Toc21419 \h </w:instrText>
      </w:r>
      <w:r>
        <w:fldChar w:fldCharType="separate"/>
      </w:r>
      <w:r>
        <w:t>15</w:t>
      </w:r>
      <w:r>
        <w:fldChar w:fldCharType="end"/>
      </w:r>
      <w:r>
        <w:rPr>
          <w:rFonts w:hAnsi="宋体"/>
          <w:highlight w:val="none"/>
        </w:rPr>
        <w:fldChar w:fldCharType="end"/>
      </w:r>
    </w:p>
    <w:p w14:paraId="2C854166">
      <w:pPr>
        <w:pStyle w:val="19"/>
        <w:tabs>
          <w:tab w:val="right" w:leader="dot" w:pos="8306"/>
        </w:tabs>
      </w:pPr>
      <w:r>
        <w:rPr>
          <w:rFonts w:hAnsi="宋体"/>
          <w:highlight w:val="none"/>
        </w:rPr>
        <w:fldChar w:fldCharType="begin"/>
      </w:r>
      <w:r>
        <w:rPr>
          <w:rFonts w:hAnsi="宋体"/>
          <w:highlight w:val="none"/>
        </w:rPr>
        <w:instrText xml:space="preserve"> HYPERLINK \l _Toc30112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 </w:t>
      </w:r>
      <w:r>
        <w:rPr>
          <w:rFonts w:hint="eastAsia" w:hAnsi="宋体"/>
          <w:highlight w:val="none"/>
        </w:rPr>
        <w:t>项目</w:t>
      </w:r>
      <w:r>
        <w:rPr>
          <w:rFonts w:hint="eastAsia" w:hAnsi="宋体"/>
          <w:highlight w:val="none"/>
          <w:lang w:eastAsia="zh-CN"/>
        </w:rPr>
        <w:t>实施</w:t>
      </w:r>
      <w:r>
        <w:rPr>
          <w:rFonts w:hint="eastAsia" w:hAnsi="宋体"/>
          <w:highlight w:val="none"/>
        </w:rPr>
        <w:t>工作要求</w:t>
      </w:r>
      <w:r>
        <w:tab/>
      </w:r>
      <w:r>
        <w:fldChar w:fldCharType="begin"/>
      </w:r>
      <w:r>
        <w:instrText xml:space="preserve"> PAGEREF _Toc30112 \h </w:instrText>
      </w:r>
      <w:r>
        <w:fldChar w:fldCharType="separate"/>
      </w:r>
      <w:r>
        <w:t>15</w:t>
      </w:r>
      <w:r>
        <w:fldChar w:fldCharType="end"/>
      </w:r>
      <w:r>
        <w:rPr>
          <w:rFonts w:hAnsi="宋体"/>
          <w:highlight w:val="none"/>
        </w:rPr>
        <w:fldChar w:fldCharType="end"/>
      </w:r>
    </w:p>
    <w:p w14:paraId="415DE18D">
      <w:pPr>
        <w:pStyle w:val="20"/>
        <w:tabs>
          <w:tab w:val="right" w:leader="dot" w:pos="8306"/>
        </w:tabs>
      </w:pPr>
      <w:r>
        <w:rPr>
          <w:rFonts w:hAnsi="宋体"/>
          <w:highlight w:val="none"/>
        </w:rPr>
        <w:fldChar w:fldCharType="begin"/>
      </w:r>
      <w:r>
        <w:rPr>
          <w:rFonts w:hAnsi="宋体"/>
          <w:highlight w:val="none"/>
        </w:rPr>
        <w:instrText xml:space="preserve"> HYPERLINK \l _Toc4228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3.1. </w:t>
      </w:r>
      <w:r>
        <w:rPr>
          <w:rFonts w:hint="eastAsia" w:hAnsi="宋体"/>
          <w:highlight w:val="none"/>
        </w:rPr>
        <w:t>项目工期要求</w:t>
      </w:r>
      <w:r>
        <w:tab/>
      </w:r>
      <w:r>
        <w:fldChar w:fldCharType="begin"/>
      </w:r>
      <w:r>
        <w:instrText xml:space="preserve"> PAGEREF _Toc4228 \h </w:instrText>
      </w:r>
      <w:r>
        <w:fldChar w:fldCharType="separate"/>
      </w:r>
      <w:r>
        <w:t>15</w:t>
      </w:r>
      <w:r>
        <w:fldChar w:fldCharType="end"/>
      </w:r>
      <w:r>
        <w:rPr>
          <w:rFonts w:hAnsi="宋体"/>
          <w:highlight w:val="none"/>
        </w:rPr>
        <w:fldChar w:fldCharType="end"/>
      </w:r>
    </w:p>
    <w:p w14:paraId="323D71EA">
      <w:pPr>
        <w:pStyle w:val="20"/>
        <w:tabs>
          <w:tab w:val="right" w:leader="dot" w:pos="8306"/>
        </w:tabs>
      </w:pPr>
      <w:r>
        <w:rPr>
          <w:rFonts w:hAnsi="宋体"/>
          <w:highlight w:val="none"/>
        </w:rPr>
        <w:fldChar w:fldCharType="begin"/>
      </w:r>
      <w:r>
        <w:rPr>
          <w:rFonts w:hAnsi="宋体"/>
          <w:highlight w:val="none"/>
        </w:rPr>
        <w:instrText xml:space="preserve"> HYPERLINK \l _Toc5818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 </w:t>
      </w:r>
      <w:r>
        <w:rPr>
          <w:rFonts w:hint="eastAsia" w:hAnsi="宋体"/>
          <w:highlight w:val="none"/>
        </w:rPr>
        <w:t>项目组织要求</w:t>
      </w:r>
      <w:r>
        <w:tab/>
      </w:r>
      <w:r>
        <w:fldChar w:fldCharType="begin"/>
      </w:r>
      <w:r>
        <w:instrText xml:space="preserve"> PAGEREF _Toc5818 \h </w:instrText>
      </w:r>
      <w:r>
        <w:fldChar w:fldCharType="separate"/>
      </w:r>
      <w:r>
        <w:t>15</w:t>
      </w:r>
      <w:r>
        <w:fldChar w:fldCharType="end"/>
      </w:r>
      <w:r>
        <w:rPr>
          <w:rFonts w:hAnsi="宋体"/>
          <w:highlight w:val="none"/>
        </w:rPr>
        <w:fldChar w:fldCharType="end"/>
      </w:r>
    </w:p>
    <w:p w14:paraId="24F6C091">
      <w:pPr>
        <w:pStyle w:val="15"/>
        <w:tabs>
          <w:tab w:val="right" w:leader="dot" w:pos="8306"/>
        </w:tabs>
      </w:pPr>
      <w:r>
        <w:rPr>
          <w:rFonts w:hAnsi="宋体"/>
          <w:highlight w:val="none"/>
        </w:rPr>
        <w:fldChar w:fldCharType="begin"/>
      </w:r>
      <w:r>
        <w:rPr>
          <w:rFonts w:hAnsi="宋体"/>
          <w:highlight w:val="none"/>
        </w:rPr>
        <w:instrText xml:space="preserve"> HYPERLINK \l _Toc13282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3.2.1. </w:t>
      </w:r>
      <w:r>
        <w:rPr>
          <w:rFonts w:hint="eastAsia"/>
          <w:highlight w:val="none"/>
        </w:rPr>
        <w:t>组织保障要求</w:t>
      </w:r>
      <w:r>
        <w:tab/>
      </w:r>
      <w:r>
        <w:fldChar w:fldCharType="begin"/>
      </w:r>
      <w:r>
        <w:instrText xml:space="preserve"> PAGEREF _Toc13282 \h </w:instrText>
      </w:r>
      <w:r>
        <w:fldChar w:fldCharType="separate"/>
      </w:r>
      <w:r>
        <w:t>15</w:t>
      </w:r>
      <w:r>
        <w:fldChar w:fldCharType="end"/>
      </w:r>
      <w:r>
        <w:rPr>
          <w:rFonts w:hAnsi="宋体"/>
          <w:highlight w:val="none"/>
        </w:rPr>
        <w:fldChar w:fldCharType="end"/>
      </w:r>
    </w:p>
    <w:p w14:paraId="5C23A193">
      <w:pPr>
        <w:pStyle w:val="15"/>
        <w:tabs>
          <w:tab w:val="right" w:leader="dot" w:pos="8306"/>
        </w:tabs>
      </w:pPr>
      <w:r>
        <w:rPr>
          <w:rFonts w:hAnsi="宋体"/>
          <w:highlight w:val="none"/>
        </w:rPr>
        <w:fldChar w:fldCharType="begin"/>
      </w:r>
      <w:r>
        <w:rPr>
          <w:rFonts w:hAnsi="宋体"/>
          <w:highlight w:val="none"/>
        </w:rPr>
        <w:instrText xml:space="preserve"> HYPERLINK \l _Toc28607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3.2.2. </w:t>
      </w:r>
      <w:r>
        <w:rPr>
          <w:rFonts w:hint="eastAsia"/>
          <w:highlight w:val="none"/>
        </w:rPr>
        <w:t>项目负责人要求</w:t>
      </w:r>
      <w:r>
        <w:tab/>
      </w:r>
      <w:r>
        <w:fldChar w:fldCharType="begin"/>
      </w:r>
      <w:r>
        <w:instrText xml:space="preserve"> PAGEREF _Toc28607 \h </w:instrText>
      </w:r>
      <w:r>
        <w:fldChar w:fldCharType="separate"/>
      </w:r>
      <w:r>
        <w:t>16</w:t>
      </w:r>
      <w:r>
        <w:fldChar w:fldCharType="end"/>
      </w:r>
      <w:r>
        <w:rPr>
          <w:rFonts w:hAnsi="宋体"/>
          <w:highlight w:val="none"/>
        </w:rPr>
        <w:fldChar w:fldCharType="end"/>
      </w:r>
    </w:p>
    <w:p w14:paraId="3DEA9830">
      <w:pPr>
        <w:pStyle w:val="15"/>
        <w:tabs>
          <w:tab w:val="right" w:leader="dot" w:pos="8306"/>
        </w:tabs>
      </w:pPr>
      <w:r>
        <w:rPr>
          <w:rFonts w:hAnsi="宋体"/>
          <w:highlight w:val="none"/>
        </w:rPr>
        <w:fldChar w:fldCharType="begin"/>
      </w:r>
      <w:r>
        <w:rPr>
          <w:rFonts w:hAnsi="宋体"/>
          <w:highlight w:val="none"/>
        </w:rPr>
        <w:instrText xml:space="preserve"> HYPERLINK \l _Toc23064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3.2.3. </w:t>
      </w:r>
      <w:r>
        <w:rPr>
          <w:rFonts w:hint="eastAsia"/>
          <w:highlight w:val="none"/>
        </w:rPr>
        <w:t>项目团队要求</w:t>
      </w:r>
      <w:r>
        <w:tab/>
      </w:r>
      <w:r>
        <w:fldChar w:fldCharType="begin"/>
      </w:r>
      <w:r>
        <w:instrText xml:space="preserve"> PAGEREF _Toc23064 \h </w:instrText>
      </w:r>
      <w:r>
        <w:fldChar w:fldCharType="separate"/>
      </w:r>
      <w:r>
        <w:t>16</w:t>
      </w:r>
      <w:r>
        <w:fldChar w:fldCharType="end"/>
      </w:r>
      <w:r>
        <w:rPr>
          <w:rFonts w:hAnsi="宋体"/>
          <w:highlight w:val="none"/>
        </w:rPr>
        <w:fldChar w:fldCharType="end"/>
      </w:r>
    </w:p>
    <w:p w14:paraId="12E8110D">
      <w:pPr>
        <w:pStyle w:val="20"/>
        <w:tabs>
          <w:tab w:val="right" w:leader="dot" w:pos="8306"/>
        </w:tabs>
      </w:pPr>
      <w:r>
        <w:rPr>
          <w:rFonts w:hAnsi="宋体"/>
          <w:highlight w:val="none"/>
        </w:rPr>
        <w:fldChar w:fldCharType="begin"/>
      </w:r>
      <w:r>
        <w:rPr>
          <w:rFonts w:hAnsi="宋体"/>
          <w:highlight w:val="none"/>
        </w:rPr>
        <w:instrText xml:space="preserve"> HYPERLINK \l _Toc31086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 </w:t>
      </w:r>
      <w:r>
        <w:rPr>
          <w:rFonts w:hint="eastAsia" w:hAnsi="宋体"/>
        </w:rPr>
        <w:t>沟通协调要求</w:t>
      </w:r>
      <w:r>
        <w:tab/>
      </w:r>
      <w:r>
        <w:fldChar w:fldCharType="begin"/>
      </w:r>
      <w:r>
        <w:instrText xml:space="preserve"> PAGEREF _Toc31086 \h </w:instrText>
      </w:r>
      <w:r>
        <w:fldChar w:fldCharType="separate"/>
      </w:r>
      <w:r>
        <w:t>16</w:t>
      </w:r>
      <w:r>
        <w:fldChar w:fldCharType="end"/>
      </w:r>
      <w:r>
        <w:rPr>
          <w:rFonts w:hAnsi="宋体"/>
          <w:highlight w:val="none"/>
        </w:rPr>
        <w:fldChar w:fldCharType="end"/>
      </w:r>
    </w:p>
    <w:p w14:paraId="73109418">
      <w:pPr>
        <w:pStyle w:val="15"/>
        <w:tabs>
          <w:tab w:val="right" w:leader="dot" w:pos="8306"/>
        </w:tabs>
      </w:pPr>
      <w:r>
        <w:rPr>
          <w:rFonts w:hAnsi="宋体"/>
          <w:highlight w:val="none"/>
        </w:rPr>
        <w:fldChar w:fldCharType="begin"/>
      </w:r>
      <w:r>
        <w:rPr>
          <w:rFonts w:hAnsi="宋体"/>
          <w:highlight w:val="none"/>
        </w:rPr>
        <w:instrText xml:space="preserve"> HYPERLINK \l _Toc6079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3.3.1. </w:t>
      </w:r>
      <w:r>
        <w:rPr>
          <w:rFonts w:hint="eastAsia"/>
          <w:highlight w:val="none"/>
        </w:rPr>
        <w:t>项目周报</w:t>
      </w:r>
      <w:r>
        <w:tab/>
      </w:r>
      <w:r>
        <w:fldChar w:fldCharType="begin"/>
      </w:r>
      <w:r>
        <w:instrText xml:space="preserve"> PAGEREF _Toc6079 \h </w:instrText>
      </w:r>
      <w:r>
        <w:fldChar w:fldCharType="separate"/>
      </w:r>
      <w:r>
        <w:t>16</w:t>
      </w:r>
      <w:r>
        <w:fldChar w:fldCharType="end"/>
      </w:r>
      <w:r>
        <w:rPr>
          <w:rFonts w:hAnsi="宋体"/>
          <w:highlight w:val="none"/>
        </w:rPr>
        <w:fldChar w:fldCharType="end"/>
      </w:r>
    </w:p>
    <w:p w14:paraId="0E7B9045">
      <w:pPr>
        <w:pStyle w:val="15"/>
        <w:tabs>
          <w:tab w:val="right" w:leader="dot" w:pos="8306"/>
        </w:tabs>
      </w:pPr>
      <w:r>
        <w:rPr>
          <w:rFonts w:hAnsi="宋体"/>
          <w:highlight w:val="none"/>
        </w:rPr>
        <w:fldChar w:fldCharType="begin"/>
      </w:r>
      <w:r>
        <w:rPr>
          <w:rFonts w:hAnsi="宋体"/>
          <w:highlight w:val="none"/>
        </w:rPr>
        <w:instrText xml:space="preserve"> HYPERLINK \l _Toc16771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3.3.2. </w:t>
      </w:r>
      <w:r>
        <w:rPr>
          <w:rFonts w:hint="eastAsia"/>
        </w:rPr>
        <w:t>项目联络会</w:t>
      </w:r>
      <w:r>
        <w:tab/>
      </w:r>
      <w:r>
        <w:fldChar w:fldCharType="begin"/>
      </w:r>
      <w:r>
        <w:instrText xml:space="preserve"> PAGEREF _Toc16771 \h </w:instrText>
      </w:r>
      <w:r>
        <w:fldChar w:fldCharType="separate"/>
      </w:r>
      <w:r>
        <w:t>17</w:t>
      </w:r>
      <w:r>
        <w:fldChar w:fldCharType="end"/>
      </w:r>
      <w:r>
        <w:rPr>
          <w:rFonts w:hAnsi="宋体"/>
          <w:highlight w:val="none"/>
        </w:rPr>
        <w:fldChar w:fldCharType="end"/>
      </w:r>
    </w:p>
    <w:p w14:paraId="608B07E0">
      <w:pPr>
        <w:pStyle w:val="20"/>
        <w:tabs>
          <w:tab w:val="right" w:leader="dot" w:pos="8306"/>
        </w:tabs>
      </w:pPr>
      <w:r>
        <w:rPr>
          <w:rFonts w:hAnsi="宋体"/>
          <w:highlight w:val="none"/>
        </w:rPr>
        <w:fldChar w:fldCharType="begin"/>
      </w:r>
      <w:r>
        <w:rPr>
          <w:rFonts w:hAnsi="宋体"/>
          <w:highlight w:val="none"/>
        </w:rPr>
        <w:instrText xml:space="preserve"> HYPERLINK \l _Toc2304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3.4. </w:t>
      </w:r>
      <w:r>
        <w:rPr>
          <w:rFonts w:hint="eastAsia" w:hAnsi="宋体"/>
          <w:highlight w:val="none"/>
        </w:rPr>
        <w:t>项目交付项</w:t>
      </w:r>
      <w:r>
        <w:tab/>
      </w:r>
      <w:r>
        <w:fldChar w:fldCharType="begin"/>
      </w:r>
      <w:r>
        <w:instrText xml:space="preserve"> PAGEREF _Toc2304 \h </w:instrText>
      </w:r>
      <w:r>
        <w:fldChar w:fldCharType="separate"/>
      </w:r>
      <w:r>
        <w:t>17</w:t>
      </w:r>
      <w:r>
        <w:fldChar w:fldCharType="end"/>
      </w:r>
      <w:r>
        <w:rPr>
          <w:rFonts w:hAnsi="宋体"/>
          <w:highlight w:val="none"/>
        </w:rPr>
        <w:fldChar w:fldCharType="end"/>
      </w:r>
    </w:p>
    <w:p w14:paraId="3A64C2DE">
      <w:pPr>
        <w:pStyle w:val="20"/>
        <w:tabs>
          <w:tab w:val="right" w:leader="dot" w:pos="8306"/>
        </w:tabs>
      </w:pPr>
      <w:r>
        <w:rPr>
          <w:rFonts w:hAnsi="宋体"/>
          <w:highlight w:val="none"/>
        </w:rPr>
        <w:fldChar w:fldCharType="begin"/>
      </w:r>
      <w:r>
        <w:rPr>
          <w:rFonts w:hAnsi="宋体"/>
          <w:highlight w:val="none"/>
        </w:rPr>
        <w:instrText xml:space="preserve"> HYPERLINK \l _Toc11104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3.5. </w:t>
      </w:r>
      <w:r>
        <w:rPr>
          <w:rFonts w:hint="eastAsia" w:hAnsi="宋体"/>
          <w:highlight w:val="none"/>
        </w:rPr>
        <w:t>项目验收</w:t>
      </w:r>
      <w:r>
        <w:tab/>
      </w:r>
      <w:r>
        <w:fldChar w:fldCharType="begin"/>
      </w:r>
      <w:r>
        <w:instrText xml:space="preserve"> PAGEREF _Toc11104 \h </w:instrText>
      </w:r>
      <w:r>
        <w:fldChar w:fldCharType="separate"/>
      </w:r>
      <w:r>
        <w:t>19</w:t>
      </w:r>
      <w:r>
        <w:fldChar w:fldCharType="end"/>
      </w:r>
      <w:r>
        <w:rPr>
          <w:rFonts w:hAnsi="宋体"/>
          <w:highlight w:val="none"/>
        </w:rPr>
        <w:fldChar w:fldCharType="end"/>
      </w:r>
    </w:p>
    <w:p w14:paraId="488A7A16">
      <w:pPr>
        <w:pStyle w:val="19"/>
        <w:tabs>
          <w:tab w:val="right" w:leader="dot" w:pos="8306"/>
        </w:tabs>
      </w:pPr>
      <w:r>
        <w:rPr>
          <w:rFonts w:hAnsi="宋体"/>
          <w:highlight w:val="none"/>
        </w:rPr>
        <w:fldChar w:fldCharType="begin"/>
      </w:r>
      <w:r>
        <w:rPr>
          <w:rFonts w:hAnsi="宋体"/>
          <w:highlight w:val="none"/>
        </w:rPr>
        <w:instrText xml:space="preserve"> HYPERLINK \l _Toc17448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 </w:t>
      </w:r>
      <w:r>
        <w:rPr>
          <w:rFonts w:hint="eastAsia" w:hAnsi="宋体"/>
          <w:lang w:eastAsia="zh-CN"/>
        </w:rPr>
        <w:t>服务</w:t>
      </w:r>
      <w:r>
        <w:rPr>
          <w:rFonts w:hint="eastAsia" w:hAnsi="宋体"/>
        </w:rPr>
        <w:t>保障要求</w:t>
      </w:r>
      <w:r>
        <w:tab/>
      </w:r>
      <w:r>
        <w:fldChar w:fldCharType="begin"/>
      </w:r>
      <w:r>
        <w:instrText xml:space="preserve"> PAGEREF _Toc17448 \h </w:instrText>
      </w:r>
      <w:r>
        <w:fldChar w:fldCharType="separate"/>
      </w:r>
      <w:r>
        <w:t>20</w:t>
      </w:r>
      <w:r>
        <w:fldChar w:fldCharType="end"/>
      </w:r>
      <w:r>
        <w:rPr>
          <w:rFonts w:hAnsi="宋体"/>
          <w:highlight w:val="none"/>
        </w:rPr>
        <w:fldChar w:fldCharType="end"/>
      </w:r>
    </w:p>
    <w:p w14:paraId="5A35C4B3">
      <w:pPr>
        <w:pStyle w:val="20"/>
        <w:tabs>
          <w:tab w:val="right" w:leader="dot" w:pos="8306"/>
        </w:tabs>
      </w:pPr>
      <w:r>
        <w:rPr>
          <w:rFonts w:hAnsi="宋体"/>
          <w:highlight w:val="none"/>
        </w:rPr>
        <w:fldChar w:fldCharType="begin"/>
      </w:r>
      <w:r>
        <w:rPr>
          <w:rFonts w:hAnsi="宋体"/>
          <w:highlight w:val="none"/>
        </w:rPr>
        <w:instrText xml:space="preserve"> HYPERLINK \l _Toc31431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4.1. </w:t>
      </w:r>
      <w:r>
        <w:rPr>
          <w:rFonts w:hint="eastAsia" w:hAnsi="宋体"/>
        </w:rPr>
        <w:t>质量保障要求</w:t>
      </w:r>
      <w:r>
        <w:tab/>
      </w:r>
      <w:r>
        <w:fldChar w:fldCharType="begin"/>
      </w:r>
      <w:r>
        <w:instrText xml:space="preserve"> PAGEREF _Toc31431 \h </w:instrText>
      </w:r>
      <w:r>
        <w:fldChar w:fldCharType="separate"/>
      </w:r>
      <w:r>
        <w:t>20</w:t>
      </w:r>
      <w:r>
        <w:fldChar w:fldCharType="end"/>
      </w:r>
      <w:r>
        <w:rPr>
          <w:rFonts w:hAnsi="宋体"/>
          <w:highlight w:val="none"/>
        </w:rPr>
        <w:fldChar w:fldCharType="end"/>
      </w:r>
    </w:p>
    <w:p w14:paraId="44AEAF70">
      <w:pPr>
        <w:pStyle w:val="20"/>
        <w:tabs>
          <w:tab w:val="right" w:leader="dot" w:pos="8306"/>
        </w:tabs>
      </w:pPr>
      <w:r>
        <w:rPr>
          <w:rFonts w:hAnsi="宋体"/>
          <w:highlight w:val="none"/>
        </w:rPr>
        <w:fldChar w:fldCharType="begin"/>
      </w:r>
      <w:r>
        <w:rPr>
          <w:rFonts w:hAnsi="宋体"/>
          <w:highlight w:val="none"/>
        </w:rPr>
        <w:instrText xml:space="preserve"> HYPERLINK \l _Toc4598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4.2. </w:t>
      </w:r>
      <w:r>
        <w:rPr>
          <w:rFonts w:hint="eastAsia" w:hAnsi="宋体"/>
        </w:rPr>
        <w:t>服务响应要求</w:t>
      </w:r>
      <w:r>
        <w:tab/>
      </w:r>
      <w:r>
        <w:fldChar w:fldCharType="begin"/>
      </w:r>
      <w:r>
        <w:instrText xml:space="preserve"> PAGEREF _Toc4598 \h </w:instrText>
      </w:r>
      <w:r>
        <w:fldChar w:fldCharType="separate"/>
      </w:r>
      <w:r>
        <w:t>20</w:t>
      </w:r>
      <w:r>
        <w:fldChar w:fldCharType="end"/>
      </w:r>
      <w:r>
        <w:rPr>
          <w:rFonts w:hAnsi="宋体"/>
          <w:highlight w:val="none"/>
        </w:rPr>
        <w:fldChar w:fldCharType="end"/>
      </w:r>
    </w:p>
    <w:p w14:paraId="53E8469B">
      <w:pPr>
        <w:pStyle w:val="19"/>
        <w:tabs>
          <w:tab w:val="right" w:leader="dot" w:pos="8306"/>
        </w:tabs>
      </w:pPr>
      <w:r>
        <w:rPr>
          <w:rFonts w:hAnsi="宋体"/>
          <w:highlight w:val="none"/>
        </w:rPr>
        <w:fldChar w:fldCharType="begin"/>
      </w:r>
      <w:r>
        <w:rPr>
          <w:rFonts w:hAnsi="宋体"/>
          <w:highlight w:val="none"/>
        </w:rPr>
        <w:instrText xml:space="preserve"> HYPERLINK \l _Toc8565 </w:instrText>
      </w:r>
      <w:r>
        <w:rPr>
          <w:rFonts w:hAnsi="宋体"/>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5. </w:t>
      </w:r>
      <w:r>
        <w:rPr>
          <w:rFonts w:hint="eastAsia" w:hAnsi="宋体"/>
        </w:rPr>
        <w:t>其它要求</w:t>
      </w:r>
      <w:r>
        <w:tab/>
      </w:r>
      <w:r>
        <w:fldChar w:fldCharType="begin"/>
      </w:r>
      <w:r>
        <w:instrText xml:space="preserve"> PAGEREF _Toc8565 \h </w:instrText>
      </w:r>
      <w:r>
        <w:fldChar w:fldCharType="separate"/>
      </w:r>
      <w:r>
        <w:t>20</w:t>
      </w:r>
      <w:r>
        <w:fldChar w:fldCharType="end"/>
      </w:r>
      <w:r>
        <w:rPr>
          <w:rFonts w:hAnsi="宋体"/>
          <w:highlight w:val="none"/>
        </w:rPr>
        <w:fldChar w:fldCharType="end"/>
      </w:r>
    </w:p>
    <w:p w14:paraId="3467B75F">
      <w:pPr>
        <w:spacing w:before="156" w:beforeLines="50" w:after="156" w:afterLines="50" w:line="336" w:lineRule="auto"/>
        <w:rPr>
          <w:rFonts w:hAnsi="宋体"/>
          <w:highlight w:val="none"/>
        </w:rPr>
        <w:sectPr>
          <w:headerReference r:id="rId11" w:type="default"/>
          <w:footerReference r:id="rId12" w:type="default"/>
          <w:pgSz w:w="11906" w:h="16838"/>
          <w:pgMar w:top="1440" w:right="1800" w:bottom="1440" w:left="1800" w:header="851" w:footer="992" w:gutter="0"/>
          <w:pgNumType w:fmt="upperRoman" w:start="1"/>
          <w:cols w:space="425" w:num="1"/>
          <w:docGrid w:type="lines" w:linePitch="312" w:charSpace="0"/>
        </w:sectPr>
      </w:pPr>
      <w:r>
        <w:rPr>
          <w:rFonts w:hAnsi="宋体"/>
          <w:highlight w:val="none"/>
        </w:rPr>
        <w:fldChar w:fldCharType="end"/>
      </w:r>
    </w:p>
    <w:p w14:paraId="3DEA4700">
      <w:pPr>
        <w:pStyle w:val="4"/>
        <w:rPr>
          <w:rFonts w:hAnsi="宋体"/>
          <w:highlight w:val="none"/>
        </w:rPr>
      </w:pPr>
      <w:bookmarkStart w:id="1" w:name="_Toc1059927303"/>
      <w:bookmarkStart w:id="2" w:name="_Toc1639792062"/>
      <w:bookmarkStart w:id="3" w:name="_Toc3562"/>
      <w:bookmarkStart w:id="4" w:name="_Toc4160"/>
      <w:bookmarkStart w:id="5" w:name="_Toc1994183841"/>
      <w:bookmarkStart w:id="6" w:name="_Toc15810"/>
      <w:bookmarkStart w:id="7" w:name="_Toc115811644"/>
      <w:r>
        <w:rPr>
          <w:rFonts w:hint="eastAsia" w:hAnsi="宋体"/>
          <w:highlight w:val="none"/>
        </w:rPr>
        <w:t>项目描述</w:t>
      </w:r>
      <w:bookmarkEnd w:id="1"/>
      <w:bookmarkEnd w:id="2"/>
      <w:bookmarkEnd w:id="3"/>
      <w:bookmarkEnd w:id="4"/>
      <w:bookmarkEnd w:id="5"/>
      <w:bookmarkEnd w:id="6"/>
    </w:p>
    <w:p w14:paraId="1E9D2EE2">
      <w:pPr>
        <w:pStyle w:val="5"/>
        <w:ind w:left="0" w:leftChars="0" w:firstLineChars="0"/>
        <w:rPr>
          <w:rFonts w:hint="eastAsia" w:ascii="宋体" w:hAnsi="宋体" w:eastAsia="宋体" w:cs="宋体"/>
        </w:rPr>
      </w:pPr>
      <w:bookmarkStart w:id="8" w:name="_Toc27180"/>
      <w:bookmarkStart w:id="9" w:name="_Toc470536958"/>
      <w:bookmarkStart w:id="10" w:name="_Toc821329656"/>
      <w:bookmarkStart w:id="11" w:name="_Toc10376"/>
      <w:bookmarkStart w:id="12" w:name="_Toc1327544083"/>
      <w:bookmarkStart w:id="13" w:name="_Toc17676"/>
      <w:r>
        <w:rPr>
          <w:rFonts w:hint="eastAsia" w:ascii="宋体" w:hAnsi="宋体" w:eastAsia="宋体" w:cs="宋体"/>
        </w:rPr>
        <w:t>项目背景</w:t>
      </w:r>
      <w:bookmarkEnd w:id="7"/>
      <w:bookmarkEnd w:id="8"/>
      <w:bookmarkEnd w:id="9"/>
      <w:bookmarkEnd w:id="10"/>
      <w:bookmarkEnd w:id="11"/>
      <w:bookmarkEnd w:id="12"/>
      <w:bookmarkEnd w:id="13"/>
    </w:p>
    <w:p w14:paraId="30D8E30B">
      <w:pPr>
        <w:spacing w:before="50" w:after="50"/>
        <w:ind w:firstLine="480"/>
        <w:rPr>
          <w:rFonts w:hint="eastAsia" w:hAnsi="宋体" w:cs="宋体"/>
          <w:highlight w:val="none"/>
        </w:rPr>
      </w:pPr>
      <w:r>
        <w:rPr>
          <w:rFonts w:hint="eastAsia" w:hAnsi="宋体" w:cs="宋体"/>
          <w:highlight w:val="none"/>
        </w:rPr>
        <w:t>南方电网公司“十四五”数字化规划明确提出构建“统一运服、两级运调、三级运维”数字化运行体系的核心目标，推动数字化服务从“以设备为中心”向“以用户为中心”战略转型。公司开展了网络安全运行保护体系建设，提出了打造服务便捷、诉求精准识别、用户问题处理高效的用户服务能力的要求，需要在今后一段时期内开展建设巩固。为落实公司数字化运行服务建设要求，打造渠道统一、主动透明、处理高效的“统一运服”窗口，持续提升系统问题解决效率和用户满意度，保障数字化系统“管用”“好用”。</w:t>
      </w:r>
    </w:p>
    <w:p w14:paraId="0B7A12AD">
      <w:pPr>
        <w:spacing w:before="50" w:after="50"/>
        <w:ind w:firstLine="480"/>
        <w:rPr>
          <w:rFonts w:hint="default"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val="en-US" w:eastAsia="zh-CN"/>
        </w:rPr>
        <w:t>公司在</w:t>
      </w:r>
      <w:r>
        <w:rPr>
          <w:rFonts w:hint="eastAsia" w:asciiTheme="majorEastAsia" w:hAnsiTheme="majorEastAsia" w:eastAsiaTheme="majorEastAsia" w:cstheme="majorEastAsia"/>
          <w:highlight w:val="none"/>
        </w:rPr>
        <w:t>2025年数字化专业会议上提出，要健全运营评价体系，推进系统从可用向易用、好用转变</w:t>
      </w:r>
      <w:r>
        <w:rPr>
          <w:rFonts w:hint="eastAsia" w:asciiTheme="majorEastAsia" w:hAnsiTheme="majorEastAsia" w:eastAsiaTheme="majorEastAsia" w:cstheme="majorEastAsia"/>
          <w:highlight w:val="none"/>
          <w:lang w:eastAsia="zh-CN"/>
        </w:rPr>
        <w:t>；在</w:t>
      </w:r>
      <w:r>
        <w:rPr>
          <w:rFonts w:hint="eastAsia" w:asciiTheme="majorEastAsia" w:hAnsiTheme="majorEastAsia" w:eastAsiaTheme="majorEastAsia" w:cstheme="majorEastAsia"/>
          <w:highlight w:val="none"/>
        </w:rPr>
        <w:t>20</w:t>
      </w:r>
      <w:r>
        <w:rPr>
          <w:rFonts w:hint="eastAsia" w:asciiTheme="majorEastAsia" w:hAnsiTheme="majorEastAsia" w:eastAsiaTheme="majorEastAsia" w:cstheme="majorEastAsia"/>
          <w:highlight w:val="none"/>
          <w:lang w:val="en-US" w:eastAsia="zh-CN"/>
        </w:rPr>
        <w:t>26</w:t>
      </w:r>
      <w:r>
        <w:rPr>
          <w:rFonts w:hint="eastAsia" w:asciiTheme="majorEastAsia" w:hAnsiTheme="majorEastAsia" w:eastAsiaTheme="majorEastAsia" w:cstheme="majorEastAsia"/>
          <w:highlight w:val="none"/>
        </w:rPr>
        <w:t>年数字化专业会议上提出</w:t>
      </w:r>
      <w:r>
        <w:rPr>
          <w:rFonts w:hint="eastAsia" w:asciiTheme="majorEastAsia" w:hAnsiTheme="majorEastAsia" w:eastAsiaTheme="majorEastAsia" w:cstheme="majorEastAsia"/>
          <w:highlight w:val="none"/>
          <w:lang w:eastAsia="zh-CN"/>
        </w:rPr>
        <w:t>，要深化以用户为中心的服务理念，健全数字化运营服务责任体系；</w:t>
      </w:r>
      <w:r>
        <w:rPr>
          <w:rFonts w:hint="eastAsia" w:asciiTheme="majorEastAsia" w:hAnsiTheme="majorEastAsia" w:eastAsiaTheme="majorEastAsia" w:cstheme="majorEastAsia"/>
          <w:highlight w:val="none"/>
          <w:lang w:val="en-US" w:eastAsia="zh-CN"/>
        </w:rPr>
        <w:t>2026年4月，公司印发《南方电网公司数字化服务专项提升工作方案》（办数字〔2026〕29 号），明确要对标供电服务，开展数字化服务第三方客户满意度调查，选取典型用户、不满意用户深度访谈，实现对服务运营的“全场景”“全要素”“全客群”评价，并将评价结果应用到各系统运营团队绩效考核，有效放大用户声量。</w:t>
      </w:r>
    </w:p>
    <w:p w14:paraId="1883D761">
      <w:pPr>
        <w:pStyle w:val="5"/>
        <w:ind w:left="0" w:leftChars="0" w:firstLineChars="0"/>
        <w:rPr>
          <w:rFonts w:hAnsi="宋体"/>
          <w:highlight w:val="none"/>
        </w:rPr>
      </w:pPr>
      <w:bookmarkStart w:id="14" w:name="_Toc1279864852"/>
      <w:bookmarkStart w:id="15" w:name="_Toc62645476"/>
      <w:bookmarkStart w:id="16" w:name="_Toc14233"/>
      <w:bookmarkStart w:id="17" w:name="_Toc1825794298"/>
      <w:bookmarkStart w:id="18" w:name="_Toc4190"/>
      <w:bookmarkStart w:id="19" w:name="_Toc6345"/>
      <w:bookmarkStart w:id="20" w:name="_Toc115811645"/>
      <w:r>
        <w:rPr>
          <w:rFonts w:hint="eastAsia" w:hAnsi="宋体"/>
          <w:highlight w:val="none"/>
        </w:rPr>
        <w:t>项目现状</w:t>
      </w:r>
      <w:bookmarkEnd w:id="14"/>
      <w:bookmarkEnd w:id="15"/>
      <w:bookmarkEnd w:id="16"/>
      <w:bookmarkEnd w:id="17"/>
      <w:bookmarkEnd w:id="18"/>
      <w:bookmarkEnd w:id="19"/>
    </w:p>
    <w:p w14:paraId="5A53B27B">
      <w:pPr>
        <w:ind w:firstLine="480"/>
        <w:rPr>
          <w:rFonts w:hint="eastAsia"/>
          <w:highlight w:val="none"/>
        </w:rPr>
      </w:pPr>
      <w:r>
        <w:rPr>
          <w:rFonts w:hint="eastAsia"/>
          <w:highlight w:val="none"/>
        </w:rPr>
        <w:t>随着数字化转型持续推进，公司核心业务系统应用不断深化、用户要求不断提高，公司数字化服务工作目前</w:t>
      </w:r>
      <w:r>
        <w:rPr>
          <w:rFonts w:hint="eastAsia"/>
          <w:highlight w:val="none"/>
          <w:lang w:eastAsia="zh-CN"/>
        </w:rPr>
        <w:t>存在</w:t>
      </w:r>
      <w:r>
        <w:rPr>
          <w:rFonts w:hint="eastAsia"/>
          <w:highlight w:val="none"/>
        </w:rPr>
        <w:t>以下痛点：</w:t>
      </w:r>
    </w:p>
    <w:p w14:paraId="32FD0344">
      <w:pPr>
        <w:spacing w:before="0" w:after="0"/>
        <w:ind w:firstLine="480"/>
        <w:rPr>
          <w:rFonts w:hint="eastAsia" w:hAnsi="宋体" w:cs="宋体"/>
          <w:highlight w:val="none"/>
          <w:lang w:val="en-US" w:eastAsia="zh-CN"/>
        </w:rPr>
      </w:pPr>
      <w:r>
        <w:rPr>
          <w:rFonts w:hint="eastAsia"/>
          <w:highlight w:val="none"/>
          <w:lang w:val="en-US" w:eastAsia="zh-CN"/>
        </w:rPr>
        <w:t>1、</w:t>
      </w:r>
      <w:r>
        <w:rPr>
          <w:rFonts w:hint="eastAsia" w:hAnsi="宋体" w:cs="宋体"/>
          <w:highlight w:val="none"/>
          <w:lang w:val="en-US" w:eastAsia="zh-CN"/>
        </w:rPr>
        <w:t>数字化服务体系还不健全</w:t>
      </w:r>
    </w:p>
    <w:p w14:paraId="77D95A62">
      <w:pPr>
        <w:spacing w:before="0" w:after="0"/>
        <w:ind w:firstLine="480"/>
        <w:rPr>
          <w:rFonts w:hint="eastAsia"/>
          <w:highlight w:val="none"/>
          <w:lang w:val="en-US" w:eastAsia="zh-CN"/>
        </w:rPr>
      </w:pPr>
      <w:r>
        <w:rPr>
          <w:rFonts w:hint="eastAsia" w:hAnsi="宋体" w:cs="宋体"/>
          <w:highlight w:val="none"/>
          <w:lang w:val="en-US" w:eastAsia="zh-CN"/>
        </w:rPr>
        <w:t>当前初步建立了公司数字化服务运营体系，推动了数字化服务规范化、数字化运作，实现了“统一渠道、统一平台、统一管控、分级受理”的服务格局。面向“十五五”数智化建设，仍存在</w:t>
      </w:r>
      <w:r>
        <w:rPr>
          <w:rFonts w:hint="eastAsia"/>
          <w:highlight w:val="none"/>
          <w:lang w:val="en-US" w:eastAsia="zh-CN"/>
        </w:rPr>
        <w:t>组织协同不足、体验管控薄弱、考核不够量化、数据支撑不够、服务价值不显性等问题，需要持续健全公司数字化服务体系，实现服务体系从“有”到“优”的转变。</w:t>
      </w:r>
    </w:p>
    <w:p w14:paraId="12E4FA81">
      <w:pPr>
        <w:spacing w:before="0" w:after="0"/>
        <w:ind w:firstLine="48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val="en-US" w:eastAsia="zh-CN"/>
        </w:rPr>
        <w:t>2、评价体系不完善，科学性与客观性不足</w:t>
      </w:r>
    </w:p>
    <w:p w14:paraId="4E2B8762">
      <w:pPr>
        <w:spacing w:before="50" w:after="50"/>
        <w:ind w:firstLine="48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val="en-US" w:eastAsia="zh-CN"/>
        </w:rPr>
        <w:t>当前数字化服务评价体系不完善，评价维度单一，主要针对工单与缺陷处理质效，未全面覆盖系统功能、流程设计、操作体验等数字化服务工作，导致评价结果不全面，无法支撑科学决策。同时，评价以数字化线条内部组织、线上问卷调查形式为主，对用户真实声音收集不足，也缺少对不满意用户的深度访谈。</w:t>
      </w:r>
    </w:p>
    <w:p w14:paraId="2516328E">
      <w:pPr>
        <w:widowControl/>
        <w:numPr>
          <w:ilvl w:val="-1"/>
          <w:numId w:val="0"/>
        </w:numPr>
        <w:ind w:left="420" w:firstLine="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val="en-US" w:eastAsia="zh-CN"/>
        </w:rPr>
        <w:t>3、未形成用户共建共创氛围</w:t>
      </w:r>
    </w:p>
    <w:p w14:paraId="50ED1912">
      <w:pPr>
        <w:spacing w:before="50" w:after="50"/>
        <w:ind w:firstLine="48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val="en-US" w:eastAsia="zh-CN"/>
        </w:rPr>
        <w:t>未有效聚焦有效用户与核心问题，用户黏性不足，尚未构建“反馈－改进－回馈”的良性循环，用户参与服务优化的内生动力未被充分激发。</w:t>
      </w:r>
    </w:p>
    <w:p w14:paraId="5AB6A576">
      <w:pPr>
        <w:widowControl/>
        <w:numPr>
          <w:ilvl w:val="-1"/>
          <w:numId w:val="0"/>
        </w:numPr>
        <w:ind w:left="420" w:firstLine="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val="en-US" w:eastAsia="zh-CN"/>
        </w:rPr>
        <w:t>4、工单监督与源头治理力度需要进一步提升</w:t>
      </w:r>
    </w:p>
    <w:p w14:paraId="737BF474">
      <w:pPr>
        <w:spacing w:before="50" w:after="50"/>
        <w:ind w:firstLine="480"/>
        <w:rPr>
          <w:rFonts w:hint="default"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val="en-US" w:eastAsia="zh-CN"/>
        </w:rPr>
        <w:t>服务请求处理机制仍需完善，督办提醒力度不足，部分复杂问题存在协同不到位、治理不彻底，导致关键问题反复出现（“出现一单解决一单”）。同时，缺乏统一的服务标准与质检规范，跨单位、跨专业协同效率低，通过数据分析定位系统体验与业务流程堵点的能力不足。</w:t>
      </w:r>
    </w:p>
    <w:bookmarkEnd w:id="20"/>
    <w:p w14:paraId="16B181EC">
      <w:pPr>
        <w:pStyle w:val="5"/>
        <w:ind w:left="0" w:leftChars="0" w:firstLineChars="0"/>
        <w:rPr>
          <w:rFonts w:hAnsi="宋体"/>
          <w:highlight w:val="none"/>
        </w:rPr>
      </w:pPr>
      <w:bookmarkStart w:id="21" w:name="_Toc26670"/>
      <w:bookmarkStart w:id="22" w:name="_Toc730934503"/>
      <w:bookmarkStart w:id="23" w:name="_Toc615528102"/>
      <w:bookmarkStart w:id="24" w:name="_Toc115811646"/>
      <w:bookmarkStart w:id="25" w:name="_Toc27031"/>
      <w:bookmarkStart w:id="26" w:name="_Toc18262"/>
      <w:bookmarkStart w:id="27" w:name="_Toc1492359212"/>
      <w:r>
        <w:rPr>
          <w:rFonts w:hint="eastAsia" w:hAnsi="宋体"/>
          <w:highlight w:val="none"/>
        </w:rPr>
        <w:t>项目目标</w:t>
      </w:r>
      <w:bookmarkEnd w:id="21"/>
      <w:bookmarkEnd w:id="22"/>
      <w:bookmarkEnd w:id="23"/>
      <w:bookmarkEnd w:id="24"/>
      <w:bookmarkEnd w:id="25"/>
      <w:bookmarkEnd w:id="26"/>
      <w:bookmarkEnd w:id="27"/>
    </w:p>
    <w:p w14:paraId="4BA76D98">
      <w:pPr>
        <w:keepNext w:val="0"/>
        <w:keepLines w:val="0"/>
        <w:widowControl/>
        <w:numPr>
          <w:ilvl w:val="0"/>
          <w:numId w:val="2"/>
        </w:numPr>
        <w:suppressLineNumbers w:val="0"/>
        <w:ind w:left="0" w:leftChars="0" w:firstLine="420" w:firstLineChars="0"/>
        <w:rPr>
          <w:rFonts w:hint="eastAsia" w:ascii="宋体" w:eastAsia="宋体"/>
          <w:highlight w:val="none"/>
        </w:rPr>
      </w:pPr>
      <w:r>
        <w:rPr>
          <w:rFonts w:hint="eastAsia" w:ascii="宋体" w:eastAsia="宋体"/>
          <w:highlight w:val="none"/>
        </w:rPr>
        <w:t>形成可落地、可量化、可闭环、可迭代的新一代数字化服务管理体系，加强问题全面感知，扩大数字化服务品牌影响力，实现网省数字化服务的规范化</w:t>
      </w:r>
      <w:r>
        <w:rPr>
          <w:rFonts w:hint="eastAsia"/>
          <w:highlight w:val="none"/>
          <w:lang w:eastAsia="zh-CN"/>
        </w:rPr>
        <w:t>、</w:t>
      </w:r>
      <w:r>
        <w:rPr>
          <w:rFonts w:hint="eastAsia"/>
          <w:highlight w:val="none"/>
          <w:lang w:val="en-US" w:eastAsia="zh-CN"/>
        </w:rPr>
        <w:t>集约化</w:t>
      </w:r>
      <w:r>
        <w:rPr>
          <w:rFonts w:hint="eastAsia"/>
          <w:highlight w:val="none"/>
          <w:lang w:eastAsia="zh-CN"/>
        </w:rPr>
        <w:t>、</w:t>
      </w:r>
      <w:r>
        <w:rPr>
          <w:rFonts w:hint="eastAsia"/>
          <w:highlight w:val="none"/>
          <w:lang w:val="en-US" w:eastAsia="zh-CN"/>
        </w:rPr>
        <w:t>协同化、智能化</w:t>
      </w:r>
      <w:r>
        <w:rPr>
          <w:rFonts w:hint="eastAsia" w:ascii="宋体" w:eastAsia="宋体"/>
          <w:highlight w:val="none"/>
        </w:rPr>
        <w:t>运作</w:t>
      </w:r>
      <w:r>
        <w:rPr>
          <w:rFonts w:hint="eastAsia"/>
          <w:highlight w:val="none"/>
          <w:lang w:eastAsia="zh-CN"/>
        </w:rPr>
        <w:t>。</w:t>
      </w:r>
    </w:p>
    <w:p w14:paraId="566AFCE5">
      <w:pPr>
        <w:keepNext w:val="0"/>
        <w:keepLines w:val="0"/>
        <w:widowControl/>
        <w:numPr>
          <w:ilvl w:val="0"/>
          <w:numId w:val="2"/>
        </w:numPr>
        <w:suppressLineNumbers w:val="0"/>
        <w:ind w:left="0" w:leftChars="0" w:firstLine="420" w:firstLineChars="0"/>
        <w:rPr>
          <w:rFonts w:hint="eastAsia" w:ascii="宋体" w:eastAsia="宋体"/>
          <w:highlight w:val="none"/>
        </w:rPr>
      </w:pPr>
      <w:r>
        <w:rPr>
          <w:rFonts w:hint="eastAsia" w:ascii="宋体" w:eastAsia="宋体"/>
          <w:i w:val="0"/>
          <w:iCs w:val="0"/>
          <w:caps w:val="0"/>
          <w:spacing w:val="0"/>
          <w:highlight w:val="none"/>
          <w:u w:val="none"/>
        </w:rPr>
        <w:t>构建科学可操作的第三方满意度</w:t>
      </w:r>
      <w:r>
        <w:rPr>
          <w:rFonts w:hint="eastAsia" w:ascii="宋体" w:eastAsia="宋体"/>
          <w:i w:val="0"/>
          <w:iCs w:val="0"/>
          <w:caps w:val="0"/>
          <w:spacing w:val="0"/>
          <w:highlight w:val="none"/>
          <w:u w:val="none"/>
          <w:lang w:val="en-US" w:eastAsia="zh-CN"/>
        </w:rPr>
        <w:t>评价</w:t>
      </w:r>
      <w:r>
        <w:rPr>
          <w:rFonts w:hint="eastAsia" w:ascii="宋体" w:eastAsia="宋体"/>
          <w:i w:val="0"/>
          <w:iCs w:val="0"/>
          <w:caps w:val="0"/>
          <w:spacing w:val="0"/>
          <w:highlight w:val="none"/>
          <w:u w:val="none"/>
        </w:rPr>
        <w:t>体系，结合国家标准与理论模型，设计</w:t>
      </w:r>
      <w:r>
        <w:rPr>
          <w:rFonts w:hint="eastAsia" w:ascii="宋体" w:eastAsia="宋体"/>
          <w:i w:val="0"/>
          <w:iCs w:val="0"/>
          <w:caps w:val="0"/>
          <w:spacing w:val="0"/>
          <w:highlight w:val="none"/>
          <w:u w:val="none"/>
          <w:lang w:val="en-US" w:eastAsia="zh-CN"/>
        </w:rPr>
        <w:t>评价</w:t>
      </w:r>
      <w:r>
        <w:rPr>
          <w:rFonts w:hint="eastAsia" w:ascii="宋体" w:eastAsia="宋体"/>
          <w:i w:val="0"/>
          <w:iCs w:val="0"/>
          <w:caps w:val="0"/>
          <w:spacing w:val="0"/>
          <w:highlight w:val="none"/>
          <w:u w:val="none"/>
        </w:rPr>
        <w:t>指标，覆盖</w:t>
      </w:r>
      <w:r>
        <w:rPr>
          <w:rFonts w:hint="eastAsia" w:ascii="宋体" w:eastAsia="宋体"/>
          <w:i w:val="0"/>
          <w:iCs w:val="0"/>
          <w:caps w:val="0"/>
          <w:spacing w:val="0"/>
          <w:highlight w:val="none"/>
          <w:u w:val="none"/>
          <w:lang w:val="en-US" w:eastAsia="zh-CN"/>
        </w:rPr>
        <w:t>各层级用户</w:t>
      </w:r>
      <w:r>
        <w:rPr>
          <w:rFonts w:hint="eastAsia" w:ascii="宋体" w:eastAsia="宋体"/>
          <w:i w:val="0"/>
          <w:iCs w:val="0"/>
          <w:caps w:val="0"/>
          <w:spacing w:val="0"/>
          <w:highlight w:val="none"/>
          <w:u w:val="none"/>
        </w:rPr>
        <w:t>系统</w:t>
      </w:r>
      <w:r>
        <w:rPr>
          <w:rFonts w:hint="eastAsia" w:ascii="宋体" w:eastAsia="宋体"/>
          <w:i w:val="0"/>
          <w:iCs w:val="0"/>
          <w:caps w:val="0"/>
          <w:spacing w:val="0"/>
          <w:highlight w:val="none"/>
          <w:u w:val="none"/>
          <w:lang w:val="en-US" w:eastAsia="zh-CN"/>
        </w:rPr>
        <w:t>使用</w:t>
      </w:r>
      <w:r>
        <w:rPr>
          <w:rFonts w:hint="eastAsia" w:ascii="宋体" w:eastAsia="宋体"/>
          <w:i w:val="0"/>
          <w:iCs w:val="0"/>
          <w:caps w:val="0"/>
          <w:spacing w:val="0"/>
          <w:highlight w:val="none"/>
          <w:u w:val="none"/>
        </w:rPr>
        <w:t>与</w:t>
      </w:r>
      <w:r>
        <w:rPr>
          <w:rFonts w:hint="eastAsia" w:ascii="宋体" w:eastAsia="宋体"/>
          <w:i w:val="0"/>
          <w:iCs w:val="0"/>
          <w:caps w:val="0"/>
          <w:spacing w:val="0"/>
          <w:highlight w:val="none"/>
          <w:u w:val="none"/>
          <w:lang w:val="en-US" w:eastAsia="zh-CN"/>
        </w:rPr>
        <w:t>服务体验</w:t>
      </w:r>
      <w:r>
        <w:rPr>
          <w:rFonts w:hint="eastAsia" w:ascii="宋体" w:eastAsia="宋体"/>
          <w:i w:val="0"/>
          <w:iCs w:val="0"/>
          <w:caps w:val="0"/>
          <w:spacing w:val="0"/>
          <w:highlight w:val="none"/>
          <w:u w:val="none"/>
        </w:rPr>
        <w:t>。</w:t>
      </w:r>
    </w:p>
    <w:p w14:paraId="3F79BD30">
      <w:pPr>
        <w:keepNext w:val="0"/>
        <w:keepLines w:val="0"/>
        <w:widowControl/>
        <w:numPr>
          <w:ilvl w:val="0"/>
          <w:numId w:val="2"/>
        </w:numPr>
        <w:suppressLineNumbers w:val="0"/>
        <w:ind w:left="0" w:leftChars="0" w:firstLine="420" w:firstLineChars="0"/>
        <w:rPr>
          <w:rFonts w:hint="eastAsia" w:ascii="宋体" w:eastAsia="宋体"/>
          <w:highlight w:val="none"/>
        </w:rPr>
      </w:pPr>
      <w:r>
        <w:rPr>
          <w:rFonts w:hint="eastAsia" w:ascii="宋体" w:eastAsia="宋体"/>
          <w:i w:val="0"/>
          <w:iCs w:val="0"/>
          <w:caps w:val="0"/>
          <w:spacing w:val="0"/>
          <w:highlight w:val="none"/>
          <w:u w:val="none"/>
        </w:rPr>
        <w:t>实施</w:t>
      </w:r>
      <w:r>
        <w:rPr>
          <w:rFonts w:hint="eastAsia" w:ascii="宋体" w:eastAsia="宋体"/>
          <w:i w:val="0"/>
          <w:iCs w:val="0"/>
          <w:caps w:val="0"/>
          <w:spacing w:val="0"/>
          <w:highlight w:val="none"/>
          <w:u w:val="none"/>
          <w:lang w:val="en-US" w:eastAsia="zh-CN"/>
        </w:rPr>
        <w:t>第三方满意度评价的</w:t>
      </w:r>
      <w:r>
        <w:rPr>
          <w:rFonts w:hint="eastAsia" w:ascii="宋体" w:eastAsia="宋体"/>
          <w:i w:val="0"/>
          <w:iCs w:val="0"/>
          <w:caps w:val="0"/>
          <w:spacing w:val="0"/>
          <w:highlight w:val="none"/>
          <w:u w:val="none"/>
        </w:rPr>
        <w:t>样本</w:t>
      </w:r>
      <w:r>
        <w:rPr>
          <w:rFonts w:hint="eastAsia" w:ascii="宋体" w:eastAsia="宋体"/>
          <w:i w:val="0"/>
          <w:iCs w:val="0"/>
          <w:caps w:val="0"/>
          <w:spacing w:val="0"/>
          <w:highlight w:val="none"/>
          <w:u w:val="none"/>
          <w:lang w:val="en-US" w:eastAsia="zh-CN"/>
        </w:rPr>
        <w:t>筛选与</w:t>
      </w:r>
      <w:r>
        <w:rPr>
          <w:rFonts w:hint="eastAsia" w:ascii="宋体" w:eastAsia="宋体"/>
          <w:i w:val="0"/>
          <w:iCs w:val="0"/>
          <w:caps w:val="0"/>
          <w:spacing w:val="0"/>
          <w:highlight w:val="none"/>
          <w:u w:val="none"/>
        </w:rPr>
        <w:t>分层抽样调查，完成有效问卷</w:t>
      </w:r>
      <w:r>
        <w:rPr>
          <w:rFonts w:hint="eastAsia" w:ascii="宋体" w:eastAsia="宋体"/>
          <w:i w:val="0"/>
          <w:iCs w:val="0"/>
          <w:caps w:val="0"/>
          <w:spacing w:val="0"/>
          <w:highlight w:val="none"/>
          <w:u w:val="none"/>
          <w:lang w:val="en-US" w:eastAsia="zh-CN"/>
        </w:rPr>
        <w:t>收集与</w:t>
      </w:r>
      <w:r>
        <w:rPr>
          <w:rFonts w:hint="eastAsia" w:ascii="宋体" w:eastAsia="宋体"/>
          <w:i w:val="0"/>
          <w:iCs w:val="0"/>
          <w:caps w:val="0"/>
          <w:spacing w:val="0"/>
          <w:highlight w:val="none"/>
          <w:u w:val="none"/>
        </w:rPr>
        <w:t>深度访谈，确保数据真实有效，捕捉用户</w:t>
      </w:r>
      <w:r>
        <w:rPr>
          <w:rFonts w:hint="eastAsia" w:ascii="宋体" w:eastAsia="宋体"/>
          <w:i w:val="0"/>
          <w:iCs w:val="0"/>
          <w:caps w:val="0"/>
          <w:spacing w:val="0"/>
          <w:highlight w:val="none"/>
          <w:u w:val="none"/>
          <w:lang w:val="en-US" w:eastAsia="zh-CN"/>
        </w:rPr>
        <w:t>数字化</w:t>
      </w:r>
      <w:r>
        <w:rPr>
          <w:rFonts w:hint="eastAsia" w:ascii="宋体" w:eastAsia="宋体"/>
          <w:i w:val="0"/>
          <w:iCs w:val="0"/>
          <w:caps w:val="0"/>
          <w:spacing w:val="0"/>
          <w:highlight w:val="none"/>
          <w:u w:val="none"/>
        </w:rPr>
        <w:t>体验痛点与期望。</w:t>
      </w:r>
    </w:p>
    <w:p w14:paraId="6F0CA9B5">
      <w:pPr>
        <w:keepNext w:val="0"/>
        <w:keepLines w:val="0"/>
        <w:widowControl/>
        <w:numPr>
          <w:ilvl w:val="0"/>
          <w:numId w:val="2"/>
        </w:numPr>
        <w:suppressLineNumbers w:val="0"/>
        <w:ind w:left="0" w:leftChars="0" w:firstLine="420" w:firstLineChars="0"/>
        <w:rPr>
          <w:rFonts w:hint="eastAsia" w:ascii="宋体" w:eastAsia="宋体"/>
          <w:highlight w:val="none"/>
        </w:rPr>
      </w:pPr>
      <w:r>
        <w:rPr>
          <w:rFonts w:hint="eastAsia" w:ascii="宋体" w:eastAsia="宋体"/>
          <w:i w:val="0"/>
          <w:iCs w:val="0"/>
          <w:caps w:val="0"/>
          <w:spacing w:val="0"/>
          <w:highlight w:val="none"/>
          <w:u w:val="none"/>
        </w:rPr>
        <w:t>建立探针用户运营机制，通过主题活动与激励体系，形成持续反馈闭环，支撑服务优化与系统迭代升级。</w:t>
      </w:r>
    </w:p>
    <w:p w14:paraId="509159E1">
      <w:pPr>
        <w:keepNext w:val="0"/>
        <w:keepLines w:val="0"/>
        <w:widowControl/>
        <w:numPr>
          <w:ilvl w:val="0"/>
          <w:numId w:val="2"/>
        </w:numPr>
        <w:suppressLineNumbers w:val="0"/>
        <w:ind w:left="0" w:leftChars="0" w:firstLine="420" w:firstLineChars="0"/>
        <w:rPr>
          <w:rFonts w:hint="eastAsia" w:ascii="宋体" w:eastAsia="宋体"/>
          <w:highlight w:val="none"/>
        </w:rPr>
      </w:pPr>
      <w:r>
        <w:rPr>
          <w:rFonts w:hint="eastAsia" w:ascii="宋体" w:eastAsia="宋体"/>
          <w:i w:val="0"/>
          <w:iCs w:val="0"/>
          <w:caps w:val="0"/>
          <w:spacing w:val="0"/>
          <w:highlight w:val="none"/>
          <w:u w:val="none"/>
        </w:rPr>
        <w:t>强化工单</w:t>
      </w:r>
      <w:r>
        <w:rPr>
          <w:rFonts w:hint="eastAsia" w:ascii="宋体" w:eastAsia="宋体"/>
          <w:i w:val="0"/>
          <w:iCs w:val="0"/>
          <w:caps w:val="0"/>
          <w:spacing w:val="0"/>
          <w:highlight w:val="none"/>
          <w:u w:val="none"/>
          <w:lang w:eastAsia="zh-CN"/>
        </w:rPr>
        <w:t>全过程监督</w:t>
      </w:r>
      <w:r>
        <w:rPr>
          <w:rFonts w:hint="eastAsia" w:ascii="宋体" w:eastAsia="宋体"/>
          <w:i w:val="0"/>
          <w:iCs w:val="0"/>
          <w:caps w:val="0"/>
          <w:spacing w:val="0"/>
          <w:highlight w:val="none"/>
          <w:u w:val="none"/>
        </w:rPr>
        <w:t>与分析，定位服务瓶颈与高频问题，推动从被动处置向主动预防转型，提升服务治理精度。</w:t>
      </w:r>
    </w:p>
    <w:p w14:paraId="71C9CA11">
      <w:pPr>
        <w:pStyle w:val="5"/>
        <w:ind w:left="0" w:leftChars="0" w:firstLineChars="0"/>
        <w:rPr>
          <w:rFonts w:hAnsi="宋体"/>
          <w:highlight w:val="none"/>
        </w:rPr>
      </w:pPr>
      <w:bookmarkStart w:id="28" w:name="_Toc6467"/>
      <w:bookmarkStart w:id="29" w:name="_Toc752082715"/>
      <w:bookmarkStart w:id="30" w:name="_Toc1209731081"/>
      <w:bookmarkStart w:id="31" w:name="_Toc16080"/>
      <w:bookmarkStart w:id="32" w:name="_Toc1619762771"/>
      <w:bookmarkStart w:id="33" w:name="_Toc882"/>
      <w:bookmarkStart w:id="34" w:name="_Toc115811647"/>
      <w:r>
        <w:rPr>
          <w:rFonts w:hint="eastAsia" w:hAnsi="宋体"/>
          <w:highlight w:val="none"/>
        </w:rPr>
        <w:t>项目范围</w:t>
      </w:r>
      <w:bookmarkEnd w:id="28"/>
      <w:bookmarkEnd w:id="29"/>
      <w:bookmarkEnd w:id="30"/>
      <w:bookmarkEnd w:id="31"/>
      <w:bookmarkEnd w:id="32"/>
      <w:bookmarkEnd w:id="33"/>
      <w:bookmarkEnd w:id="34"/>
    </w:p>
    <w:p w14:paraId="1F293A2F">
      <w:pPr>
        <w:pageBreakBefore w:val="0"/>
        <w:kinsoku/>
        <w:wordWrap/>
        <w:overflowPunct/>
        <w:autoSpaceDE/>
        <w:autoSpaceDN/>
        <w:bidi w:val="0"/>
        <w:spacing w:line="360" w:lineRule="auto"/>
        <w:ind w:firstLine="480" w:firstLineChars="200"/>
        <w:rPr>
          <w:rFonts w:ascii="宋体" w:hAnsi="宋体" w:cs="宋体"/>
          <w:highlight w:val="none"/>
        </w:rPr>
      </w:pPr>
      <w:r>
        <w:rPr>
          <w:rFonts w:hint="eastAsia" w:ascii="宋体" w:hAnsi="宋体" w:cs="宋体"/>
          <w:highlight w:val="none"/>
        </w:rPr>
        <w:t>1、业务范围：项目涉及数字化域。</w:t>
      </w:r>
    </w:p>
    <w:p w14:paraId="38029555">
      <w:pPr>
        <w:pageBreakBefore w:val="0"/>
        <w:kinsoku/>
        <w:wordWrap/>
        <w:overflowPunct/>
        <w:autoSpaceDE/>
        <w:autoSpaceDN/>
        <w:bidi w:val="0"/>
        <w:spacing w:line="360" w:lineRule="auto"/>
        <w:ind w:firstLine="480" w:firstLineChars="200"/>
        <w:rPr>
          <w:rFonts w:ascii="宋体" w:hAnsi="宋体" w:cs="宋体"/>
          <w:highlight w:val="none"/>
        </w:rPr>
      </w:pPr>
      <w:r>
        <w:rPr>
          <w:rFonts w:hint="eastAsia" w:hAnsi="宋体" w:cs="宋体"/>
          <w:highlight w:val="none"/>
          <w:lang w:val="en-US" w:eastAsia="zh-CN"/>
        </w:rPr>
        <w:t>2</w:t>
      </w:r>
      <w:r>
        <w:rPr>
          <w:rFonts w:hint="eastAsia" w:ascii="宋体" w:hAnsi="宋体" w:cs="宋体"/>
          <w:highlight w:val="none"/>
        </w:rPr>
        <w:t>、建设单位：公司总部。</w:t>
      </w:r>
    </w:p>
    <w:p w14:paraId="68601D1B">
      <w:pPr>
        <w:spacing w:before="50" w:after="50"/>
        <w:ind w:firstLine="480"/>
        <w:rPr>
          <w:rFonts w:hint="default" w:hAnsi="宋体" w:eastAsia="宋体" w:cs="宋体"/>
          <w:highlight w:val="none"/>
          <w:lang w:val="en-US" w:eastAsia="zh-CN"/>
        </w:rPr>
      </w:pPr>
      <w:r>
        <w:rPr>
          <w:rFonts w:hint="eastAsia" w:hAnsi="宋体" w:cs="宋体"/>
          <w:highlight w:val="none"/>
          <w:lang w:val="en-US" w:eastAsia="zh-CN"/>
        </w:rPr>
        <w:t>3</w:t>
      </w:r>
      <w:r>
        <w:rPr>
          <w:rFonts w:hint="eastAsia" w:ascii="宋体" w:hAnsi="宋体" w:cs="宋体"/>
          <w:highlight w:val="none"/>
        </w:rPr>
        <w:t>、</w:t>
      </w:r>
      <w:r>
        <w:rPr>
          <w:rFonts w:hint="eastAsia"/>
          <w:highlight w:val="none"/>
        </w:rPr>
        <w:t>工作内容</w:t>
      </w:r>
      <w:r>
        <w:rPr>
          <w:rFonts w:hint="eastAsia"/>
          <w:highlight w:val="none"/>
          <w:lang w:eastAsia="zh-CN"/>
        </w:rPr>
        <w:t>：开展数字化服务第三方评价监督与体系提升，包括数字化服务体系创新与能力提升研究、第三方满意度调查指标体系设计、实施方案设计、调查实施与结果分析，以及用户意见管理与活动运营、网级前台及中台服务监督与分析。</w:t>
      </w:r>
    </w:p>
    <w:p w14:paraId="15BA3FAA">
      <w:pPr>
        <w:pStyle w:val="5"/>
        <w:ind w:left="0" w:leftChars="0" w:firstLineChars="0"/>
        <w:rPr>
          <w:rFonts w:hint="eastAsia" w:ascii="宋体" w:hAnsi="宋体" w:eastAsia="宋体" w:cs="宋体"/>
        </w:rPr>
      </w:pPr>
      <w:bookmarkStart w:id="35" w:name="_Toc1850182825"/>
      <w:bookmarkStart w:id="36" w:name="_Toc3506"/>
      <w:bookmarkStart w:id="37" w:name="_Toc1722592218"/>
      <w:bookmarkStart w:id="38" w:name="_Toc27260"/>
      <w:bookmarkStart w:id="39" w:name="_Toc26872"/>
      <w:bookmarkStart w:id="40" w:name="_Toc165444763"/>
      <w:bookmarkStart w:id="41" w:name="_Toc17936"/>
      <w:bookmarkStart w:id="42" w:name="_Toc1485"/>
      <w:bookmarkStart w:id="43" w:name="_Toc2157"/>
      <w:bookmarkStart w:id="44" w:name="_Toc1"/>
      <w:bookmarkStart w:id="45" w:name="_Toc15404"/>
      <w:bookmarkStart w:id="46" w:name="_Toc18408"/>
      <w:bookmarkStart w:id="47" w:name="_Toc12129"/>
      <w:bookmarkStart w:id="48" w:name="_Toc26688"/>
      <w:bookmarkStart w:id="49" w:name="_Toc100654214"/>
      <w:bookmarkStart w:id="50" w:name="_Toc25580541"/>
      <w:bookmarkStart w:id="51" w:name="_Toc12093"/>
      <w:bookmarkStart w:id="52" w:name="_Toc17689"/>
      <w:bookmarkStart w:id="53" w:name="_Toc28744"/>
      <w:bookmarkStart w:id="54" w:name="_Toc340242292"/>
      <w:r>
        <w:rPr>
          <w:rFonts w:hint="eastAsia" w:ascii="宋体" w:hAnsi="宋体" w:eastAsia="宋体" w:cs="宋体"/>
        </w:rPr>
        <w:t>项目依据</w:t>
      </w:r>
      <w:bookmarkEnd w:id="35"/>
      <w:bookmarkEnd w:id="36"/>
      <w:bookmarkEnd w:id="37"/>
      <w:bookmarkEnd w:id="38"/>
      <w:bookmarkEnd w:id="39"/>
      <w:bookmarkEnd w:id="40"/>
    </w:p>
    <w:p w14:paraId="3D039676">
      <w:pPr>
        <w:pageBreakBefore w:val="0"/>
        <w:kinsoku/>
        <w:wordWrap/>
        <w:overflowPunct/>
        <w:autoSpaceDE/>
        <w:autoSpaceDN/>
        <w:bidi w:val="0"/>
        <w:spacing w:line="360" w:lineRule="auto"/>
        <w:ind w:firstLine="480"/>
        <w:rPr>
          <w:highlight w:val="none"/>
        </w:rPr>
      </w:pPr>
      <w:r>
        <w:rPr>
          <w:rFonts w:hint="eastAsia"/>
          <w:highlight w:val="none"/>
        </w:rPr>
        <w:t>项目建设应遵循国家标准、电力行业标准、工信部</w:t>
      </w:r>
      <w:r>
        <w:rPr>
          <w:rFonts w:hint="eastAsia"/>
          <w:highlight w:val="none"/>
          <w:lang w:eastAsia="zh-CN"/>
        </w:rPr>
        <w:t>及</w:t>
      </w:r>
      <w:r>
        <w:rPr>
          <w:rFonts w:hint="eastAsia"/>
          <w:highlight w:val="none"/>
        </w:rPr>
        <w:t>南方电网公司颁布的标准（包括标准、制度、规范、管理办法）开展本项目工作，本项目所有成果应符合上述标准要求。所用的标准必须是最新版本，如果这些标准的内容有</w:t>
      </w:r>
      <w:r>
        <w:rPr>
          <w:rFonts w:hint="eastAsia"/>
          <w:highlight w:val="none"/>
          <w:lang w:eastAsia="zh-CN"/>
        </w:rPr>
        <w:t>矛盾</w:t>
      </w:r>
      <w:r>
        <w:rPr>
          <w:rFonts w:hint="eastAsia"/>
          <w:highlight w:val="none"/>
        </w:rPr>
        <w:t>，应按照最高标准的条款执行或按双方协商同意的标准或条款执行。</w:t>
      </w:r>
    </w:p>
    <w:p w14:paraId="4F2B9F20">
      <w:pPr>
        <w:pageBreakBefore w:val="0"/>
        <w:kinsoku/>
        <w:wordWrap/>
        <w:overflowPunct/>
        <w:autoSpaceDE/>
        <w:autoSpaceDN/>
        <w:bidi w:val="0"/>
        <w:spacing w:line="360" w:lineRule="auto"/>
        <w:ind w:firstLine="480"/>
        <w:rPr>
          <w:highlight w:val="none"/>
        </w:rPr>
      </w:pPr>
      <w:r>
        <w:rPr>
          <w:rFonts w:hint="eastAsia"/>
          <w:highlight w:val="none"/>
        </w:rPr>
        <w:t>相关标准包括但不限于以下：</w:t>
      </w:r>
    </w:p>
    <w:p w14:paraId="7ED3AC8C">
      <w:pPr>
        <w:pageBreakBefore w:val="0"/>
        <w:numPr>
          <w:ilvl w:val="0"/>
          <w:numId w:val="3"/>
        </w:numPr>
        <w:tabs>
          <w:tab w:val="clear" w:pos="360"/>
        </w:tabs>
        <w:kinsoku/>
        <w:wordWrap/>
        <w:overflowPunct/>
        <w:autoSpaceDE/>
        <w:autoSpaceDN/>
        <w:bidi w:val="0"/>
        <w:spacing w:line="360" w:lineRule="auto"/>
        <w:ind w:leftChars="150" w:firstLine="120" w:firstLineChars="50"/>
        <w:rPr>
          <w:rFonts w:ascii="宋体" w:hAnsi="宋体" w:cs="宋体"/>
          <w:highlight w:val="none"/>
        </w:rPr>
      </w:pPr>
      <w:r>
        <w:rPr>
          <w:rFonts w:hint="eastAsia" w:ascii="宋体" w:hAnsi="宋体" w:cs="宋体"/>
          <w:highlight w:val="none"/>
        </w:rPr>
        <w:t>《中华人民共和国网络安全法》</w:t>
      </w:r>
    </w:p>
    <w:p w14:paraId="09E64CC5">
      <w:pPr>
        <w:pageBreakBefore w:val="0"/>
        <w:numPr>
          <w:ilvl w:val="0"/>
          <w:numId w:val="3"/>
        </w:numPr>
        <w:tabs>
          <w:tab w:val="clear" w:pos="360"/>
        </w:tabs>
        <w:kinsoku/>
        <w:wordWrap/>
        <w:overflowPunct/>
        <w:autoSpaceDE/>
        <w:autoSpaceDN/>
        <w:bidi w:val="0"/>
        <w:spacing w:line="360" w:lineRule="auto"/>
        <w:ind w:leftChars="150" w:firstLine="120" w:firstLineChars="50"/>
        <w:rPr>
          <w:highlight w:val="none"/>
        </w:rPr>
      </w:pPr>
      <w:r>
        <w:rPr>
          <w:rFonts w:hint="eastAsia" w:ascii="宋体" w:hAnsi="宋体" w:cs="宋体"/>
          <w:highlight w:val="none"/>
        </w:rPr>
        <w:t>《中华人民共和国密码法》</w:t>
      </w:r>
    </w:p>
    <w:p w14:paraId="5604D73F">
      <w:pPr>
        <w:pageBreakBefore w:val="0"/>
        <w:numPr>
          <w:ilvl w:val="0"/>
          <w:numId w:val="3"/>
        </w:numPr>
        <w:tabs>
          <w:tab w:val="clear" w:pos="360"/>
        </w:tabs>
        <w:kinsoku/>
        <w:wordWrap/>
        <w:overflowPunct/>
        <w:autoSpaceDE/>
        <w:autoSpaceDN/>
        <w:bidi w:val="0"/>
        <w:spacing w:line="360" w:lineRule="auto"/>
        <w:ind w:leftChars="150" w:firstLine="120" w:firstLineChars="50"/>
        <w:rPr>
          <w:rFonts w:ascii="宋体" w:hAnsi="宋体" w:cs="宋体"/>
          <w:highlight w:val="none"/>
        </w:rPr>
      </w:pPr>
      <w:r>
        <w:rPr>
          <w:rFonts w:hint="eastAsia" w:ascii="宋体" w:hAnsi="宋体" w:cs="宋体"/>
          <w:highlight w:val="none"/>
        </w:rPr>
        <w:t>《电力监控系统安全防护规定》（发改委令第14号）</w:t>
      </w:r>
    </w:p>
    <w:p w14:paraId="4A4B91E4">
      <w:pPr>
        <w:pageBreakBefore w:val="0"/>
        <w:numPr>
          <w:ilvl w:val="0"/>
          <w:numId w:val="3"/>
        </w:numPr>
        <w:tabs>
          <w:tab w:val="clear" w:pos="360"/>
        </w:tabs>
        <w:kinsoku/>
        <w:wordWrap/>
        <w:overflowPunct/>
        <w:autoSpaceDE/>
        <w:autoSpaceDN/>
        <w:bidi w:val="0"/>
        <w:spacing w:line="360" w:lineRule="auto"/>
        <w:ind w:leftChars="150" w:firstLine="120" w:firstLineChars="50"/>
        <w:rPr>
          <w:rFonts w:ascii="宋体" w:hAnsi="宋体" w:cs="宋体"/>
          <w:highlight w:val="none"/>
        </w:rPr>
      </w:pPr>
      <w:r>
        <w:rPr>
          <w:rFonts w:hint="eastAsia" w:ascii="宋体" w:hAnsi="宋体"/>
          <w:szCs w:val="32"/>
          <w:highlight w:val="none"/>
        </w:rPr>
        <w:t>《南方电网公司“十四五”网络安全专项规划》</w:t>
      </w:r>
    </w:p>
    <w:p w14:paraId="7CA17113">
      <w:pPr>
        <w:pageBreakBefore w:val="0"/>
        <w:numPr>
          <w:ilvl w:val="0"/>
          <w:numId w:val="3"/>
        </w:numPr>
        <w:tabs>
          <w:tab w:val="clear" w:pos="360"/>
        </w:tabs>
        <w:kinsoku/>
        <w:wordWrap/>
        <w:overflowPunct/>
        <w:autoSpaceDE/>
        <w:autoSpaceDN/>
        <w:bidi w:val="0"/>
        <w:spacing w:line="360" w:lineRule="auto"/>
        <w:ind w:leftChars="150" w:firstLine="120" w:firstLineChars="50"/>
        <w:rPr>
          <w:rFonts w:ascii="宋体" w:hAnsi="宋体" w:cs="宋体"/>
          <w:highlight w:val="none"/>
        </w:rPr>
      </w:pPr>
      <w:r>
        <w:rPr>
          <w:rFonts w:hint="eastAsia" w:ascii="宋体" w:hAnsi="宋体" w:cs="宋体"/>
          <w:highlight w:val="none"/>
        </w:rPr>
        <w:t>《中国南方电网有限责任公司信息化项目预算编制与计算方法（2024年修订版）》</w:t>
      </w:r>
    </w:p>
    <w:p w14:paraId="58BE5043">
      <w:pPr>
        <w:pageBreakBefore w:val="0"/>
        <w:numPr>
          <w:ilvl w:val="0"/>
          <w:numId w:val="3"/>
        </w:numPr>
        <w:tabs>
          <w:tab w:val="clear" w:pos="360"/>
        </w:tabs>
        <w:kinsoku/>
        <w:wordWrap/>
        <w:overflowPunct/>
        <w:autoSpaceDE/>
        <w:autoSpaceDN/>
        <w:bidi w:val="0"/>
        <w:spacing w:line="360" w:lineRule="auto"/>
        <w:ind w:leftChars="150" w:firstLine="120" w:firstLineChars="50"/>
        <w:rPr>
          <w:rFonts w:ascii="宋体" w:hAnsi="宋体" w:cs="宋体"/>
          <w:highlight w:val="none"/>
        </w:rPr>
      </w:pPr>
      <w:r>
        <w:rPr>
          <w:rFonts w:hint="eastAsia" w:ascii="宋体" w:hAnsi="宋体" w:cs="宋体"/>
          <w:highlight w:val="none"/>
        </w:rPr>
        <w:t>《中国南方电网有限责任公司IT服务管理办法》</w:t>
      </w:r>
    </w:p>
    <w:p w14:paraId="25ADE9BD">
      <w:pPr>
        <w:pageBreakBefore w:val="0"/>
        <w:numPr>
          <w:ilvl w:val="0"/>
          <w:numId w:val="3"/>
        </w:numPr>
        <w:tabs>
          <w:tab w:val="clear" w:pos="360"/>
        </w:tabs>
        <w:kinsoku/>
        <w:wordWrap/>
        <w:overflowPunct/>
        <w:autoSpaceDE/>
        <w:autoSpaceDN/>
        <w:bidi w:val="0"/>
        <w:spacing w:line="360" w:lineRule="auto"/>
        <w:ind w:left="0" w:firstLine="480"/>
        <w:rPr>
          <w:rFonts w:ascii="宋体" w:hAnsi="宋体" w:cs="宋体"/>
          <w:highlight w:val="none"/>
        </w:rPr>
      </w:pPr>
      <w:r>
        <w:rPr>
          <w:rFonts w:hint="eastAsia" w:ascii="宋体" w:hAnsi="宋体" w:cs="宋体"/>
          <w:highlight w:val="none"/>
        </w:rPr>
        <w:t>《中国南方电网有限责任公司发展战略纲要》</w:t>
      </w:r>
    </w:p>
    <w:p w14:paraId="46DD33F8">
      <w:pPr>
        <w:pageBreakBefore w:val="0"/>
        <w:numPr>
          <w:ilvl w:val="0"/>
          <w:numId w:val="3"/>
        </w:numPr>
        <w:tabs>
          <w:tab w:val="clear" w:pos="360"/>
        </w:tabs>
        <w:kinsoku/>
        <w:wordWrap/>
        <w:overflowPunct/>
        <w:autoSpaceDE/>
        <w:autoSpaceDN/>
        <w:bidi w:val="0"/>
        <w:spacing w:line="360" w:lineRule="auto"/>
        <w:ind w:left="0" w:firstLine="480"/>
        <w:rPr>
          <w:rFonts w:ascii="宋体" w:hAnsi="宋体" w:cs="宋体"/>
          <w:highlight w:val="none"/>
        </w:rPr>
      </w:pPr>
      <w:r>
        <w:rPr>
          <w:rFonts w:hint="eastAsia" w:ascii="宋体" w:hAnsi="宋体" w:cs="宋体"/>
          <w:highlight w:val="none"/>
        </w:rPr>
        <w:t>《南方电网公司一体化管理推进总体工作方案》</w:t>
      </w:r>
    </w:p>
    <w:p w14:paraId="6D32BF8A">
      <w:pPr>
        <w:pageBreakBefore w:val="0"/>
        <w:numPr>
          <w:ilvl w:val="0"/>
          <w:numId w:val="3"/>
        </w:numPr>
        <w:tabs>
          <w:tab w:val="clear" w:pos="360"/>
        </w:tabs>
        <w:kinsoku/>
        <w:wordWrap/>
        <w:overflowPunct/>
        <w:autoSpaceDE/>
        <w:autoSpaceDN/>
        <w:bidi w:val="0"/>
        <w:spacing w:line="360" w:lineRule="auto"/>
        <w:ind w:left="0" w:firstLine="480"/>
        <w:rPr>
          <w:rFonts w:ascii="宋体" w:hAnsi="宋体" w:cs="宋体"/>
          <w:highlight w:val="none"/>
        </w:rPr>
      </w:pPr>
      <w:r>
        <w:rPr>
          <w:rFonts w:hint="eastAsia" w:ascii="宋体" w:hAnsi="宋体" w:cs="宋体"/>
          <w:highlight w:val="none"/>
        </w:rPr>
        <w:t>《中国南方电网公司信息化领域一体化管理工作方案》</w:t>
      </w:r>
    </w:p>
    <w:p w14:paraId="5F211F5D">
      <w:pPr>
        <w:pageBreakBefore w:val="0"/>
        <w:numPr>
          <w:ilvl w:val="0"/>
          <w:numId w:val="3"/>
        </w:numPr>
        <w:tabs>
          <w:tab w:val="clear" w:pos="360"/>
        </w:tabs>
        <w:kinsoku/>
        <w:wordWrap/>
        <w:overflowPunct/>
        <w:autoSpaceDE/>
        <w:autoSpaceDN/>
        <w:bidi w:val="0"/>
        <w:spacing w:line="360" w:lineRule="auto"/>
        <w:ind w:left="0" w:firstLine="480"/>
        <w:rPr>
          <w:rFonts w:ascii="宋体" w:hAnsi="宋体" w:cs="宋体"/>
          <w:highlight w:val="none"/>
        </w:rPr>
      </w:pPr>
      <w:r>
        <w:rPr>
          <w:rFonts w:ascii="宋体" w:hAnsi="宋体" w:cs="宋体"/>
          <w:highlight w:val="none"/>
        </w:rPr>
        <w:t>《</w:t>
      </w:r>
      <w:r>
        <w:rPr>
          <w:rFonts w:hint="eastAsia" w:ascii="宋体" w:hAnsi="宋体" w:cs="宋体"/>
          <w:highlight w:val="none"/>
        </w:rPr>
        <w:t>中国南方电网有限责任公司信息化项目投资管理细则（QCSG2123002-2025）》</w:t>
      </w:r>
    </w:p>
    <w:p w14:paraId="066013EF">
      <w:pPr>
        <w:spacing w:before="50" w:after="50"/>
        <w:ind w:firstLine="480"/>
        <w:rPr>
          <w:rFonts w:hAnsi="宋体"/>
          <w:highlight w:val="none"/>
        </w:rPr>
      </w:pPr>
      <w:r>
        <w:rPr>
          <w:rFonts w:hint="eastAsia" w:hAnsi="宋体" w:cs="宋体"/>
          <w:highlight w:val="none"/>
          <w:lang w:eastAsia="zh-CN"/>
        </w:rPr>
        <w:t>（11）《</w:t>
      </w:r>
      <w:r>
        <w:rPr>
          <w:rFonts w:hint="eastAsia" w:ascii="宋体" w:hAnsi="宋体" w:cs="宋体"/>
          <w:highlight w:val="none"/>
        </w:rPr>
        <w:t>中国南方电网有限责任公司信息化项目建设管理细则（QCSG2223003-2025）</w:t>
      </w:r>
      <w:r>
        <w:rPr>
          <w:rFonts w:ascii="宋体" w:hAnsi="宋体" w:cs="宋体"/>
          <w:highlight w:val="none"/>
        </w:rPr>
        <w:t>》</w:t>
      </w:r>
    </w:p>
    <w:bookmarkEnd w:id="41"/>
    <w:bookmarkEnd w:id="42"/>
    <w:bookmarkEnd w:id="43"/>
    <w:bookmarkEnd w:id="44"/>
    <w:bookmarkEnd w:id="45"/>
    <w:bookmarkEnd w:id="46"/>
    <w:bookmarkEnd w:id="47"/>
    <w:bookmarkEnd w:id="48"/>
    <w:bookmarkEnd w:id="49"/>
    <w:bookmarkEnd w:id="50"/>
    <w:bookmarkEnd w:id="51"/>
    <w:bookmarkEnd w:id="52"/>
    <w:bookmarkEnd w:id="53"/>
    <w:p w14:paraId="544E700A">
      <w:pPr>
        <w:pStyle w:val="4"/>
        <w:pageBreakBefore/>
        <w:rPr>
          <w:rFonts w:hAnsi="宋体"/>
          <w:highlight w:val="none"/>
        </w:rPr>
      </w:pPr>
      <w:bookmarkStart w:id="55" w:name="_Toc3758"/>
      <w:r>
        <w:rPr>
          <w:rFonts w:hint="eastAsia" w:hAnsi="宋体"/>
          <w:highlight w:val="none"/>
          <w:lang w:val="en-US" w:eastAsia="zh-CN"/>
        </w:rPr>
        <w:t>业务支撑内容及要求</w:t>
      </w:r>
      <w:bookmarkEnd w:id="55"/>
    </w:p>
    <w:p w14:paraId="74A76344">
      <w:pPr>
        <w:pStyle w:val="5"/>
        <w:ind w:left="0" w:leftChars="0" w:firstLineChars="0"/>
        <w:rPr>
          <w:rFonts w:hint="eastAsia" w:ascii="宋体" w:hAnsi="宋体" w:eastAsia="宋体" w:cs="宋体"/>
        </w:rPr>
      </w:pPr>
      <w:bookmarkStart w:id="56" w:name="_Toc26108"/>
      <w:r>
        <w:rPr>
          <w:rFonts w:hint="eastAsia" w:ascii="宋体" w:hAnsi="宋体" w:eastAsia="宋体" w:cs="宋体"/>
          <w:lang w:val="en-US" w:eastAsia="zh-CN"/>
        </w:rPr>
        <w:t>业务支撑内容要求</w:t>
      </w:r>
      <w:bookmarkEnd w:id="56"/>
    </w:p>
    <w:bookmarkEnd w:id="54"/>
    <w:p w14:paraId="6E81F2DE">
      <w:pPr>
        <w:pStyle w:val="6"/>
        <w:rPr>
          <w:rFonts w:hint="eastAsia" w:ascii="宋体" w:hAnsi="宋体" w:eastAsia="宋体" w:cs="宋体"/>
          <w:lang w:eastAsia="zh-CN"/>
        </w:rPr>
      </w:pPr>
      <w:bookmarkStart w:id="57" w:name="_Toc12784"/>
      <w:bookmarkStart w:id="58" w:name="_Toc490379692"/>
      <w:bookmarkStart w:id="59" w:name="_Toc29452"/>
      <w:bookmarkStart w:id="60" w:name="_Toc970868578"/>
      <w:bookmarkStart w:id="61" w:name="_Toc4448"/>
      <w:bookmarkStart w:id="62" w:name="_Toc18571"/>
      <w:bookmarkStart w:id="63" w:name="_Toc1296740342"/>
      <w:bookmarkStart w:id="64" w:name="_Toc20590"/>
      <w:bookmarkStart w:id="65" w:name="_Toc6963"/>
      <w:bookmarkStart w:id="66" w:name="_Toc19715"/>
      <w:bookmarkStart w:id="67" w:name="_Toc29844"/>
      <w:bookmarkStart w:id="68" w:name="_Toc25580542"/>
      <w:bookmarkStart w:id="69" w:name="_Toc30694"/>
      <w:bookmarkStart w:id="70" w:name="_Toc5173"/>
      <w:bookmarkStart w:id="71" w:name="_Toc3706"/>
      <w:bookmarkStart w:id="72" w:name="_Toc2586"/>
      <w:bookmarkStart w:id="73" w:name="_Toc1890"/>
      <w:bookmarkStart w:id="74" w:name="_Toc340242297"/>
      <w:bookmarkStart w:id="75" w:name="_Toc320042204"/>
      <w:bookmarkStart w:id="76" w:name="_Toc313984434"/>
      <w:bookmarkStart w:id="77" w:name="_Toc158468058"/>
      <w:r>
        <w:rPr>
          <w:rFonts w:hint="eastAsia" w:ascii="宋体" w:hAnsi="宋体" w:eastAsia="宋体" w:cs="宋体"/>
          <w:lang w:eastAsia="zh-CN"/>
        </w:rPr>
        <w:t>数字化服务体系创新与能力提升研究</w:t>
      </w:r>
      <w:bookmarkEnd w:id="57"/>
    </w:p>
    <w:p w14:paraId="432598F4">
      <w:pPr>
        <w:pStyle w:val="7"/>
        <w:rPr>
          <w:rFonts w:hint="eastAsia" w:ascii="宋体" w:eastAsia="宋体" w:cs="宋体"/>
        </w:rPr>
      </w:pPr>
      <w:r>
        <w:rPr>
          <w:rFonts w:hint="eastAsia" w:ascii="宋体" w:eastAsia="宋体" w:cs="宋体"/>
        </w:rPr>
        <w:t>数字化服务体系转型升级</w:t>
      </w:r>
    </w:p>
    <w:p w14:paraId="6D9D14A5">
      <w:pPr>
        <w:pStyle w:val="2"/>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Times New Roman"/>
          <w:highlight w:val="none"/>
        </w:rPr>
      </w:pPr>
      <w:r>
        <w:rPr>
          <w:rFonts w:hint="eastAsia" w:ascii="宋体" w:hAnsi="宋体" w:eastAsia="宋体" w:cs="Times New Roman"/>
          <w:highlight w:val="none"/>
        </w:rPr>
        <w:t>围绕“主动化、智能化、协同化、价值化”持续迭代数字化服务体系，明晰“组织集约</w:t>
      </w:r>
      <w:r>
        <w:rPr>
          <w:rFonts w:hint="eastAsia" w:hAnsi="宋体" w:cs="Times New Roman"/>
          <w:highlight w:val="none"/>
          <w:lang w:eastAsia="zh-CN"/>
        </w:rPr>
        <w:t>”“</w:t>
      </w:r>
      <w:r>
        <w:rPr>
          <w:rFonts w:hint="eastAsia" w:ascii="宋体" w:hAnsi="宋体" w:eastAsia="宋体" w:cs="Times New Roman"/>
          <w:highlight w:val="none"/>
        </w:rPr>
        <w:t>服务智慧</w:t>
      </w:r>
      <w:r>
        <w:rPr>
          <w:rFonts w:hint="eastAsia" w:hAnsi="宋体" w:cs="Times New Roman"/>
          <w:highlight w:val="none"/>
          <w:lang w:eastAsia="zh-CN"/>
        </w:rPr>
        <w:t>”“</w:t>
      </w:r>
      <w:r>
        <w:rPr>
          <w:rFonts w:hint="eastAsia" w:ascii="宋体" w:hAnsi="宋体" w:eastAsia="宋体" w:cs="Times New Roman"/>
          <w:highlight w:val="none"/>
        </w:rPr>
        <w:t>渠道便捷</w:t>
      </w:r>
      <w:r>
        <w:rPr>
          <w:rFonts w:hint="eastAsia" w:hAnsi="宋体" w:cs="Times New Roman"/>
          <w:highlight w:val="none"/>
          <w:lang w:eastAsia="zh-CN"/>
        </w:rPr>
        <w:t>”“</w:t>
      </w:r>
      <w:r>
        <w:rPr>
          <w:rFonts w:hint="eastAsia" w:ascii="宋体" w:hAnsi="宋体" w:eastAsia="宋体" w:cs="Times New Roman"/>
          <w:highlight w:val="none"/>
        </w:rPr>
        <w:t>运营高效</w:t>
      </w:r>
      <w:r>
        <w:rPr>
          <w:rFonts w:hint="eastAsia" w:hAnsi="宋体" w:cs="Times New Roman"/>
          <w:highlight w:val="none"/>
          <w:lang w:eastAsia="zh-CN"/>
        </w:rPr>
        <w:t>”“</w:t>
      </w:r>
      <w:r>
        <w:rPr>
          <w:rFonts w:hint="eastAsia" w:ascii="宋体" w:hAnsi="宋体" w:eastAsia="宋体" w:cs="Times New Roman"/>
          <w:highlight w:val="none"/>
        </w:rPr>
        <w:t>价值创造”的目标特征及要求，搭建“数智驱动、卓越运营”的数字化服务体系顶层框架，明确从被动响应向主动赋能的转型阶梯、各阶段的关键能力建设重点</w:t>
      </w:r>
      <w:r>
        <w:rPr>
          <w:rFonts w:hint="eastAsia" w:ascii="宋体" w:hAnsi="宋体" w:eastAsia="宋体" w:cs="Times New Roman"/>
          <w:highlight w:val="none"/>
          <w:lang w:eastAsia="zh-CN"/>
        </w:rPr>
        <w:t>，</w:t>
      </w:r>
      <w:r>
        <w:rPr>
          <w:rFonts w:hint="eastAsia" w:ascii="宋体" w:hAnsi="宋体" w:eastAsia="宋体" w:cs="Times New Roman"/>
          <w:highlight w:val="none"/>
        </w:rPr>
        <w:t>形成整体规划与实施路径</w:t>
      </w:r>
      <w:r>
        <w:rPr>
          <w:rFonts w:hint="eastAsia" w:ascii="宋体" w:hAnsi="宋体" w:eastAsia="宋体" w:cs="Times New Roman"/>
          <w:highlight w:val="none"/>
          <w:lang w:eastAsia="zh-CN"/>
        </w:rPr>
        <w:t>，</w:t>
      </w:r>
      <w:r>
        <w:rPr>
          <w:rFonts w:hint="eastAsia" w:ascii="宋体" w:hAnsi="宋体" w:eastAsia="宋体" w:cs="Times New Roman"/>
          <w:highlight w:val="none"/>
        </w:rPr>
        <w:t>为公司数字化服务体系化迭代、规范化运行、长效化提升提供纲领性支撑。</w:t>
      </w:r>
    </w:p>
    <w:p w14:paraId="66ED73E7">
      <w:pPr>
        <w:pStyle w:val="7"/>
        <w:bidi w:val="0"/>
        <w:ind w:left="0" w:leftChars="0" w:firstLine="0" w:firstLineChars="0"/>
        <w:rPr>
          <w:rFonts w:hint="eastAsia"/>
        </w:rPr>
      </w:pPr>
      <w:r>
        <w:rPr>
          <w:rFonts w:hint="eastAsia"/>
        </w:rPr>
        <w:t>数字化服务组织架构与协同机制设计</w:t>
      </w:r>
    </w:p>
    <w:p w14:paraId="22DAB5FD">
      <w:pPr>
        <w:keepNext w:val="0"/>
        <w:keepLines w:val="0"/>
        <w:pageBreakBefore w:val="0"/>
        <w:widowControl w:val="0"/>
        <w:kinsoku/>
        <w:wordWrap/>
        <w:overflowPunct/>
        <w:topLinePunct w:val="0"/>
        <w:autoSpaceDE/>
        <w:autoSpaceDN/>
        <w:bidi w:val="0"/>
        <w:adjustRightInd/>
        <w:snapToGrid/>
        <w:ind w:firstLine="480"/>
        <w:textAlignment w:val="auto"/>
        <w:rPr>
          <w:rFonts w:hint="eastAsia" w:ascii="宋体" w:hAnsi="宋体" w:eastAsia="宋体" w:cs="Times New Roman"/>
          <w:highlight w:val="none"/>
        </w:rPr>
      </w:pPr>
      <w:r>
        <w:rPr>
          <w:rFonts w:hint="eastAsia"/>
          <w:highlight w:val="none"/>
        </w:rPr>
        <w:t>全面摸排现有组织模式、岗位配置、职责边界与协同痛点，通过组织结构重塑与流程再造，研究“集约前台、高效中台、坚强后台”的组织架构，理清团队职责及配置标准</w:t>
      </w:r>
      <w:r>
        <w:rPr>
          <w:rFonts w:hint="eastAsia"/>
          <w:highlight w:val="none"/>
          <w:lang w:eastAsia="zh-CN"/>
        </w:rPr>
        <w:t>。</w:t>
      </w:r>
      <w:r>
        <w:rPr>
          <w:rFonts w:hint="eastAsia"/>
          <w:highlight w:val="none"/>
        </w:rPr>
        <w:t>打破部门墙与数据孤岛，按单位</w:t>
      </w:r>
      <w:r>
        <w:rPr>
          <w:rFonts w:hint="eastAsia"/>
          <w:highlight w:val="none"/>
          <w:lang w:eastAsia="zh-CN"/>
        </w:rPr>
        <w:t>、</w:t>
      </w:r>
      <w:r>
        <w:rPr>
          <w:rFonts w:hint="eastAsia"/>
          <w:highlight w:val="none"/>
        </w:rPr>
        <w:t>业务域分类统一管理，设计协同化流程，将分散的资源与能力进行整合与沉淀，系统性重构跨部门、跨层级全流程协同机制，搭建横纵到底、上下联动的一体化服务协同体系，使前台能敏捷响应、中台能强力赋能、后台能稳定支撑，构建“横纵到底”的服务协同机制，推动组织模式变革，实现资源化管理、专业化服务的一体化运营新局面</w:t>
      </w:r>
      <w:r>
        <w:rPr>
          <w:rFonts w:hint="eastAsia" w:ascii="宋体" w:hAnsi="宋体" w:eastAsia="宋体" w:cs="Times New Roman"/>
          <w:highlight w:val="none"/>
        </w:rPr>
        <w:t>。</w:t>
      </w:r>
    </w:p>
    <w:p w14:paraId="4EEBBC60">
      <w:pPr>
        <w:pStyle w:val="7"/>
        <w:bidi w:val="0"/>
        <w:ind w:left="0" w:leftChars="0" w:firstLine="0" w:firstLineChars="0"/>
        <w:rPr>
          <w:rFonts w:hint="eastAsia"/>
        </w:rPr>
      </w:pPr>
      <w:r>
        <w:rPr>
          <w:rFonts w:hint="eastAsia"/>
        </w:rPr>
        <w:t>数字化服务用户体验管控</w:t>
      </w:r>
    </w:p>
    <w:p w14:paraId="51004653">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Times New Roman"/>
          <w:highlight w:val="none"/>
        </w:rPr>
      </w:pPr>
      <w:r>
        <w:rPr>
          <w:rFonts w:hint="eastAsia" w:ascii="宋体" w:hAnsi="宋体"/>
          <w:highlight w:val="none"/>
        </w:rPr>
        <w:t>研究用户体验前置管控模式，构建“责任用户</w:t>
      </w:r>
      <w:r>
        <w:rPr>
          <w:rFonts w:hint="eastAsia"/>
          <w:highlight w:val="none"/>
        </w:rPr>
        <w:t>+</w:t>
      </w:r>
      <w:r>
        <w:rPr>
          <w:rFonts w:hint="eastAsia" w:ascii="宋体" w:hAnsi="宋体"/>
          <w:highlight w:val="none"/>
        </w:rPr>
        <w:t>基层用户”共同参与的“体验官”机制，建立用户反馈分类与评估标准；制定用户反馈问题激励机制，引导基层用户反馈有效问题，形成反馈</w:t>
      </w:r>
      <w:r>
        <w:rPr>
          <w:rFonts w:hint="eastAsia"/>
          <w:highlight w:val="none"/>
        </w:rPr>
        <w:t>+</w:t>
      </w:r>
      <w:r>
        <w:rPr>
          <w:rFonts w:hint="eastAsia" w:ascii="宋体" w:hAnsi="宋体"/>
          <w:highlight w:val="none"/>
        </w:rPr>
        <w:t>优化的良性循环，强化数字化服务用户体验管控。</w:t>
      </w:r>
    </w:p>
    <w:p w14:paraId="00FE2652">
      <w:pPr>
        <w:pStyle w:val="7"/>
        <w:bidi w:val="0"/>
        <w:ind w:left="0" w:leftChars="0" w:firstLine="0" w:firstLineChars="0"/>
        <w:rPr>
          <w:rFonts w:hint="eastAsia"/>
        </w:rPr>
      </w:pPr>
      <w:bookmarkStart w:id="78" w:name="_Toc18077"/>
      <w:r>
        <w:rPr>
          <w:rFonts w:hint="eastAsia" w:ascii="宋体" w:hAnsi="宋体" w:eastAsia="宋体" w:cs="宋体"/>
          <w:b/>
          <w:bCs/>
          <w:color w:val="000000"/>
          <w:kern w:val="0"/>
          <w:sz w:val="24"/>
          <w:szCs w:val="24"/>
          <w:lang w:val="en-US" w:eastAsia="zh-CN" w:bidi="ar"/>
        </w:rPr>
        <w:t>数字化服务水平评价管理</w:t>
      </w:r>
    </w:p>
    <w:p w14:paraId="3320B425">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highlight w:val="none"/>
        </w:rPr>
      </w:pPr>
      <w:r>
        <w:rPr>
          <w:rFonts w:hint="eastAsia" w:ascii="宋体" w:hAnsi="宋体"/>
          <w:highlight w:val="none"/>
          <w:lang w:val="en-US" w:eastAsia="zh-CN"/>
        </w:rPr>
        <w:t>聚焦评价体系的落地应用与持续完善，细化完善数字化服务评价指标体系，形成覆盖</w:t>
      </w:r>
      <w:r>
        <w:rPr>
          <w:rFonts w:hint="eastAsia" w:hAnsi="宋体"/>
          <w:highlight w:val="none"/>
          <w:lang w:val="en-US" w:eastAsia="zh-CN"/>
        </w:rPr>
        <w:t>不同</w:t>
      </w:r>
      <w:r>
        <w:rPr>
          <w:rFonts w:hint="eastAsia" w:ascii="宋体" w:hAnsi="宋体"/>
          <w:highlight w:val="none"/>
          <w:lang w:val="en-US" w:eastAsia="zh-CN"/>
        </w:rPr>
        <w:t>单位、业务场景的可量化、可对比的评价细则。建立常态化的评价实施与数据收集机制，明确评价周期、责任主体与数据源，构建“评价</w:t>
      </w:r>
      <w:r>
        <w:rPr>
          <w:rFonts w:hint="eastAsia" w:hAnsi="宋体"/>
          <w:highlight w:val="none"/>
          <w:lang w:val="en-US" w:eastAsia="zh-CN"/>
        </w:rPr>
        <w:t>－</w:t>
      </w:r>
      <w:r>
        <w:rPr>
          <w:rFonts w:hint="eastAsia" w:ascii="宋体" w:hAnsi="宋体"/>
          <w:highlight w:val="none"/>
          <w:lang w:val="en-US" w:eastAsia="zh-CN"/>
        </w:rPr>
        <w:t>反馈</w:t>
      </w:r>
      <w:r>
        <w:rPr>
          <w:rFonts w:hint="eastAsia" w:hAnsi="宋体"/>
          <w:highlight w:val="none"/>
          <w:lang w:val="en-US" w:eastAsia="zh-CN"/>
        </w:rPr>
        <w:t>－</w:t>
      </w:r>
      <w:r>
        <w:rPr>
          <w:rFonts w:hint="eastAsia" w:ascii="宋体" w:hAnsi="宋体"/>
          <w:highlight w:val="none"/>
          <w:lang w:val="en-US" w:eastAsia="zh-CN"/>
        </w:rPr>
        <w:t>改进”的管理闭环，定期生成各单位服务水平评价报告，分析差距与根因，并将评价结果纳入相关考核体系，驱动服务水平的持续提升与目标对齐。</w:t>
      </w:r>
    </w:p>
    <w:p w14:paraId="5B452E59">
      <w:pPr>
        <w:pStyle w:val="7"/>
        <w:bidi w:val="0"/>
        <w:ind w:left="0" w:leftChars="0" w:firstLine="0" w:firstLineChars="0"/>
        <w:rPr>
          <w:rFonts w:hint="eastAsia"/>
        </w:rPr>
      </w:pPr>
      <w:r>
        <w:rPr>
          <w:rFonts w:hint="eastAsia"/>
        </w:rPr>
        <w:t>数字化服务管理前瞻性对标与持续迭代</w:t>
      </w:r>
      <w:bookmarkEnd w:id="78"/>
    </w:p>
    <w:p w14:paraId="0C44A1A6">
      <w:pPr>
        <w:pStyle w:val="2"/>
        <w:ind w:firstLine="420"/>
        <w:rPr>
          <w:rFonts w:hint="eastAsia" w:ascii="宋体" w:hAnsi="宋体" w:eastAsia="宋体" w:cs="Times New Roman"/>
          <w:highlight w:val="none"/>
        </w:rPr>
      </w:pPr>
      <w:r>
        <w:rPr>
          <w:rFonts w:hint="eastAsia" w:ascii="宋体" w:hAnsi="宋体" w:eastAsia="宋体" w:cs="Times New Roman"/>
          <w:highlight w:val="none"/>
        </w:rPr>
        <w:t>开展数字化服务领域的前瞻性对标与研究，系统梳理并分析相关的国家标准、行业标准、国际标准的发展趋势与最新要求。同时，深入研究同行业及跨行业中先进单位的服务体系、运营模式与最佳实践，分析数字化服务管理及数字化支撑实践做法，形成专题对标分析研究报告，为公司数字化服务体系的持续优化与能力提升提供前瞻性参考和决策依据。</w:t>
      </w:r>
    </w:p>
    <w:p w14:paraId="4D49B3E5">
      <w:pPr>
        <w:pStyle w:val="6"/>
        <w:bidi w:val="0"/>
        <w:ind w:left="0" w:leftChars="0" w:firstLine="0" w:firstLineChars="0"/>
        <w:rPr>
          <w:rFonts w:hint="eastAsia" w:ascii="宋体" w:hAnsi="宋体" w:eastAsia="宋体" w:cs="宋体"/>
        </w:rPr>
      </w:pPr>
      <w:bookmarkStart w:id="79" w:name="_Toc5870"/>
      <w:r>
        <w:rPr>
          <w:rFonts w:hint="eastAsia" w:ascii="宋体" w:hAnsi="宋体" w:eastAsia="宋体" w:cs="宋体"/>
          <w:lang w:val="en-US" w:eastAsia="zh-CN"/>
        </w:rPr>
        <w:t>数字化服务第三方满意度调查与用户运营</w:t>
      </w:r>
      <w:bookmarkEnd w:id="79"/>
    </w:p>
    <w:p w14:paraId="16D8E4DE">
      <w:pPr>
        <w:pStyle w:val="7"/>
        <w:rPr>
          <w:rFonts w:hint="eastAsia" w:ascii="宋体" w:eastAsia="宋体" w:cs="宋体"/>
          <w:highlight w:val="none"/>
        </w:rPr>
      </w:pPr>
      <w:r>
        <w:rPr>
          <w:rFonts w:hint="eastAsia" w:ascii="宋体" w:eastAsia="宋体" w:cs="宋体"/>
          <w:highlight w:val="none"/>
          <w:lang w:val="en-US" w:eastAsia="zh-CN"/>
        </w:rPr>
        <w:t>第三方满意度调查指标体系设计</w:t>
      </w:r>
      <w:bookmarkEnd w:id="58"/>
    </w:p>
    <w:p w14:paraId="678DEF11">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结合相关国家标准及服务理论，如国家标准《优质服务 用户体验评估模型与方法》（GB/T 45995-2025）、服务蓝图理论、服务质量差距模型等，构建“一级指标+二级指标+三级指标”的满意度评价体系，其中一级指标为总体满意度，二级指标包括但不限于系统功能、流程设计、系统操作、界面显示、系统稳定性、系统响应速度、数据协同、服务渠道8项，明确各指标的评价标准、评分方法，确保指标体系科学、合理、可操作。三级及以下指标根据具体业务和应用目的设置，用于了解各层级用户在不同场景下的不满意原因、期望、需求及体验，涵盖用户高频咨询、工单及共性问题数量较高的系统（如电网管理平台资产域、计财域、人资域，营销管理系统，协同办公系统，eLink等），结合信息系统清单及运服统一服务平台（智朋系统V2.0）数据监控情况确定。主要工作包括：</w:t>
      </w:r>
    </w:p>
    <w:p w14:paraId="1BD1EE4E">
      <w:pPr>
        <w:pStyle w:val="2"/>
        <w:pageBreakBefore w:val="0"/>
        <w:kinsoku/>
        <w:wordWrap/>
        <w:overflowPunct/>
        <w:autoSpaceDE/>
        <w:autoSpaceDN/>
        <w:bidi w:val="0"/>
        <w:spacing w:line="360" w:lineRule="auto"/>
        <w:ind w:firstLine="480" w:firstLineChars="200"/>
        <w:rPr>
          <w:rFonts w:hint="eastAsia" w:ascii="宋体" w:hAnsi="宋体" w:eastAsia="宋体" w:cs="Times New Roman"/>
          <w:highlight w:val="none"/>
          <w:lang w:val="en-US" w:eastAsia="zh-CN"/>
        </w:rPr>
      </w:pPr>
      <w:r>
        <w:rPr>
          <w:rFonts w:hint="eastAsia" w:ascii="宋体" w:hAnsi="宋体" w:eastAsia="宋体" w:cs="Times New Roman"/>
          <w:kern w:val="2"/>
          <w:sz w:val="24"/>
          <w:szCs w:val="24"/>
          <w:highlight w:val="none"/>
          <w:lang w:val="en-US" w:eastAsia="zh-CN" w:bidi="ar-SA"/>
        </w:rPr>
        <w:t>（1）</w:t>
      </w:r>
      <w:r>
        <w:rPr>
          <w:rFonts w:hint="eastAsia" w:ascii="宋体" w:hAnsi="宋体" w:eastAsia="宋体" w:cs="Times New Roman"/>
          <w:highlight w:val="none"/>
          <w:lang w:val="en-US" w:eastAsia="zh-CN"/>
        </w:rPr>
        <w:t>开展业务调研，梳理各系统的核心业务场景、使用人群。结合服务蓝图理论，梳理服务流程，聚焦</w:t>
      </w:r>
      <w:r>
        <w:rPr>
          <w:rFonts w:hint="eastAsia" w:ascii="宋体" w:hAnsi="宋体" w:cs="Times New Roman"/>
          <w:highlight w:val="none"/>
          <w:lang w:val="en-US" w:eastAsia="zh-CN"/>
        </w:rPr>
        <w:t>各</w:t>
      </w:r>
      <w:r>
        <w:rPr>
          <w:rFonts w:hint="eastAsia" w:ascii="宋体" w:hAnsi="宋体" w:eastAsia="宋体" w:cs="Times New Roman"/>
          <w:highlight w:val="none"/>
          <w:lang w:val="en-US" w:eastAsia="zh-CN"/>
        </w:rPr>
        <w:t>系统的服务流程核心节点，识别流程中的体验关键点。依托服务质量差距模型，预判用户期望与实际体验的潜在差距，为后续指标拆解提供方向。</w:t>
      </w:r>
    </w:p>
    <w:p w14:paraId="554CE9AE">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kern w:val="2"/>
          <w:sz w:val="24"/>
          <w:szCs w:val="24"/>
          <w:highlight w:val="none"/>
          <w:lang w:val="en-US" w:eastAsia="zh-CN" w:bidi="ar"/>
        </w:rPr>
      </w:pPr>
      <w:r>
        <w:rPr>
          <w:rFonts w:hint="eastAsia" w:ascii="宋体" w:hAnsi="宋体" w:eastAsia="宋体" w:cs="Times New Roman"/>
          <w:highlight w:val="none"/>
          <w:lang w:val="en-US" w:eastAsia="zh-CN"/>
        </w:rPr>
        <w:t>（2）对指标体系进行拆解、细化。</w:t>
      </w:r>
      <w:r>
        <w:rPr>
          <w:rFonts w:hint="eastAsia" w:ascii="宋体" w:hAnsi="宋体" w:eastAsia="宋体" w:cs="Times New Roman"/>
          <w:kern w:val="2"/>
          <w:sz w:val="24"/>
          <w:szCs w:val="24"/>
          <w:highlight w:val="none"/>
          <w:lang w:val="en-US" w:eastAsia="zh-CN" w:bidi="ar"/>
        </w:rPr>
        <w:t>明确一级指标为“总体满意度”，作为整个评价体系的核心统领。结合</w:t>
      </w:r>
      <w:r>
        <w:rPr>
          <w:rFonts w:hint="eastAsia" w:ascii="宋体" w:hAnsi="宋体" w:cs="Times New Roman"/>
          <w:highlight w:val="none"/>
          <w:lang w:val="en-US" w:eastAsia="zh-CN"/>
        </w:rPr>
        <w:t>各</w:t>
      </w:r>
      <w:r>
        <w:rPr>
          <w:rFonts w:hint="eastAsia" w:ascii="宋体" w:hAnsi="宋体" w:eastAsia="宋体" w:cs="Times New Roman"/>
          <w:kern w:val="2"/>
          <w:sz w:val="24"/>
          <w:szCs w:val="24"/>
          <w:highlight w:val="none"/>
          <w:lang w:val="en-US" w:eastAsia="zh-CN" w:bidi="ar"/>
        </w:rPr>
        <w:t>系统的共性业务需求，对二级指标进行内涵界定，确保每个二级指标的覆盖范围清晰、无交叉、无遗漏。结合</w:t>
      </w:r>
      <w:r>
        <w:rPr>
          <w:rFonts w:hint="eastAsia" w:ascii="宋体" w:hAnsi="宋体" w:cs="Times New Roman"/>
          <w:highlight w:val="none"/>
          <w:lang w:val="en-US" w:eastAsia="zh-CN"/>
        </w:rPr>
        <w:t>各</w:t>
      </w:r>
      <w:r>
        <w:rPr>
          <w:rFonts w:hint="eastAsia" w:ascii="宋体" w:hAnsi="宋体" w:eastAsia="宋体" w:cs="Times New Roman"/>
          <w:kern w:val="2"/>
          <w:sz w:val="24"/>
          <w:szCs w:val="24"/>
          <w:highlight w:val="none"/>
          <w:lang w:val="en-US" w:eastAsia="zh-CN" w:bidi="ar"/>
        </w:rPr>
        <w:t>系统的具体业务、使用场景及用户层级，为每个二级指标拆解具体的三级指标，同时兼顾“通用性”与“针对性”，  确保三级指标涵盖各层级用户的不同使用场景，能够了解不同层级用户在“日常操作、异常处理、需求反馈”等场景下的体验。</w:t>
      </w:r>
    </w:p>
    <w:p w14:paraId="42866DD7">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kern w:val="2"/>
          <w:sz w:val="24"/>
          <w:szCs w:val="24"/>
          <w:highlight w:val="none"/>
          <w:lang w:val="en-US" w:eastAsia="zh-CN" w:bidi="ar"/>
        </w:rPr>
      </w:pPr>
      <w:r>
        <w:rPr>
          <w:rFonts w:hint="eastAsia" w:ascii="宋体" w:hAnsi="宋体" w:eastAsia="宋体" w:cs="Times New Roman"/>
          <w:kern w:val="2"/>
          <w:sz w:val="24"/>
          <w:szCs w:val="24"/>
          <w:highlight w:val="none"/>
          <w:lang w:val="en-US" w:eastAsia="zh-CN" w:bidi="ar"/>
        </w:rPr>
        <w:t>（3）对指标进行逻辑校验。对照GB/T 45995-2025、服务蓝图理论、服务质量差距模型，检查指标是否覆盖核心要求（如GB/T 45995-2025中用户体验的核心维度），是否能通过指标捕捉服务质量差距，确保指标的科学性。组织</w:t>
      </w:r>
      <w:r>
        <w:rPr>
          <w:rFonts w:hint="eastAsia" w:ascii="宋体" w:hAnsi="宋体" w:cs="Times New Roman"/>
          <w:highlight w:val="none"/>
          <w:lang w:val="en-US" w:eastAsia="zh-CN"/>
        </w:rPr>
        <w:t>各</w:t>
      </w:r>
      <w:r>
        <w:rPr>
          <w:rFonts w:hint="eastAsia" w:ascii="宋体" w:hAnsi="宋体" w:eastAsia="宋体" w:cs="Times New Roman"/>
          <w:kern w:val="2"/>
          <w:sz w:val="24"/>
          <w:szCs w:val="24"/>
          <w:highlight w:val="none"/>
          <w:lang w:val="en-US" w:eastAsia="zh-CN" w:bidi="ar"/>
        </w:rPr>
        <w:t>系统的相关负责人、一线用户代表，审核三级指标的针对性与可操作性，判断指标是否贴合系统业务场景、是否能准确反映用户体验，删除冗余指标、补充缺失指标。</w:t>
      </w:r>
    </w:p>
    <w:p w14:paraId="1B704875">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kern w:val="2"/>
          <w:sz w:val="24"/>
          <w:szCs w:val="24"/>
          <w:highlight w:val="none"/>
          <w:lang w:val="en-US" w:eastAsia="zh-CN" w:bidi="ar"/>
        </w:rPr>
      </w:pPr>
      <w:r>
        <w:rPr>
          <w:rFonts w:hint="eastAsia" w:ascii="宋体" w:hAnsi="宋体" w:eastAsia="宋体" w:cs="Times New Roman"/>
          <w:kern w:val="2"/>
          <w:sz w:val="24"/>
          <w:szCs w:val="24"/>
          <w:highlight w:val="none"/>
          <w:lang w:val="en-US" w:eastAsia="zh-CN" w:bidi="ar"/>
        </w:rPr>
        <w:t>（4）试点优化：选取1</w:t>
      </w:r>
      <w:r>
        <w:rPr>
          <w:rFonts w:hint="eastAsia" w:hAnsi="宋体" w:cs="Times New Roman"/>
          <w:kern w:val="2"/>
          <w:sz w:val="24"/>
          <w:szCs w:val="24"/>
          <w:highlight w:val="none"/>
          <w:lang w:val="en-US" w:eastAsia="zh-CN" w:bidi="ar"/>
        </w:rPr>
        <w:t>—</w:t>
      </w:r>
      <w:r>
        <w:rPr>
          <w:rFonts w:hint="eastAsia" w:ascii="宋体" w:hAnsi="宋体" w:eastAsia="宋体" w:cs="Times New Roman"/>
          <w:kern w:val="2"/>
          <w:sz w:val="24"/>
          <w:szCs w:val="24"/>
          <w:highlight w:val="none"/>
          <w:lang w:val="en-US" w:eastAsia="zh-CN" w:bidi="ar"/>
        </w:rPr>
        <w:t>2个代表性系统（如协同办公系统、营销管理系统），开展小范围试点评价，收集评价过程中出现的问题（如指标冗余、标准不合理），并针对性优化指标体系。</w:t>
      </w:r>
    </w:p>
    <w:p w14:paraId="11C54796">
      <w:pPr>
        <w:pStyle w:val="7"/>
        <w:rPr>
          <w:rFonts w:hint="eastAsia" w:ascii="宋体" w:eastAsia="宋体" w:cs="宋体"/>
          <w:highlight w:val="none"/>
        </w:rPr>
      </w:pPr>
      <w:bookmarkStart w:id="80" w:name="_Toc1916729905"/>
      <w:r>
        <w:rPr>
          <w:rFonts w:hint="eastAsia" w:ascii="宋体" w:eastAsia="宋体" w:cs="宋体"/>
          <w:highlight w:val="none"/>
          <w:lang w:val="en-US" w:eastAsia="zh-CN"/>
        </w:rPr>
        <w:t>第三方满意度调查</w:t>
      </w:r>
      <w:r>
        <w:rPr>
          <w:rFonts w:hint="default" w:ascii="宋体" w:eastAsia="宋体" w:cs="宋体"/>
          <w:highlight w:val="none"/>
          <w:lang w:val="en-US" w:eastAsia="zh-CN"/>
        </w:rPr>
        <w:t>实施方案设计</w:t>
      </w:r>
      <w:bookmarkEnd w:id="80"/>
    </w:p>
    <w:p w14:paraId="5EE9DCBC">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制定2026年数字化服务第三方用户满意度调查实施方案，根据设计的指标体系，制定涵盖不同用户层级、不同系统的调查问卷。形成调查抽样细则，明确调查方法，制定质量管控措施，明确时间进度计划，最终形成实际可操作的项目实施方案。主要工作包括：</w:t>
      </w:r>
    </w:p>
    <w:p w14:paraId="47E34559">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1）调查问卷编制：根据指标体系，设计针对性的调查问卷，涵盖封闭式问题（用于满意度评分）和开放式问题（用于收集用户建议），问卷内容贴合不同层级用户的使用场景，避免引导性问题，确保调查数据的真实性、有效性。同时完成问卷的测试、修改和完善，形成最终版调查问卷。</w:t>
      </w:r>
    </w:p>
    <w:p w14:paraId="1CAF8269">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（2）问卷试调查，信度效度检验：在完成问卷初稿编排后，对不同问卷开展小范围试调查，运用信度分析、因子分析等统计方法，对收集到的数据进行信度和效度检验。</w:t>
      </w:r>
    </w:p>
    <w:p w14:paraId="487CF1C5">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（3）调查问卷审核：组织</w:t>
      </w:r>
      <w:r>
        <w:rPr>
          <w:rFonts w:hint="eastAsia" w:ascii="宋体" w:hAnsi="宋体" w:cs="Times New Roman"/>
          <w:highlight w:val="none"/>
          <w:lang w:val="en-US" w:eastAsia="zh-CN"/>
        </w:rPr>
        <w:t>各</w:t>
      </w:r>
      <w:r>
        <w:rPr>
          <w:rFonts w:hint="eastAsia" w:ascii="宋体" w:hAnsi="宋体" w:eastAsia="宋体" w:cs="Times New Roman"/>
          <w:highlight w:val="none"/>
          <w:lang w:val="en-US" w:eastAsia="zh-CN" w:bidi="ar"/>
        </w:rPr>
        <w:t>系统的相关负责人、一线用户代表，审核调查问卷的针对性与可操作性，判断问卷是否服务系统业务场景、是否能准确反映用户体验，问法是否和实际使用场景有出入。</w:t>
      </w:r>
    </w:p>
    <w:p w14:paraId="514C2C5A">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（4）形成工作方案：形成包含抽样方案、调查问卷、质量管理、进度计划的工作方案。</w:t>
      </w:r>
    </w:p>
    <w:p w14:paraId="46C308D6">
      <w:pPr>
        <w:pStyle w:val="7"/>
        <w:rPr>
          <w:rFonts w:hint="eastAsia" w:ascii="宋体" w:eastAsia="宋体" w:cs="宋体"/>
          <w:highlight w:val="none"/>
          <w:lang w:val="en-US" w:eastAsia="zh-CN"/>
        </w:rPr>
      </w:pPr>
      <w:bookmarkStart w:id="81" w:name="_Toc77324688"/>
      <w:r>
        <w:rPr>
          <w:rFonts w:hint="eastAsia" w:ascii="宋体" w:eastAsia="宋体" w:cs="宋体"/>
          <w:highlight w:val="none"/>
          <w:lang w:val="en-US" w:eastAsia="zh-CN"/>
        </w:rPr>
        <w:t>第三方满意度调查实施</w:t>
      </w:r>
      <w:bookmarkEnd w:id="81"/>
    </w:p>
    <w:p w14:paraId="782B21D7">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hAnsi="宋体" w:cs="Times New Roman"/>
          <w:highlight w:val="none"/>
          <w:lang w:val="en-US" w:eastAsia="zh-CN" w:bidi="ar"/>
        </w:rPr>
        <w:t>根据进度计划开展第三方满意度调查实施，有效样本总量不少于6万个。</w:t>
      </w:r>
    </w:p>
    <w:p w14:paraId="280AE50C">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hAnsi="宋体" w:cs="Times New Roman"/>
          <w:highlight w:val="none"/>
          <w:lang w:val="en-US" w:eastAsia="zh-CN" w:bidi="ar"/>
        </w:rPr>
        <w:t>调查</w:t>
      </w:r>
      <w:r>
        <w:rPr>
          <w:rFonts w:hint="eastAsia" w:ascii="宋体" w:hAnsi="宋体" w:eastAsia="宋体" w:cs="Times New Roman"/>
          <w:highlight w:val="none"/>
          <w:lang w:val="en-US" w:eastAsia="zh-CN" w:bidi="ar"/>
        </w:rPr>
        <w:t>分两阶段完成项目数据采集，第一阶段调查通过e</w:t>
      </w:r>
      <w:r>
        <w:rPr>
          <w:rFonts w:hint="eastAsia" w:hAnsi="宋体" w:cs="Times New Roman"/>
          <w:highlight w:val="none"/>
          <w:lang w:val="en-US" w:eastAsia="zh-CN" w:bidi="ar"/>
        </w:rPr>
        <w:t>L</w:t>
      </w:r>
      <w:r>
        <w:rPr>
          <w:rFonts w:hint="eastAsia" w:ascii="宋体" w:hAnsi="宋体" w:eastAsia="宋体" w:cs="Times New Roman"/>
          <w:highlight w:val="none"/>
          <w:lang w:val="en-US" w:eastAsia="zh-CN" w:bidi="ar"/>
        </w:rPr>
        <w:t>ink推送调查问卷，实现用户全覆盖，并从中选取有意愿的用户参与第二阶段调查。</w:t>
      </w:r>
    </w:p>
    <w:p w14:paraId="5DBAA4D0">
      <w:pPr>
        <w:pStyle w:val="2"/>
        <w:pageBreakBefore w:val="0"/>
        <w:kinsoku/>
        <w:wordWrap/>
        <w:overflowPunct/>
        <w:autoSpaceDE/>
        <w:autoSpaceDN/>
        <w:bidi w:val="0"/>
        <w:spacing w:line="360" w:lineRule="auto"/>
        <w:ind w:firstLine="480"/>
        <w:rPr>
          <w:rFonts w:hint="eastAsia" w:ascii="宋体" w:hAnsi="宋体" w:cs="Times New Roman"/>
          <w:highlight w:val="none"/>
          <w:lang w:val="en-US" w:eastAsia="zh-CN" w:bidi="ar"/>
        </w:rPr>
      </w:pPr>
      <w:r>
        <w:rPr>
          <w:rFonts w:hint="eastAsia" w:ascii="宋体" w:hAnsi="宋体" w:eastAsia="宋体" w:cs="Times New Roman"/>
          <w:highlight w:val="none"/>
          <w:lang w:val="en-US" w:eastAsia="zh-CN" w:bidi="ar"/>
        </w:rPr>
        <w:t>第二阶段以电话调查方式为主收集用户意见，</w:t>
      </w:r>
      <w:r>
        <w:rPr>
          <w:rFonts w:hint="eastAsia" w:ascii="宋体" w:hAnsi="宋体" w:cs="Times New Roman"/>
          <w:highlight w:val="none"/>
          <w:lang w:val="en-US" w:eastAsia="zh-CN" w:bidi="ar"/>
        </w:rPr>
        <w:t>根据2024</w:t>
      </w:r>
      <w:r>
        <w:rPr>
          <w:rFonts w:hint="eastAsia" w:hAnsi="宋体" w:cs="Times New Roman"/>
          <w:highlight w:val="none"/>
          <w:lang w:val="en-US" w:eastAsia="zh-CN" w:bidi="ar"/>
        </w:rPr>
        <w:t>—</w:t>
      </w:r>
      <w:r>
        <w:rPr>
          <w:rFonts w:hint="eastAsia" w:ascii="宋体" w:hAnsi="宋体" w:cs="Times New Roman"/>
          <w:highlight w:val="none"/>
          <w:lang w:val="en-US" w:eastAsia="zh-CN" w:bidi="ar"/>
        </w:rPr>
        <w:t>2025年由服务专业内部开展的用户满意度调研所覆盖系统范围、单位范围及用户维度（14个网级关键系统，7个单位，用户区分操作层、管理层、决策层3类），样本量依据统计学抽样标准计算，</w:t>
      </w:r>
      <w:r>
        <w:rPr>
          <w:rFonts w:hint="eastAsia" w:hAnsi="宋体" w:cs="Times New Roman"/>
          <w:highlight w:val="none"/>
          <w:lang w:val="en-US" w:eastAsia="zh-CN" w:bidi="ar"/>
        </w:rPr>
        <w:t>满足</w:t>
      </w:r>
      <w:r>
        <w:rPr>
          <w:rFonts w:hint="eastAsia" w:ascii="宋体" w:hAnsi="宋体" w:cs="Times New Roman"/>
          <w:highlight w:val="none"/>
          <w:lang w:val="en-US" w:eastAsia="zh-CN" w:bidi="ar"/>
        </w:rPr>
        <w:t xml:space="preserve"> 95% 置信水平、抽样误差&lt;1.5%的标准，并在问卷完成编制后，开展试调查工作</w:t>
      </w:r>
      <w:r>
        <w:rPr>
          <w:rFonts w:hint="eastAsia" w:hAnsi="宋体" w:cs="Times New Roman"/>
          <w:highlight w:val="none"/>
          <w:lang w:val="en-US" w:eastAsia="zh-CN" w:bidi="ar"/>
        </w:rPr>
        <w:t>（按95%置信水平，抽样误差＜10%的标准选取试调查样本）</w:t>
      </w:r>
      <w:r>
        <w:rPr>
          <w:rFonts w:hint="eastAsia" w:ascii="宋体" w:hAnsi="宋体" w:cs="Times New Roman"/>
          <w:highlight w:val="none"/>
          <w:lang w:val="en-US" w:eastAsia="zh-CN" w:bidi="ar"/>
        </w:rPr>
        <w:t>，结合试调查开展情况对调查实施方案（含</w:t>
      </w:r>
      <w:r>
        <w:rPr>
          <w:rFonts w:hint="eastAsia" w:hAnsi="宋体" w:cs="Times New Roman"/>
          <w:highlight w:val="none"/>
          <w:lang w:val="en-US" w:eastAsia="zh-CN" w:bidi="ar"/>
        </w:rPr>
        <w:t>指标权重、计算规则、</w:t>
      </w:r>
      <w:r>
        <w:rPr>
          <w:rFonts w:hint="eastAsia" w:ascii="宋体" w:hAnsi="宋体" w:cs="Times New Roman"/>
          <w:highlight w:val="none"/>
          <w:lang w:val="en-US" w:eastAsia="zh-CN" w:bidi="ar"/>
        </w:rPr>
        <w:t>样本规模、</w:t>
      </w:r>
      <w:r>
        <w:rPr>
          <w:rFonts w:hint="eastAsia" w:hAnsi="宋体" w:cs="Times New Roman"/>
          <w:highlight w:val="none"/>
          <w:lang w:val="en-US" w:eastAsia="zh-CN" w:bidi="ar"/>
        </w:rPr>
        <w:t>问卷设置等</w:t>
      </w:r>
      <w:r>
        <w:rPr>
          <w:rFonts w:hint="eastAsia" w:ascii="宋体" w:hAnsi="宋体" w:cs="Times New Roman"/>
          <w:highlight w:val="none"/>
          <w:lang w:val="en-US" w:eastAsia="zh-CN" w:bidi="ar"/>
        </w:rPr>
        <w:t>）进行优化。</w:t>
      </w:r>
    </w:p>
    <w:p w14:paraId="3A3838BF">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同时</w:t>
      </w:r>
      <w:r>
        <w:rPr>
          <w:rFonts w:hint="eastAsia" w:ascii="宋体" w:hAnsi="宋体" w:cs="Times New Roman"/>
          <w:highlight w:val="none"/>
          <w:lang w:val="en-US" w:eastAsia="zh-CN" w:bidi="ar"/>
        </w:rPr>
        <w:t>，</w:t>
      </w:r>
      <w:r>
        <w:rPr>
          <w:rFonts w:hint="eastAsia" w:ascii="宋体" w:hAnsi="宋体" w:eastAsia="宋体" w:cs="Times New Roman"/>
          <w:highlight w:val="none"/>
          <w:lang w:val="en-US" w:eastAsia="zh-CN" w:bidi="ar"/>
        </w:rPr>
        <w:t>结合用户体验调查与深度访谈，选取各层级典型用户、不满意用户作为访谈对象，通过半结构化访谈，深入挖掘用户潜在需求、使用痛点及改进建议。主要工作包括：</w:t>
      </w:r>
    </w:p>
    <w:p w14:paraId="39EC4D11">
      <w:pPr>
        <w:pStyle w:val="2"/>
        <w:pageBreakBefore w:val="0"/>
        <w:kinsoku/>
        <w:wordWrap/>
        <w:overflowPunct/>
        <w:autoSpaceDE/>
        <w:autoSpaceDN/>
        <w:bidi w:val="0"/>
        <w:spacing w:line="360" w:lineRule="auto"/>
        <w:ind w:firstLine="480"/>
        <w:rPr>
          <w:rFonts w:hint="eastAsia" w:ascii="宋体" w:hAnsi="宋体" w:eastAsia="宋体" w:cs="Times New Roman"/>
          <w:b/>
          <w:bCs/>
          <w:highlight w:val="none"/>
          <w:lang w:val="en-US" w:eastAsia="zh-CN" w:bidi="ar"/>
        </w:rPr>
      </w:pPr>
      <w:r>
        <w:rPr>
          <w:rFonts w:hint="eastAsia" w:ascii="宋体" w:hAnsi="宋体" w:eastAsia="宋体" w:cs="Times New Roman"/>
          <w:b/>
          <w:bCs/>
          <w:highlight w:val="none"/>
          <w:lang w:val="en-US" w:eastAsia="zh-CN" w:bidi="ar"/>
        </w:rPr>
        <w:t>第一阶段调查：</w:t>
      </w:r>
    </w:p>
    <w:p w14:paraId="30EF1B0E">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（1）问卷编制：进行问卷编制并在平台系统内实现问卷逻辑及题目跳转。</w:t>
      </w:r>
    </w:p>
    <w:p w14:paraId="6C4B25B4">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（2）系统准备：提前完成对调查系统的稳定性、并发量的测试，提前制定问卷推送逻辑，避免同时推送造成系统崩溃或者反应迟钝，影响用户体验。</w:t>
      </w:r>
    </w:p>
    <w:p w14:paraId="5BFF1D39">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（3）问卷投放跟踪：在问卷投放周期内，对问卷回收情况进行监测与统计，以便根据实际回收情况适当调整回收周期。</w:t>
      </w:r>
    </w:p>
    <w:p w14:paraId="5EE14AEF">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（4）问卷样本质检：对已收集样本进行清洗，可根据设置陷阱题、样本填答时间等方式，对无效样本进行剔除。</w:t>
      </w:r>
    </w:p>
    <w:p w14:paraId="1F2E2499">
      <w:pPr>
        <w:pStyle w:val="2"/>
        <w:pageBreakBefore w:val="0"/>
        <w:kinsoku/>
        <w:wordWrap/>
        <w:overflowPunct/>
        <w:autoSpaceDE/>
        <w:autoSpaceDN/>
        <w:bidi w:val="0"/>
        <w:spacing w:line="360" w:lineRule="auto"/>
        <w:ind w:firstLine="480"/>
        <w:rPr>
          <w:rFonts w:hint="eastAsia" w:ascii="宋体" w:hAnsi="宋体" w:eastAsia="宋体" w:cs="Times New Roman"/>
          <w:b/>
          <w:bCs/>
          <w:highlight w:val="none"/>
          <w:lang w:val="en-US" w:eastAsia="zh-CN" w:bidi="ar"/>
        </w:rPr>
      </w:pPr>
      <w:r>
        <w:rPr>
          <w:rFonts w:hint="eastAsia" w:ascii="宋体" w:hAnsi="宋体" w:eastAsia="宋体" w:cs="Times New Roman"/>
          <w:b/>
          <w:bCs/>
          <w:highlight w:val="none"/>
          <w:lang w:val="en-US" w:eastAsia="zh-CN" w:bidi="ar"/>
        </w:rPr>
        <w:t>第二阶段调查：</w:t>
      </w:r>
    </w:p>
    <w:p w14:paraId="63BF2543">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cs="Times New Roman"/>
          <w:highlight w:val="none"/>
          <w:lang w:val="en-US" w:eastAsia="zh-CN" w:bidi="ar"/>
        </w:rPr>
        <w:t>（1）</w:t>
      </w:r>
      <w:r>
        <w:rPr>
          <w:rFonts w:hint="eastAsia" w:ascii="宋体" w:hAnsi="宋体" w:eastAsia="宋体" w:cs="Times New Roman"/>
          <w:highlight w:val="none"/>
          <w:lang w:val="en-US" w:eastAsia="zh-CN" w:bidi="ar"/>
        </w:rPr>
        <w:t>问卷编制：进行问卷编制并在平台系统内实现问卷逻辑及题目跳转。</w:t>
      </w:r>
    </w:p>
    <w:p w14:paraId="7CCB3C39">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cs="Times New Roman"/>
          <w:highlight w:val="none"/>
          <w:lang w:val="en-US" w:eastAsia="zh-CN" w:bidi="ar"/>
        </w:rPr>
        <w:t>（2）</w:t>
      </w:r>
      <w:r>
        <w:rPr>
          <w:rFonts w:hint="eastAsia" w:ascii="宋体" w:hAnsi="宋体" w:eastAsia="宋体" w:cs="Times New Roman"/>
          <w:highlight w:val="none"/>
          <w:lang w:val="en-US" w:eastAsia="zh-CN" w:bidi="ar"/>
        </w:rPr>
        <w:t>人员培训：完成调查人员培训（包括调查流程、问卷解读、沟通技巧、质量要求等）。</w:t>
      </w:r>
    </w:p>
    <w:p w14:paraId="3466940A">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cs="Times New Roman"/>
          <w:highlight w:val="none"/>
          <w:lang w:val="en-US" w:eastAsia="zh-CN" w:bidi="ar"/>
        </w:rPr>
        <w:t>（3）</w:t>
      </w:r>
      <w:r>
        <w:rPr>
          <w:rFonts w:hint="eastAsia" w:ascii="宋体" w:hAnsi="宋体" w:eastAsia="宋体" w:cs="Times New Roman"/>
          <w:highlight w:val="none"/>
          <w:lang w:val="en-US" w:eastAsia="zh-CN" w:bidi="ar"/>
        </w:rPr>
        <w:t>软硬件准备：准备外呼场地、调试外呼线路、检查外呼设备、准备外呼名单等。</w:t>
      </w:r>
    </w:p>
    <w:p w14:paraId="3F019DB7">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（4）调查执行：安排专业调查人员与受访用户进行一对一沟通，完成6万个电话调查成功样本。对深度访谈记录进行整理、汇总，提炼核心观点、共性问题和针对性建议，形成访谈纪要。</w:t>
      </w:r>
    </w:p>
    <w:p w14:paraId="403CC511">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（5）数据质量审核：通过听取调查录音，对回收的数据进行100%质量审核，剔除无效样本（如填写不完整、虚假填写等），对调查员信息记录不全的进行补充完善，确保样本量满足项目要求。</w:t>
      </w:r>
    </w:p>
    <w:p w14:paraId="44FEC30E">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（6）用户深度访谈与体验调查：采用半结构化访谈方式，与选取的访谈对象进行深度沟通，深入了解用户的使用体验、潜在需求、使用痛点及改进建议，详细记录访谈内容，形成访谈记录。</w:t>
      </w:r>
    </w:p>
    <w:p w14:paraId="0FCCDA0D">
      <w:pPr>
        <w:pStyle w:val="7"/>
        <w:rPr>
          <w:rFonts w:hint="eastAsia" w:ascii="宋体" w:eastAsia="宋体" w:cs="宋体"/>
          <w:highlight w:val="none"/>
          <w:lang w:val="en-US" w:eastAsia="zh-CN"/>
        </w:rPr>
      </w:pPr>
      <w:bookmarkStart w:id="82" w:name="_Toc368424781"/>
      <w:r>
        <w:rPr>
          <w:rFonts w:hint="eastAsia" w:ascii="宋体" w:eastAsia="宋体" w:cs="宋体"/>
          <w:highlight w:val="none"/>
          <w:lang w:val="en-US" w:eastAsia="zh-CN"/>
        </w:rPr>
        <w:t>第三方满意度调查结果分析</w:t>
      </w:r>
      <w:bookmarkEnd w:id="82"/>
    </w:p>
    <w:p w14:paraId="7EE42526">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highlight w:val="none"/>
          <w:lang w:bidi="ar"/>
        </w:rPr>
      </w:pPr>
      <w:r>
        <w:rPr>
          <w:rFonts w:hint="eastAsia" w:ascii="宋体" w:hAnsi="宋体" w:eastAsia="宋体" w:cs="Times New Roman"/>
          <w:kern w:val="2"/>
          <w:sz w:val="24"/>
          <w:szCs w:val="24"/>
          <w:highlight w:val="none"/>
          <w:lang w:val="en-US" w:eastAsia="zh-CN" w:bidi="ar"/>
        </w:rPr>
        <w:t>以本次调查数据为基础，结合受访用户系统使用行为记录、内部服务工单等相关数据，深入剖析用户不满意的根源，挖掘用户潜在需求，明确系统功能优化、服务水平提升的重点方向和优先级。编制涵盖不同系统，不同单位的用户满意度调查包括。具体内容如下：</w:t>
      </w:r>
    </w:p>
    <w:p w14:paraId="4B3E6B86">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highlight w:val="none"/>
          <w:lang w:bidi="ar"/>
        </w:rPr>
      </w:pPr>
      <w:r>
        <w:rPr>
          <w:rFonts w:hint="eastAsia" w:ascii="宋体" w:hAnsi="宋体" w:eastAsia="宋体" w:cs="Times New Roman"/>
          <w:kern w:val="2"/>
          <w:sz w:val="24"/>
          <w:szCs w:val="24"/>
          <w:highlight w:val="none"/>
          <w:lang w:val="en-US" w:eastAsia="zh-CN" w:bidi="ar"/>
        </w:rPr>
        <w:t>（1）基础数据统计：对第一阶段回收的有效样本数据进行统计分析，计算总体满意度得分及二级指标的得分，明确各指标的得分情况、优势指标和薄弱指标。</w:t>
      </w:r>
    </w:p>
    <w:p w14:paraId="42A3ABF4">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highlight w:val="none"/>
          <w:lang w:bidi="ar"/>
        </w:rPr>
      </w:pPr>
      <w:r>
        <w:rPr>
          <w:rFonts w:hint="eastAsia" w:ascii="宋体" w:hAnsi="宋体" w:eastAsia="宋体" w:cs="Times New Roman"/>
          <w:kern w:val="2"/>
          <w:sz w:val="24"/>
          <w:szCs w:val="24"/>
          <w:highlight w:val="none"/>
          <w:lang w:val="en-US" w:eastAsia="zh-CN" w:bidi="ar"/>
        </w:rPr>
        <w:t>（2）分层分析：按操作层、管理层、决策层，以及不同单位、不同活跃度用户等维度，对满意度得分进行分层分析，找出不同群体用户的满意度差异及核心诉求。</w:t>
      </w:r>
    </w:p>
    <w:p w14:paraId="7EB302EE">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highlight w:val="none"/>
          <w:lang w:bidi="ar"/>
        </w:rPr>
      </w:pPr>
      <w:r>
        <w:rPr>
          <w:rFonts w:hint="eastAsia" w:ascii="宋体" w:hAnsi="宋体" w:eastAsia="宋体" w:cs="Times New Roman"/>
          <w:kern w:val="2"/>
          <w:sz w:val="24"/>
          <w:szCs w:val="24"/>
          <w:highlight w:val="none"/>
          <w:lang w:val="en-US" w:eastAsia="zh-CN" w:bidi="ar"/>
        </w:rPr>
        <w:t>（3）问题分析：结合调查数据、体验调查记录、深度访谈纪要，深入剖析用户不满的核心根源，梳理系统功能、流程设计等方面的共性问题和个性问题，明确问题产生的原因。</w:t>
      </w:r>
    </w:p>
    <w:p w14:paraId="02352C82">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highlight w:val="none"/>
          <w:lang w:bidi="ar"/>
        </w:rPr>
      </w:pPr>
      <w:r>
        <w:rPr>
          <w:rFonts w:hint="eastAsia" w:ascii="宋体" w:hAnsi="宋体" w:eastAsia="宋体" w:cs="Times New Roman"/>
          <w:kern w:val="2"/>
          <w:sz w:val="24"/>
          <w:szCs w:val="24"/>
          <w:highlight w:val="none"/>
          <w:lang w:val="en-US" w:eastAsia="zh-CN" w:bidi="ar"/>
        </w:rPr>
        <w:t>（4）需求挖掘：汇总分析用户提出的各类建议，挖掘用户的潜在需求，明确系统优化和服务提升的重点方向和优先级。</w:t>
      </w:r>
    </w:p>
    <w:p w14:paraId="02998A94">
      <w:pPr>
        <w:pStyle w:val="2"/>
        <w:keepNext w:val="0"/>
        <w:keepLines w:val="0"/>
        <w:pageBreakBefore w:val="0"/>
        <w:widowControl/>
        <w:suppressLineNumbers w:val="0"/>
        <w:kinsoku/>
        <w:wordWrap/>
        <w:overflowPunct/>
        <w:autoSpaceDE/>
        <w:autoSpaceDN/>
        <w:bidi w:val="0"/>
        <w:spacing w:line="360" w:lineRule="auto"/>
        <w:ind w:left="0" w:leftChars="0" w:firstLineChars="200"/>
        <w:jc w:val="left"/>
        <w:rPr>
          <w:rFonts w:hint="eastAsia" w:ascii="宋体" w:hAnsi="宋体" w:eastAsia="宋体" w:cs="Times New Roman"/>
          <w:highlight w:val="none"/>
          <w:lang w:bidi="ar"/>
        </w:rPr>
      </w:pPr>
      <w:r>
        <w:rPr>
          <w:rFonts w:hint="eastAsia" w:ascii="宋体" w:hAnsi="宋体" w:eastAsia="宋体" w:cs="Times New Roman"/>
          <w:kern w:val="2"/>
          <w:sz w:val="24"/>
          <w:szCs w:val="24"/>
          <w:highlight w:val="none"/>
          <w:lang w:val="en-US" w:eastAsia="zh-CN" w:bidi="ar"/>
        </w:rPr>
        <w:t>（5）结论提炼及成果编制：结合数据分析结果，提炼调查核心结论，明确数字化服务的整体水平、存在的主要问题、用户核心需求，编制项目成果。</w:t>
      </w:r>
    </w:p>
    <w:p w14:paraId="2895E154">
      <w:pPr>
        <w:pStyle w:val="7"/>
        <w:rPr>
          <w:rFonts w:hint="eastAsia" w:ascii="宋体" w:eastAsia="宋体" w:cs="宋体"/>
          <w:highlight w:val="none"/>
          <w:lang w:val="en-US" w:eastAsia="zh-CN"/>
        </w:rPr>
      </w:pPr>
      <w:bookmarkStart w:id="83" w:name="_Toc919939966"/>
      <w:r>
        <w:rPr>
          <w:rFonts w:hint="eastAsia" w:ascii="宋体" w:eastAsia="宋体" w:cs="宋体"/>
          <w:highlight w:val="none"/>
          <w:lang w:val="en-US" w:eastAsia="zh-CN"/>
        </w:rPr>
        <w:t>用户</w:t>
      </w:r>
      <w:r>
        <w:rPr>
          <w:rFonts w:hint="default" w:ascii="宋体" w:eastAsia="宋体" w:cs="宋体"/>
          <w:highlight w:val="none"/>
          <w:lang w:val="en-US" w:eastAsia="zh-CN"/>
        </w:rPr>
        <w:t>意见管理与活动运营</w:t>
      </w:r>
      <w:bookmarkEnd w:id="83"/>
    </w:p>
    <w:p w14:paraId="61864609">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围绕本次用户评价工作，面向探针用户设计策划一系列主题活动，依托探针用户群开展定向运营活动，前期策划设计多主题、分阶段的系列运营活动，明确活动规则、参与流程及激励机制；依托探针用户群完成活动预热宣传、多轮定向推送与实时互动答疑，跟踪活动参与数据、用户反馈进度与痛点收集成效；活动结束后筛选出积极性高且贡献突出的探针用户，完成表彰名单公示及奖励发放。</w:t>
      </w:r>
    </w:p>
    <w:p w14:paraId="4FD08330">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1）建立多维度探针用户遴选机制。围绕信息系统评价工作需求，构建遴选指标体系，筛选优质用户，为信息系统评价工作筹建探针用户群。主要评选维度包括用户活跃度，如用户日常登录信息系统的频次、在线时长等；参与评价积极性，考量用户过往参与各类系统评价、意见征集活动的参与次数、响应速度等；评价工作贡献度，评估用户反馈意见的有效性、针对性和专业性。</w:t>
      </w:r>
    </w:p>
    <w:p w14:paraId="1ABD305C">
      <w:pPr>
        <w:pStyle w:val="2"/>
        <w:keepNext w:val="0"/>
        <w:keepLines w:val="0"/>
        <w:pageBreakBefore w:val="0"/>
        <w:widowControl/>
        <w:suppressLineNumbers w:val="0"/>
        <w:kinsoku/>
        <w:wordWrap/>
        <w:overflowPunct/>
        <w:autoSpaceDE/>
        <w:autoSpaceDN/>
        <w:bidi w:val="0"/>
        <w:spacing w:line="360" w:lineRule="auto"/>
        <w:ind w:firstLine="480"/>
        <w:jc w:val="left"/>
        <w:rPr>
          <w:rFonts w:hint="eastAsia" w:ascii="宋体" w:hAnsi="宋体" w:eastAsia="宋体" w:cs="Times New Roman"/>
          <w:highlight w:val="none"/>
          <w:lang w:val="en-US" w:eastAsia="zh-CN" w:bidi="ar"/>
        </w:rPr>
      </w:pPr>
      <w:r>
        <w:rPr>
          <w:rFonts w:hint="eastAsia" w:ascii="宋体" w:hAnsi="宋体" w:eastAsia="宋体" w:cs="Times New Roman"/>
          <w:kern w:val="2"/>
          <w:sz w:val="24"/>
          <w:szCs w:val="24"/>
          <w:highlight w:val="none"/>
          <w:lang w:val="en-US" w:eastAsia="zh-CN" w:bidi="ar"/>
        </w:rPr>
        <w:t>（2）搭建探针用户成长基本框架。明确探针用户各层级角色定位，结合信息系统评价工作的实际需求，划分不同层级用户角色，清晰界定各层级角色的职责范围、工作重点。针对各层级用户角色，提出对应的核心能力要求，基础探针用户须具备基本的系统操作能力和问题识别能力，能够完成基础的体验反馈任务；核心探针用户须具备较强的问题分析能力和专业判断能力，能够深度参与系统评价和问题复盘；资深探针用户须具备丰富的系统使用经验和专业素养，能够牵头开展专项体验、指导基础用户参与评价。</w:t>
      </w:r>
    </w:p>
    <w:p w14:paraId="25CA37D0">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3）规划探针用户成长路径与长效激励机制。结合成长框架，制定清晰、可落地的探针用户成长路径，通过多样化举措引导用户主动参与、持续提升。打造长期激励机制，将用户参与度、反馈质量、任务完成情况与荣誉表彰、优先体验权等挂钩，形成“参与－提升－激励－再参与”的良性循环，鼓励探针用户踊跃参与信息系统评价工作，长期发挥价值。</w:t>
      </w:r>
    </w:p>
    <w:p w14:paraId="1A441294">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4）探针用户运营维系：针对网级核心应用分别建立探针用户群，完成成员清单统计，确保覆盖不同使用层级、业务场景的典型用户。对用户体验走查方法、指标体系及应用体验知识进行科普、培训，激励用户踊跃参与评价及提出应用体验问题。</w:t>
      </w:r>
    </w:p>
    <w:p w14:paraId="0B03AE64">
      <w:pPr>
        <w:pStyle w:val="2"/>
        <w:pageBreakBefore w:val="0"/>
        <w:kinsoku/>
        <w:wordWrap/>
        <w:overflowPunct/>
        <w:autoSpaceDE/>
        <w:autoSpaceDN/>
        <w:bidi w:val="0"/>
        <w:spacing w:line="360" w:lineRule="auto"/>
        <w:ind w:firstLine="480"/>
        <w:rPr>
          <w:rFonts w:hint="eastAsia" w:ascii="宋体" w:hAnsi="宋体" w:eastAsia="宋体" w:cs="Times New Roman"/>
          <w:highlight w:val="none"/>
          <w:lang w:val="en-US" w:eastAsia="zh-CN" w:bidi="ar"/>
        </w:rPr>
      </w:pPr>
      <w:r>
        <w:rPr>
          <w:rFonts w:hint="eastAsia" w:ascii="宋体" w:hAnsi="宋体" w:eastAsia="宋体" w:cs="Times New Roman"/>
          <w:highlight w:val="none"/>
          <w:lang w:val="en-US" w:eastAsia="zh-CN" w:bidi="ar"/>
        </w:rPr>
        <w:t>（5）用户活动运营：面向探针用户设计策划一系列主题活动，依托探针用户群开展定向运营活动，策划设计多主题、分阶段的系列运营活动，明确活动规则、参与流程及激励机制；依托探针用户群完成活动预热宣传、多轮定向推送与实时互动答疑，跟踪活动参与数据、用户反馈进度与痛点收集成效；活动结束后筛选出积极性高且贡献突出的探针用户，完成表彰名单公示及奖励发放。</w:t>
      </w:r>
    </w:p>
    <w:p w14:paraId="78E75315">
      <w:pPr>
        <w:pStyle w:val="2"/>
        <w:pageBreakBefore w:val="0"/>
        <w:kinsoku/>
        <w:wordWrap/>
        <w:overflowPunct/>
        <w:autoSpaceDE/>
        <w:autoSpaceDN/>
        <w:bidi w:val="0"/>
        <w:spacing w:line="360" w:lineRule="auto"/>
        <w:ind w:firstLine="480"/>
        <w:rPr>
          <w:rFonts w:hint="eastAsia" w:ascii="宋体" w:hAnsi="宋体"/>
          <w:highlight w:val="none"/>
          <w:lang w:val="en-US" w:eastAsia="zh-CN" w:bidi="ar"/>
        </w:rPr>
      </w:pPr>
      <w:r>
        <w:rPr>
          <w:rFonts w:hint="eastAsia" w:ascii="宋体" w:hAnsi="宋体"/>
          <w:highlight w:val="none"/>
          <w:lang w:val="en-US" w:eastAsia="zh-CN" w:bidi="ar"/>
        </w:rPr>
        <w:t>（6）用户活动宣传：以探针用户群为重点联通渠道，定期展示用户体验调研评价成果、科普有关知识文章，披露问题闭环情况或优秀整改案例，对即将上线的调研活动进行预热。</w:t>
      </w:r>
    </w:p>
    <w:p w14:paraId="61AB97CD">
      <w:pPr>
        <w:pStyle w:val="6"/>
        <w:rPr>
          <w:rFonts w:hint="eastAsia" w:ascii="宋体" w:hAnsi="宋体" w:eastAsia="宋体" w:cs="宋体"/>
          <w:lang w:eastAsia="zh-CN"/>
        </w:rPr>
      </w:pPr>
      <w:bookmarkStart w:id="84" w:name="_Toc4631"/>
      <w:bookmarkStart w:id="85" w:name="_Toc1696233809"/>
      <w:r>
        <w:rPr>
          <w:rFonts w:hint="eastAsia" w:ascii="宋体" w:hAnsi="宋体" w:eastAsia="宋体" w:cs="宋体"/>
          <w:lang w:val="en-US" w:eastAsia="zh-CN"/>
        </w:rPr>
        <w:t>网级前台及中台服务监督与分析</w:t>
      </w:r>
      <w:bookmarkEnd w:id="84"/>
      <w:bookmarkEnd w:id="85"/>
    </w:p>
    <w:p w14:paraId="02F41109">
      <w:pPr>
        <w:pStyle w:val="7"/>
        <w:rPr>
          <w:rFonts w:hint="eastAsia" w:ascii="宋体" w:eastAsia="宋体" w:cs="宋体"/>
          <w:highlight w:val="none"/>
          <w:lang w:val="en-US" w:eastAsia="zh-CN"/>
        </w:rPr>
      </w:pPr>
      <w:bookmarkStart w:id="86" w:name="_Toc756213938"/>
      <w:r>
        <w:rPr>
          <w:rFonts w:hint="eastAsia" w:ascii="宋体" w:eastAsia="宋体" w:cs="宋体"/>
          <w:highlight w:val="none"/>
          <w:lang w:val="en-US" w:eastAsia="zh-CN"/>
        </w:rPr>
        <w:t>工单监督与数据分析</w:t>
      </w:r>
      <w:bookmarkEnd w:id="86"/>
    </w:p>
    <w:p w14:paraId="39CB78A9">
      <w:pPr>
        <w:pageBreakBefore w:val="0"/>
        <w:kinsoku/>
        <w:wordWrap/>
        <w:overflowPunct/>
        <w:autoSpaceDE/>
        <w:autoSpaceDN/>
        <w:bidi w:val="0"/>
        <w:spacing w:line="360" w:lineRule="auto"/>
        <w:ind w:firstLine="480"/>
        <w:rPr>
          <w:highlight w:val="none"/>
        </w:rPr>
      </w:pPr>
      <w:r>
        <w:rPr>
          <w:rFonts w:hint="eastAsia" w:ascii="宋体" w:hAnsi="宋体"/>
          <w:highlight w:val="none"/>
        </w:rPr>
        <w:t>工单</w:t>
      </w:r>
      <w:r>
        <w:rPr>
          <w:rFonts w:hint="eastAsia" w:ascii="宋体" w:hAnsi="宋体"/>
          <w:highlight w:val="none"/>
          <w:lang w:val="en-US" w:eastAsia="zh-CN"/>
        </w:rPr>
        <w:t>监督</w:t>
      </w:r>
      <w:r>
        <w:rPr>
          <w:rFonts w:hint="eastAsia" w:ascii="宋体" w:hAnsi="宋体"/>
          <w:highlight w:val="none"/>
        </w:rPr>
        <w:t>与工单数据辅助分析贯穿服务全过程，设立专人专岗负责。及时掌握工单处理情况，识别积压、超时及异常工单，动态预警并介入处置，确保问题闭环。通过多维度工单数据辅助分析，按需生成工单分析报告，定位高频问题区域与系统薄弱环节，为管理决策和系统优化提供数据支撑，为持续提升服务响应效率与治理精度提供数据以及服务支撑。</w:t>
      </w:r>
    </w:p>
    <w:p w14:paraId="3F804B09">
      <w:pPr>
        <w:pStyle w:val="8"/>
        <w:bidi w:val="0"/>
        <w:ind w:left="0" w:leftChars="0" w:firstLine="0" w:firstLineChars="0"/>
      </w:pPr>
      <w:r>
        <w:rPr>
          <w:rFonts w:hint="eastAsia"/>
        </w:rPr>
        <w:t>工单监控</w:t>
      </w:r>
      <w:r>
        <w:rPr>
          <w:rFonts w:hint="eastAsia"/>
          <w:lang w:val="en-US" w:eastAsia="zh-CN"/>
        </w:rPr>
        <w:t>与督办</w:t>
      </w:r>
    </w:p>
    <w:p w14:paraId="1BDA9D5A">
      <w:pPr>
        <w:pStyle w:val="2"/>
        <w:pageBreakBefore w:val="0"/>
        <w:kinsoku/>
        <w:wordWrap/>
        <w:overflowPunct/>
        <w:autoSpaceDE/>
        <w:autoSpaceDN/>
        <w:bidi w:val="0"/>
        <w:spacing w:line="360" w:lineRule="auto"/>
        <w:ind w:firstLine="480"/>
        <w:rPr>
          <w:highlight w:val="none"/>
        </w:rPr>
      </w:pPr>
      <w:r>
        <w:rPr>
          <w:rFonts w:hint="eastAsia" w:ascii="宋体" w:hAnsi="宋体"/>
          <w:highlight w:val="none"/>
        </w:rPr>
        <w:t>针对全网</w:t>
      </w:r>
      <w:r>
        <w:rPr>
          <w:rFonts w:hint="eastAsia"/>
          <w:highlight w:val="none"/>
        </w:rPr>
        <w:t>1000</w:t>
      </w:r>
      <w:r>
        <w:rPr>
          <w:rFonts w:hint="eastAsia" w:ascii="宋体" w:hAnsi="宋体"/>
          <w:highlight w:val="none"/>
        </w:rPr>
        <w:t>号客户服务工单处理情况进行监控分析，确保工单处理可以精准传递，对重点、</w:t>
      </w:r>
      <w:r>
        <w:rPr>
          <w:rFonts w:hint="eastAsia"/>
          <w:highlight w:val="none"/>
        </w:rPr>
        <w:t>VIP</w:t>
      </w:r>
      <w:r>
        <w:rPr>
          <w:rFonts w:hint="eastAsia" w:ascii="宋体" w:hAnsi="宋体"/>
          <w:highlight w:val="none"/>
        </w:rPr>
        <w:t>工单处理进度进行督办辅助支持，确保高优先级工单限时办结。协助建立、完善分级响应与督办机制，对超时风险工单提前预警、及时干预。</w:t>
      </w:r>
    </w:p>
    <w:p w14:paraId="1B9761D9">
      <w:pPr>
        <w:pStyle w:val="8"/>
        <w:bidi w:val="0"/>
        <w:ind w:left="0" w:leftChars="0" w:firstLine="0" w:firstLineChars="0"/>
      </w:pPr>
      <w:r>
        <w:rPr>
          <w:rFonts w:hint="eastAsia"/>
        </w:rPr>
        <w:t>工单数据辅助分析</w:t>
      </w:r>
    </w:p>
    <w:p w14:paraId="28939927">
      <w:pPr>
        <w:pStyle w:val="2"/>
        <w:pageBreakBefore w:val="0"/>
        <w:kinsoku/>
        <w:wordWrap/>
        <w:overflowPunct/>
        <w:autoSpaceDE/>
        <w:autoSpaceDN/>
        <w:bidi w:val="0"/>
        <w:spacing w:line="360" w:lineRule="auto"/>
        <w:ind w:firstLine="480"/>
        <w:rPr>
          <w:highlight w:val="yellow"/>
        </w:rPr>
      </w:pPr>
      <w:r>
        <w:rPr>
          <w:rFonts w:hint="eastAsia" w:ascii="宋体" w:hAnsi="宋体"/>
          <w:highlight w:val="none"/>
        </w:rPr>
        <w:t>以全网</w:t>
      </w:r>
      <w:r>
        <w:rPr>
          <w:rFonts w:hint="eastAsia"/>
          <w:highlight w:val="none"/>
        </w:rPr>
        <w:t>1000</w:t>
      </w:r>
      <w:r>
        <w:rPr>
          <w:rFonts w:hint="eastAsia" w:ascii="宋体" w:hAnsi="宋体"/>
          <w:highlight w:val="none"/>
        </w:rPr>
        <w:t>号客户服务工单为核心基础数据，结合单位名称、系统名称、工单处理环节、处理时间、问题分类等维度开展工作，从问题地域分布、业务分布、工单超时分布、各类问题分布等多种维度开展工单</w:t>
      </w:r>
      <w:r>
        <w:rPr>
          <w:rFonts w:hint="eastAsia" w:hAnsi="宋体"/>
          <w:highlight w:val="none"/>
          <w:lang w:val="en-US" w:eastAsia="zh-CN"/>
        </w:rPr>
        <w:t>处置效率分析，</w:t>
      </w:r>
      <w:r>
        <w:rPr>
          <w:rFonts w:hint="eastAsia" w:ascii="宋体" w:hAnsi="宋体"/>
          <w:highlight w:val="none"/>
        </w:rPr>
        <w:t>为</w:t>
      </w:r>
      <w:r>
        <w:rPr>
          <w:rFonts w:hint="eastAsia" w:hAnsi="宋体"/>
          <w:highlight w:val="none"/>
          <w:lang w:val="en-US" w:eastAsia="zh-CN"/>
        </w:rPr>
        <w:t>提高运营服务能力</w:t>
      </w:r>
      <w:r>
        <w:rPr>
          <w:rFonts w:hint="eastAsia" w:ascii="宋体" w:hAnsi="宋体"/>
          <w:highlight w:val="none"/>
        </w:rPr>
        <w:t>提供数据支撑；</w:t>
      </w:r>
    </w:p>
    <w:p w14:paraId="65F1CABC">
      <w:pPr>
        <w:pStyle w:val="2"/>
        <w:pageBreakBefore w:val="0"/>
        <w:kinsoku/>
        <w:wordWrap/>
        <w:overflowPunct/>
        <w:autoSpaceDE/>
        <w:autoSpaceDN/>
        <w:bidi w:val="0"/>
        <w:spacing w:line="360" w:lineRule="auto"/>
        <w:ind w:firstLine="480"/>
        <w:rPr>
          <w:highlight w:val="none"/>
        </w:rPr>
      </w:pPr>
      <w:r>
        <w:rPr>
          <w:rFonts w:hint="eastAsia" w:ascii="宋体" w:hAnsi="宋体"/>
          <w:highlight w:val="none"/>
        </w:rPr>
        <w:t>同时，辅助识别重复性高、处理耗时长的典型工单类型，定位源头系统或流程瓶颈。通过数据画像构建问题热力榜，支撑精准优化资源配置与前置防控策略制定，推动从“事后处置”向“事前预防”转变，持续降低工单发生密度与服务负载压力。</w:t>
      </w:r>
    </w:p>
    <w:p w14:paraId="7ED1B5FF">
      <w:pPr>
        <w:pStyle w:val="2"/>
        <w:pageBreakBefore w:val="0"/>
        <w:kinsoku/>
        <w:wordWrap/>
        <w:overflowPunct/>
        <w:autoSpaceDE/>
        <w:autoSpaceDN/>
        <w:bidi w:val="0"/>
        <w:spacing w:line="360" w:lineRule="auto"/>
        <w:ind w:firstLine="480"/>
        <w:rPr>
          <w:highlight w:val="none"/>
        </w:rPr>
      </w:pPr>
      <w:r>
        <w:rPr>
          <w:rFonts w:hint="eastAsia" w:ascii="宋体" w:hAnsi="宋体"/>
          <w:highlight w:val="none"/>
        </w:rPr>
        <w:t>另外，聚焦用户体验类问题，深入挖掘用户反馈中在用户操作体验、使用性能体验等方面的潜在需求与痛点，根据工作开展需求进行用户体验专题问题分析，提炼共性问题并推动产品优化迭代。</w:t>
      </w:r>
    </w:p>
    <w:p w14:paraId="01A60C17">
      <w:pPr>
        <w:pStyle w:val="8"/>
        <w:bidi w:val="0"/>
        <w:ind w:left="0" w:leftChars="0" w:firstLine="0" w:firstLineChars="0"/>
      </w:pPr>
      <w:r>
        <w:rPr>
          <w:rFonts w:hint="eastAsia"/>
        </w:rPr>
        <w:t>工单超时分析</w:t>
      </w:r>
    </w:p>
    <w:p w14:paraId="2B44E8F2">
      <w:pPr>
        <w:pStyle w:val="2"/>
        <w:pageBreakBefore w:val="0"/>
        <w:kinsoku/>
        <w:wordWrap/>
        <w:overflowPunct/>
        <w:autoSpaceDE/>
        <w:autoSpaceDN/>
        <w:bidi w:val="0"/>
        <w:spacing w:line="360" w:lineRule="auto"/>
        <w:ind w:firstLine="480"/>
        <w:rPr>
          <w:highlight w:val="none"/>
        </w:rPr>
      </w:pPr>
      <w:r>
        <w:rPr>
          <w:rFonts w:hint="eastAsia" w:ascii="宋体" w:hAnsi="宋体"/>
          <w:highlight w:val="none"/>
        </w:rPr>
        <w:t>以日、周、月等周期性视角对系统中的超时工单展开专项分析与管理，单位名称、系统名称、工单处理环节、处理时间、问题分类等维度开展整体分析，为工单处理流程优化、处理资源配置优化提供基础数据分析支撑。</w:t>
      </w:r>
    </w:p>
    <w:p w14:paraId="4A3B07BC">
      <w:pPr>
        <w:pStyle w:val="2"/>
        <w:pageBreakBefore w:val="0"/>
        <w:kinsoku/>
        <w:wordWrap/>
        <w:overflowPunct/>
        <w:autoSpaceDE/>
        <w:autoSpaceDN/>
        <w:bidi w:val="0"/>
        <w:spacing w:line="360" w:lineRule="auto"/>
        <w:ind w:firstLine="480"/>
        <w:rPr>
          <w:highlight w:val="none"/>
        </w:rPr>
      </w:pPr>
      <w:r>
        <w:rPr>
          <w:rFonts w:hint="eastAsia" w:ascii="宋体" w:hAnsi="宋体"/>
          <w:highlight w:val="none"/>
        </w:rPr>
        <w:t>针对工单超时现象开展初步原因分析，聚焦处理环节堵点、责任传递断等问题，协助排查流程卡点与协同盲区，为优化环节衔接机制、动态调整优先级策略与人力资源配置提供支撑。</w:t>
      </w:r>
    </w:p>
    <w:p w14:paraId="5F654782">
      <w:pPr>
        <w:pStyle w:val="7"/>
        <w:bidi w:val="0"/>
        <w:ind w:left="0" w:leftChars="0" w:firstLine="0" w:firstLineChars="0"/>
      </w:pPr>
      <w:bookmarkStart w:id="87" w:name="_Toc879433020"/>
      <w:r>
        <w:rPr>
          <w:rFonts w:hint="eastAsia"/>
        </w:rPr>
        <w:t>服务质量检查</w:t>
      </w:r>
      <w:bookmarkEnd w:id="87"/>
    </w:p>
    <w:p w14:paraId="18AA1277">
      <w:pPr>
        <w:pageBreakBefore w:val="0"/>
        <w:kinsoku/>
        <w:wordWrap/>
        <w:overflowPunct/>
        <w:autoSpaceDE/>
        <w:autoSpaceDN/>
        <w:bidi w:val="0"/>
        <w:spacing w:line="360" w:lineRule="auto"/>
        <w:ind w:firstLine="480"/>
        <w:rPr>
          <w:highlight w:val="none"/>
        </w:rPr>
      </w:pPr>
      <w:r>
        <w:rPr>
          <w:rFonts w:hint="eastAsia" w:ascii="宋体" w:hAnsi="宋体"/>
          <w:highlight w:val="none"/>
        </w:rPr>
        <w:t>开展服务质量检查服务支持，以</w:t>
      </w:r>
      <w:r>
        <w:rPr>
          <w:rFonts w:hint="eastAsia"/>
          <w:highlight w:val="none"/>
        </w:rPr>
        <w:t>1000</w:t>
      </w:r>
      <w:r>
        <w:rPr>
          <w:rFonts w:hint="eastAsia" w:ascii="宋体" w:hAnsi="宋体"/>
          <w:highlight w:val="none"/>
        </w:rPr>
        <w:t>号客户服务工单为基础数据开展服务质量检查，依据既定质检规则对工单执行情况、响应时效、处理规范性等关键指标进行核查，识别服务过程中的薄弱环节。结合人工抽检与技术手段，确保检查结果客观准确，并按周期形成质量分析报告，反馈至相关责任单位。针对高频问题和典型差错，推动制定改进措施并跟踪闭环，持续提升服务标准化水平和用户满意度。</w:t>
      </w:r>
    </w:p>
    <w:p w14:paraId="495BFF43">
      <w:pPr>
        <w:pStyle w:val="8"/>
        <w:bidi w:val="0"/>
        <w:ind w:left="0" w:leftChars="0" w:firstLine="0" w:firstLineChars="0"/>
        <w:rPr>
          <w:rFonts w:hint="eastAsia" w:ascii="宋体" w:eastAsia="宋体" w:cs="宋体"/>
        </w:rPr>
      </w:pPr>
      <w:r>
        <w:rPr>
          <w:rFonts w:hint="eastAsia" w:ascii="宋体" w:eastAsia="宋体" w:cs="宋体"/>
        </w:rPr>
        <w:t>工单及话务质量检查</w:t>
      </w:r>
    </w:p>
    <w:p w14:paraId="4F55A4C6">
      <w:pPr>
        <w:pageBreakBefore w:val="0"/>
        <w:kinsoku/>
        <w:wordWrap/>
        <w:overflowPunct/>
        <w:autoSpaceDE/>
        <w:autoSpaceDN/>
        <w:bidi w:val="0"/>
        <w:spacing w:line="360" w:lineRule="auto"/>
        <w:ind w:firstLine="480"/>
        <w:rPr>
          <w:highlight w:val="none"/>
        </w:rPr>
      </w:pPr>
      <w:r>
        <w:rPr>
          <w:rFonts w:hint="eastAsia" w:ascii="宋体" w:hAnsi="宋体"/>
          <w:highlight w:val="none"/>
        </w:rPr>
        <w:t>（</w:t>
      </w:r>
      <w:r>
        <w:rPr>
          <w:rFonts w:hint="eastAsia"/>
          <w:highlight w:val="none"/>
        </w:rPr>
        <w:t>1</w:t>
      </w:r>
      <w:r>
        <w:rPr>
          <w:rFonts w:hint="eastAsia" w:ascii="宋体" w:hAnsi="宋体"/>
          <w:highlight w:val="none"/>
        </w:rPr>
        <w:t>）以</w:t>
      </w:r>
      <w:r>
        <w:rPr>
          <w:rFonts w:hint="eastAsia" w:hAnsi="宋体"/>
          <w:highlight w:val="none"/>
          <w:lang w:val="en-US" w:eastAsia="zh-CN"/>
        </w:rPr>
        <w:t>全网各类</w:t>
      </w:r>
      <w:r>
        <w:rPr>
          <w:rFonts w:hint="eastAsia" w:ascii="宋体" w:hAnsi="宋体"/>
          <w:highlight w:val="none"/>
        </w:rPr>
        <w:t>工单及话务为数据基础，结合管理规范要求对工单填写规范、问题描述完整性、工单分类选择错误等内容在智能质检基础上进行二次核查。另外，根据实际工作需要安排质检数据交叉验证，确保质检结果准确、公正。根据周期性检查结果，形成工单质量评分并纳入周期性公示，督促各相关单位提升工单填写质量与规范性，针对共性问题组织专项培训与案例分享，强化一线服务人员规范意识。</w:t>
      </w:r>
    </w:p>
    <w:p w14:paraId="6B12F42A">
      <w:pPr>
        <w:pageBreakBefore w:val="0"/>
        <w:kinsoku/>
        <w:wordWrap/>
        <w:overflowPunct/>
        <w:autoSpaceDE/>
        <w:autoSpaceDN/>
        <w:bidi w:val="0"/>
        <w:spacing w:line="360" w:lineRule="auto"/>
        <w:ind w:firstLine="480"/>
        <w:rPr>
          <w:highlight w:val="none"/>
        </w:rPr>
      </w:pPr>
      <w:r>
        <w:rPr>
          <w:rFonts w:hint="eastAsia" w:ascii="宋体" w:hAnsi="宋体"/>
          <w:highlight w:val="none"/>
        </w:rPr>
        <w:t>（</w:t>
      </w:r>
      <w:r>
        <w:rPr>
          <w:rFonts w:hint="eastAsia"/>
          <w:highlight w:val="none"/>
        </w:rPr>
        <w:t>2</w:t>
      </w:r>
      <w:r>
        <w:rPr>
          <w:rFonts w:hint="eastAsia" w:ascii="宋体" w:hAnsi="宋体"/>
          <w:highlight w:val="none"/>
        </w:rPr>
        <w:t>）质量检查服务答疑，各单位在质检工作开展中均存在不同程度的疑问，质量检查工程师需</w:t>
      </w:r>
      <w:r>
        <w:rPr>
          <w:rFonts w:hint="eastAsia" w:ascii="宋体" w:hAnsi="宋体"/>
          <w:highlight w:val="none"/>
          <w:lang w:eastAsia="zh-CN"/>
        </w:rPr>
        <w:t>对</w:t>
      </w:r>
      <w:r>
        <w:rPr>
          <w:rFonts w:hint="eastAsia" w:ascii="宋体" w:hAnsi="宋体"/>
          <w:highlight w:val="none"/>
        </w:rPr>
        <w:t>各单位相关工作人员提供咨询答疑服务支持。</w:t>
      </w:r>
    </w:p>
    <w:p w14:paraId="30F940F2">
      <w:pPr>
        <w:pStyle w:val="8"/>
        <w:bidi w:val="0"/>
        <w:ind w:left="0" w:leftChars="0" w:firstLine="0" w:firstLineChars="0"/>
        <w:rPr>
          <w:rFonts w:hint="eastAsia" w:ascii="宋体" w:eastAsia="宋体" w:cs="宋体"/>
        </w:rPr>
      </w:pPr>
      <w:r>
        <w:rPr>
          <w:rFonts w:hint="eastAsia" w:ascii="宋体" w:eastAsia="宋体" w:cs="宋体"/>
        </w:rPr>
        <w:t>质量检查规则维护优化支撑</w:t>
      </w:r>
    </w:p>
    <w:p w14:paraId="33640749">
      <w:pPr>
        <w:pageBreakBefore w:val="0"/>
        <w:kinsoku/>
        <w:wordWrap/>
        <w:overflowPunct/>
        <w:autoSpaceDE/>
        <w:autoSpaceDN/>
        <w:bidi w:val="0"/>
        <w:spacing w:line="360" w:lineRule="auto"/>
        <w:ind w:firstLine="480"/>
        <w:rPr>
          <w:highlight w:val="none"/>
        </w:rPr>
      </w:pPr>
      <w:r>
        <w:rPr>
          <w:rFonts w:hint="eastAsia" w:ascii="宋体" w:hAnsi="宋体"/>
          <w:highlight w:val="none"/>
        </w:rPr>
        <w:t>结合工单实际应用场景与业务变化趋势，以质量检查实际工作开展与记录数据为基点，协助定期评估现有检查规则的适用性与有效性，对滞后于业务发展的规则条款的及时修订提供建议与参考；同时及时补充新生场景下的质检要点。为强化规则与系统能力的匹配度提供支撑，提升检查效率与客观性。</w:t>
      </w:r>
    </w:p>
    <w:p w14:paraId="6CC089A5">
      <w:pPr>
        <w:pStyle w:val="8"/>
        <w:bidi w:val="0"/>
        <w:ind w:left="0" w:leftChars="0" w:firstLine="0" w:firstLineChars="0"/>
        <w:rPr>
          <w:rFonts w:hint="eastAsia" w:ascii="宋体" w:eastAsia="宋体" w:cs="宋体"/>
        </w:rPr>
      </w:pPr>
      <w:r>
        <w:rPr>
          <w:rFonts w:hint="eastAsia" w:ascii="宋体" w:eastAsia="宋体" w:cs="宋体"/>
        </w:rPr>
        <w:t>工单质量检查典型案例分析与分享</w:t>
      </w:r>
    </w:p>
    <w:p w14:paraId="6D9FEAED">
      <w:pPr>
        <w:pageBreakBefore w:val="0"/>
        <w:kinsoku/>
        <w:wordWrap/>
        <w:overflowPunct/>
        <w:autoSpaceDE/>
        <w:autoSpaceDN/>
        <w:bidi w:val="0"/>
        <w:spacing w:line="360" w:lineRule="auto"/>
        <w:ind w:firstLine="480"/>
        <w:rPr>
          <w:highlight w:val="none"/>
        </w:rPr>
      </w:pPr>
      <w:r>
        <w:rPr>
          <w:rFonts w:hint="eastAsia" w:ascii="宋体" w:hAnsi="宋体"/>
          <w:highlight w:val="none"/>
        </w:rPr>
        <w:t>定期梳理工单质量检查中发现的典型问题，形成涵盖错误示例、规范标准与整改建议的案例库，面向一线服务人员开展分批次、分区域的案例分享与培训指导。通过真实场景还原，强化对工单填写要点的理解与应用，提升问题描述准确性与信息完整性。</w:t>
      </w:r>
    </w:p>
    <w:p w14:paraId="39AD99B6">
      <w:pPr>
        <w:pStyle w:val="8"/>
        <w:bidi w:val="0"/>
        <w:ind w:left="0" w:leftChars="0" w:firstLine="0" w:firstLineChars="0"/>
        <w:rPr>
          <w:rFonts w:hint="eastAsia" w:ascii="宋体" w:eastAsia="宋体" w:cs="宋体"/>
        </w:rPr>
      </w:pPr>
      <w:r>
        <w:rPr>
          <w:rFonts w:hint="eastAsia" w:ascii="宋体" w:eastAsia="宋体" w:cs="宋体"/>
        </w:rPr>
        <w:t>质检智能体语料整理</w:t>
      </w:r>
    </w:p>
    <w:p w14:paraId="4509FAEC">
      <w:pPr>
        <w:pStyle w:val="2"/>
        <w:pageBreakBefore w:val="0"/>
        <w:kinsoku/>
        <w:wordWrap/>
        <w:overflowPunct/>
        <w:autoSpaceDE/>
        <w:autoSpaceDN/>
        <w:bidi w:val="0"/>
        <w:spacing w:line="360" w:lineRule="auto"/>
        <w:ind w:firstLine="480"/>
        <w:rPr>
          <w:highlight w:val="none"/>
        </w:rPr>
      </w:pPr>
      <w:r>
        <w:rPr>
          <w:rFonts w:hint="eastAsia" w:ascii="宋体" w:hAnsi="宋体"/>
          <w:highlight w:val="none"/>
        </w:rPr>
        <w:t>以质检工作开展要求以及实际质检工作为基石进行智能体语料库梳理，为质检智能体开发提供工作支持。围绕工单审核要点、服务规范条款、常见错误模式等内容，系统化归集高质量问答对与标准话术，结合典型场景构建多维度训练语料。通过持续迭代更新语料库，确保智能体具备准确识别问题、精准推送建议的能力，助力质检效率与智能化水平双提升。</w:t>
      </w:r>
    </w:p>
    <w:p w14:paraId="3C4D0A32">
      <w:pPr>
        <w:pStyle w:val="7"/>
        <w:bidi w:val="0"/>
        <w:ind w:left="0" w:leftChars="0" w:firstLine="0" w:firstLineChars="0"/>
      </w:pPr>
      <w:bookmarkStart w:id="88" w:name="_Toc1648308486"/>
      <w:r>
        <w:rPr>
          <w:rFonts w:hint="eastAsia"/>
        </w:rPr>
        <w:t>服务申诉处理</w:t>
      </w:r>
      <w:bookmarkEnd w:id="88"/>
    </w:p>
    <w:p w14:paraId="09570E96">
      <w:pPr>
        <w:pStyle w:val="8"/>
        <w:bidi w:val="0"/>
        <w:ind w:left="0" w:leftChars="0" w:firstLine="0" w:firstLineChars="0"/>
      </w:pPr>
      <w:r>
        <w:rPr>
          <w:rFonts w:hint="eastAsia"/>
        </w:rPr>
        <w:t>工单质量检查申诉处理</w:t>
      </w:r>
    </w:p>
    <w:p w14:paraId="23032A49">
      <w:pPr>
        <w:pageBreakBefore w:val="0"/>
        <w:kinsoku/>
        <w:wordWrap/>
        <w:overflowPunct/>
        <w:autoSpaceDE/>
        <w:autoSpaceDN/>
        <w:bidi w:val="0"/>
        <w:spacing w:line="360" w:lineRule="auto"/>
        <w:ind w:firstLine="480"/>
        <w:rPr>
          <w:highlight w:val="none"/>
        </w:rPr>
      </w:pPr>
      <w:r>
        <w:rPr>
          <w:rFonts w:hint="eastAsia" w:ascii="宋体" w:hAnsi="宋体"/>
          <w:highlight w:val="none"/>
        </w:rPr>
        <w:t>建立工单质量检查申诉处理机制，明确申诉受理条件、处理流程与时限要求。对于服务人员对检查结果存在异议的，可通过指定渠道提交申诉申请，并附相关佐证材料。审核人员依据既定标准进行独立复核，确保处理过程公开公正。申诉处理结果在规定时限内反馈至申请人，若确认原判定有误，将及时更正结果。同时，定期汇总分析申诉案例，识别质检规则模糊或执行尺度不一的问题，持续优化检查标准与评判细则，提升工单质量评价的客观性与公信力。</w:t>
      </w:r>
    </w:p>
    <w:p w14:paraId="05986C2A">
      <w:pPr>
        <w:pStyle w:val="8"/>
        <w:bidi w:val="0"/>
        <w:ind w:left="0" w:leftChars="0" w:firstLine="0" w:firstLineChars="0"/>
      </w:pPr>
      <w:r>
        <w:rPr>
          <w:rFonts w:hint="eastAsia"/>
        </w:rPr>
        <w:t>工单超时申诉处理</w:t>
      </w:r>
    </w:p>
    <w:p w14:paraId="2CD87B50">
      <w:pPr>
        <w:pStyle w:val="2"/>
        <w:pageBreakBefore w:val="0"/>
        <w:kinsoku/>
        <w:wordWrap/>
        <w:overflowPunct/>
        <w:autoSpaceDE/>
        <w:autoSpaceDN/>
        <w:bidi w:val="0"/>
        <w:ind w:firstLine="480" w:firstLineChars="200"/>
        <w:rPr>
          <w:highlight w:val="none"/>
        </w:rPr>
      </w:pPr>
      <w:r>
        <w:rPr>
          <w:rFonts w:hint="eastAsia" w:ascii="宋体" w:hAnsi="宋体"/>
          <w:highlight w:val="none"/>
        </w:rPr>
        <w:t>协助建立超时工单申诉管理机制，明确申诉受理条件与处理流程，规范超时工单的申诉材料提交、审核反馈及结果认定环节，确保申诉处理公平、透明、可追溯。对经核实确因系统故障、不可抗力等非主观因素导致的超时，予以合规豁免并纳入例外台账，避免考核误伤。同步分析申诉案例中的共性问题，降低重复申诉发生率。</w:t>
      </w:r>
    </w:p>
    <w:p w14:paraId="0596DAE1">
      <w:pPr>
        <w:pStyle w:val="5"/>
        <w:ind w:left="0" w:leftChars="0" w:firstLineChars="0"/>
        <w:rPr>
          <w:rFonts w:hAnsi="宋体"/>
          <w:highlight w:val="none"/>
        </w:rPr>
      </w:pPr>
      <w:bookmarkStart w:id="89" w:name="_Toc21538"/>
      <w:r>
        <w:rPr>
          <w:rFonts w:hint="eastAsia" w:hAnsi="宋体"/>
          <w:highlight w:val="none"/>
          <w:lang w:val="en-US" w:eastAsia="zh-CN"/>
        </w:rPr>
        <w:t>业务指标支撑要求</w:t>
      </w:r>
      <w:bookmarkEnd w:id="89"/>
    </w:p>
    <w:p w14:paraId="456A1F73">
      <w:pPr>
        <w:pStyle w:val="2"/>
        <w:pageBreakBefore w:val="0"/>
        <w:kinsoku/>
        <w:wordWrap/>
        <w:overflowPunct/>
        <w:autoSpaceDE/>
        <w:autoSpaceDN/>
        <w:bidi w:val="0"/>
        <w:spacing w:line="360" w:lineRule="auto"/>
        <w:ind w:firstLine="480"/>
        <w:rPr>
          <w:rFonts w:hint="eastAsia" w:hAnsi="宋体"/>
          <w:highlight w:val="none"/>
          <w:lang w:eastAsia="zh-CN"/>
        </w:rPr>
      </w:pPr>
      <w:r>
        <w:rPr>
          <w:rFonts w:hint="eastAsia" w:hAnsi="宋体"/>
          <w:lang w:eastAsia="zh-CN"/>
        </w:rPr>
        <w:t>投标方</w:t>
      </w:r>
      <w:r>
        <w:rPr>
          <w:rFonts w:hint="eastAsia" w:hAnsi="宋体"/>
        </w:rPr>
        <w:t>运营服务须满足以下核心考核指标</w:t>
      </w:r>
      <w:r>
        <w:rPr>
          <w:rFonts w:hint="eastAsia" w:hAnsi="宋体"/>
          <w:lang w:eastAsia="zh-CN"/>
        </w:rPr>
        <w:t>，</w:t>
      </w:r>
      <w:r>
        <w:rPr>
          <w:rFonts w:hint="eastAsia" w:hAnsi="宋体"/>
          <w:lang w:val="en-US" w:eastAsia="zh-CN"/>
        </w:rPr>
        <w:t>自合同生效起30日后的第一个自然月开始正式考核</w:t>
      </w:r>
      <w:r>
        <w:rPr>
          <w:rFonts w:hint="eastAsia" w:hAnsi="宋体"/>
          <w:highlight w:val="none"/>
          <w:lang w:eastAsia="zh-CN"/>
        </w:rPr>
        <w:t>。</w:t>
      </w:r>
    </w:p>
    <w:tbl>
      <w:tblPr>
        <w:tblStyle w:val="24"/>
        <w:tblW w:w="0" w:type="auto"/>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3"/>
        <w:gridCol w:w="2352"/>
        <w:gridCol w:w="5184"/>
      </w:tblGrid>
      <w:tr w14:paraId="3A270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 w:hRule="atLeast"/>
        </w:trPr>
        <w:tc>
          <w:tcPr>
            <w:tcW w:w="8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97DF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35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EBE0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扣分项</w:t>
            </w:r>
          </w:p>
        </w:tc>
        <w:tc>
          <w:tcPr>
            <w:tcW w:w="5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87BE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扣分规则</w:t>
            </w:r>
          </w:p>
        </w:tc>
      </w:tr>
      <w:tr w14:paraId="43BAB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83" w:type="dxa"/>
            <w:tcBorders>
              <w:top w:val="nil"/>
              <w:left w:val="single" w:color="000000" w:sz="8" w:space="0"/>
              <w:bottom w:val="single" w:color="000000" w:sz="8" w:space="0"/>
              <w:right w:val="single" w:color="000000" w:sz="8" w:space="0"/>
            </w:tcBorders>
            <w:shd w:val="clear" w:color="auto" w:fill="auto"/>
            <w:vAlign w:val="center"/>
          </w:tcPr>
          <w:p w14:paraId="0A7591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352" w:type="dxa"/>
            <w:tcBorders>
              <w:top w:val="nil"/>
              <w:left w:val="single" w:color="000000" w:sz="8" w:space="0"/>
              <w:bottom w:val="single" w:color="000000" w:sz="8" w:space="0"/>
              <w:right w:val="single" w:color="000000" w:sz="8" w:space="0"/>
            </w:tcBorders>
            <w:shd w:val="clear" w:color="auto" w:fill="auto"/>
            <w:vAlign w:val="center"/>
          </w:tcPr>
          <w:p w14:paraId="114A0D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质检准确率</w:t>
            </w:r>
          </w:p>
        </w:tc>
        <w:tc>
          <w:tcPr>
            <w:tcW w:w="5184" w:type="dxa"/>
            <w:tcBorders>
              <w:top w:val="nil"/>
              <w:left w:val="single" w:color="000000" w:sz="8" w:space="0"/>
              <w:bottom w:val="single" w:color="000000" w:sz="8" w:space="0"/>
              <w:right w:val="single" w:color="000000" w:sz="8" w:space="0"/>
            </w:tcBorders>
            <w:shd w:val="clear" w:color="auto" w:fill="auto"/>
            <w:vAlign w:val="center"/>
          </w:tcPr>
          <w:p w14:paraId="0D2874E7">
            <w:pPr>
              <w:jc w:val="left"/>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开展服务质量检查存在漏检、误检的</w:t>
            </w:r>
            <w:r>
              <w:rPr>
                <w:rFonts w:hint="eastAsia" w:hAnsi="宋体" w:cs="宋体"/>
                <w:i w:val="0"/>
                <w:iCs w:val="0"/>
                <w:color w:val="000000"/>
                <w:sz w:val="24"/>
                <w:szCs w:val="24"/>
                <w:u w:val="none"/>
                <w:lang w:val="en-US" w:eastAsia="zh-CN"/>
              </w:rPr>
              <w:t>，在</w:t>
            </w:r>
            <w:r>
              <w:rPr>
                <w:rFonts w:hint="eastAsia" w:ascii="宋体" w:hAnsi="宋体" w:eastAsia="宋体" w:cs="宋体"/>
                <w:i w:val="0"/>
                <w:iCs w:val="0"/>
                <w:color w:val="000000"/>
                <w:sz w:val="24"/>
                <w:szCs w:val="24"/>
                <w:u w:val="none"/>
                <w:lang w:val="en-US" w:eastAsia="zh-CN"/>
              </w:rPr>
              <w:t>考核周期内，准确率低于90%时，每下降1%扣1分，最高扣10分。</w:t>
            </w:r>
          </w:p>
        </w:tc>
      </w:tr>
      <w:tr w14:paraId="3C29F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3" w:hRule="atLeast"/>
        </w:trPr>
        <w:tc>
          <w:tcPr>
            <w:tcW w:w="883" w:type="dxa"/>
            <w:tcBorders>
              <w:top w:val="nil"/>
              <w:left w:val="single" w:color="000000" w:sz="8" w:space="0"/>
              <w:bottom w:val="single" w:color="000000" w:sz="8" w:space="0"/>
              <w:right w:val="single" w:color="000000" w:sz="8" w:space="0"/>
            </w:tcBorders>
            <w:shd w:val="clear" w:color="auto" w:fill="auto"/>
            <w:vAlign w:val="center"/>
          </w:tcPr>
          <w:p w14:paraId="4043EC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352" w:type="dxa"/>
            <w:tcBorders>
              <w:top w:val="nil"/>
              <w:left w:val="single" w:color="000000" w:sz="8" w:space="0"/>
              <w:bottom w:val="single" w:color="000000" w:sz="8" w:space="0"/>
              <w:right w:val="single" w:color="000000" w:sz="8" w:space="0"/>
            </w:tcBorders>
            <w:shd w:val="clear" w:color="auto" w:fill="auto"/>
            <w:vAlign w:val="center"/>
          </w:tcPr>
          <w:p w14:paraId="446940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有责投诉</w:t>
            </w:r>
          </w:p>
        </w:tc>
        <w:tc>
          <w:tcPr>
            <w:tcW w:w="5184" w:type="dxa"/>
            <w:tcBorders>
              <w:top w:val="nil"/>
              <w:left w:val="single" w:color="000000" w:sz="8" w:space="0"/>
              <w:bottom w:val="single" w:color="000000" w:sz="8" w:space="0"/>
              <w:right w:val="single" w:color="000000" w:sz="8" w:space="0"/>
            </w:tcBorders>
            <w:shd w:val="clear" w:color="auto" w:fill="auto"/>
            <w:vAlign w:val="center"/>
          </w:tcPr>
          <w:p w14:paraId="46FC2A2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用户通过人工服务、自助工单等方式投诉满意度调查人员，经判定，责任属于调查</w:t>
            </w:r>
            <w:r>
              <w:rPr>
                <w:rFonts w:hint="eastAsia" w:hAnsi="宋体" w:cs="宋体"/>
                <w:i w:val="0"/>
                <w:iCs w:val="0"/>
                <w:color w:val="000000"/>
                <w:kern w:val="0"/>
                <w:sz w:val="24"/>
                <w:szCs w:val="24"/>
                <w:u w:val="none"/>
                <w:lang w:val="en-US" w:eastAsia="zh-CN" w:bidi="ar"/>
              </w:rPr>
              <w:t>人员</w:t>
            </w:r>
            <w:r>
              <w:rPr>
                <w:rFonts w:hint="eastAsia" w:ascii="宋体" w:hAnsi="宋体" w:eastAsia="宋体" w:cs="宋体"/>
                <w:i w:val="0"/>
                <w:iCs w:val="0"/>
                <w:color w:val="000000"/>
                <w:kern w:val="0"/>
                <w:sz w:val="24"/>
                <w:szCs w:val="24"/>
                <w:u w:val="none"/>
                <w:lang w:val="en-US" w:eastAsia="zh-CN" w:bidi="ar"/>
              </w:rPr>
              <w:t>的，扣1分。</w:t>
            </w:r>
          </w:p>
        </w:tc>
      </w:tr>
      <w:tr w14:paraId="408F6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 w:hRule="atLeast"/>
        </w:trPr>
        <w:tc>
          <w:tcPr>
            <w:tcW w:w="883" w:type="dxa"/>
            <w:tcBorders>
              <w:top w:val="nil"/>
              <w:left w:val="single" w:color="000000" w:sz="8" w:space="0"/>
              <w:bottom w:val="single" w:color="000000" w:sz="8" w:space="0"/>
              <w:right w:val="single" w:color="000000" w:sz="8" w:space="0"/>
            </w:tcBorders>
            <w:shd w:val="clear" w:color="auto" w:fill="auto"/>
            <w:vAlign w:val="center"/>
          </w:tcPr>
          <w:p w14:paraId="6524EB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352" w:type="dxa"/>
            <w:tcBorders>
              <w:top w:val="nil"/>
              <w:left w:val="single" w:color="000000" w:sz="8" w:space="0"/>
              <w:bottom w:val="single" w:color="000000" w:sz="8" w:space="0"/>
              <w:right w:val="single" w:color="000000" w:sz="8" w:space="0"/>
            </w:tcBorders>
            <w:shd w:val="clear" w:color="auto" w:fill="auto"/>
            <w:vAlign w:val="center"/>
          </w:tcPr>
          <w:p w14:paraId="136ED7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升级投诉</w:t>
            </w:r>
          </w:p>
        </w:tc>
        <w:tc>
          <w:tcPr>
            <w:tcW w:w="5184" w:type="dxa"/>
            <w:tcBorders>
              <w:top w:val="nil"/>
              <w:left w:val="single" w:color="000000" w:sz="8" w:space="0"/>
              <w:bottom w:val="single" w:color="000000" w:sz="8" w:space="0"/>
              <w:right w:val="single" w:color="000000" w:sz="8" w:space="0"/>
            </w:tcBorders>
            <w:shd w:val="clear" w:color="auto" w:fill="auto"/>
            <w:vAlign w:val="center"/>
          </w:tcPr>
          <w:p w14:paraId="1AB280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用户经本单位数字化部或网公司数字化部，对满意度调查人员进行升级投诉，经判定，责任属于</w:t>
            </w:r>
            <w:r>
              <w:rPr>
                <w:rFonts w:hint="eastAsia" w:hAnsi="宋体" w:cs="宋体"/>
                <w:i w:val="0"/>
                <w:iCs w:val="0"/>
                <w:color w:val="000000"/>
                <w:kern w:val="0"/>
                <w:sz w:val="24"/>
                <w:szCs w:val="24"/>
                <w:u w:val="none"/>
                <w:lang w:val="en-US" w:eastAsia="zh-CN" w:bidi="ar"/>
              </w:rPr>
              <w:t>调查人员</w:t>
            </w:r>
            <w:r>
              <w:rPr>
                <w:rFonts w:hint="eastAsia" w:ascii="宋体" w:hAnsi="宋体" w:eastAsia="宋体" w:cs="宋体"/>
                <w:i w:val="0"/>
                <w:iCs w:val="0"/>
                <w:color w:val="000000"/>
                <w:kern w:val="0"/>
                <w:sz w:val="24"/>
                <w:szCs w:val="24"/>
                <w:u w:val="none"/>
                <w:lang w:val="en-US" w:eastAsia="zh-CN" w:bidi="ar"/>
              </w:rPr>
              <w:t>的，扣5分。（有责投诉与升级投诉属同一事项的，只扣升级投诉部分）</w:t>
            </w:r>
          </w:p>
        </w:tc>
      </w:tr>
      <w:tr w14:paraId="06521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83" w:type="dxa"/>
            <w:tcBorders>
              <w:top w:val="nil"/>
              <w:left w:val="single" w:color="000000" w:sz="8" w:space="0"/>
              <w:bottom w:val="single" w:color="000000" w:sz="8" w:space="0"/>
              <w:right w:val="single" w:color="000000" w:sz="8" w:space="0"/>
            </w:tcBorders>
            <w:shd w:val="clear" w:color="auto" w:fill="auto"/>
            <w:vAlign w:val="center"/>
          </w:tcPr>
          <w:p w14:paraId="6C7730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352" w:type="dxa"/>
            <w:tcBorders>
              <w:top w:val="nil"/>
              <w:left w:val="single" w:color="000000" w:sz="8" w:space="0"/>
              <w:bottom w:val="single" w:color="000000" w:sz="8" w:space="0"/>
              <w:right w:val="single" w:color="000000" w:sz="8" w:space="0"/>
            </w:tcBorders>
            <w:shd w:val="clear" w:color="auto" w:fill="auto"/>
            <w:vAlign w:val="center"/>
          </w:tcPr>
          <w:p w14:paraId="46C377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信息安全</w:t>
            </w:r>
          </w:p>
        </w:tc>
        <w:tc>
          <w:tcPr>
            <w:tcW w:w="5184" w:type="dxa"/>
            <w:tcBorders>
              <w:top w:val="nil"/>
              <w:left w:val="single" w:color="000000" w:sz="8" w:space="0"/>
              <w:bottom w:val="single" w:color="000000" w:sz="8" w:space="0"/>
              <w:right w:val="single" w:color="000000" w:sz="8" w:space="0"/>
            </w:tcBorders>
            <w:shd w:val="clear" w:color="auto" w:fill="auto"/>
            <w:vAlign w:val="center"/>
          </w:tcPr>
          <w:p w14:paraId="69ACBF7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满意度调查人员将用户信息（包</w:t>
            </w:r>
            <w:r>
              <w:rPr>
                <w:rFonts w:hint="eastAsia" w:hAnsi="宋体" w:cs="宋体"/>
                <w:i w:val="0"/>
                <w:iCs w:val="0"/>
                <w:color w:val="000000"/>
                <w:kern w:val="0"/>
                <w:sz w:val="24"/>
                <w:szCs w:val="24"/>
                <w:u w:val="none"/>
                <w:lang w:val="en-US" w:eastAsia="zh-CN" w:bidi="ar"/>
              </w:rPr>
              <w:t>括但</w:t>
            </w:r>
            <w:r>
              <w:rPr>
                <w:rFonts w:hint="eastAsia" w:ascii="宋体" w:hAnsi="宋体" w:eastAsia="宋体" w:cs="宋体"/>
                <w:i w:val="0"/>
                <w:iCs w:val="0"/>
                <w:color w:val="000000"/>
                <w:kern w:val="0"/>
                <w:sz w:val="24"/>
                <w:szCs w:val="24"/>
                <w:u w:val="none"/>
                <w:lang w:val="en-US" w:eastAsia="zh-CN" w:bidi="ar"/>
              </w:rPr>
              <w:t>不限于：姓名、手机号码/座机号码、职务、所属单位、工作地址等）以截图、录屏、拷贝等方式泄露至互联网渠道的，经判定属实的，扣10分。</w:t>
            </w:r>
          </w:p>
        </w:tc>
      </w:tr>
    </w:tbl>
    <w:p w14:paraId="07886420">
      <w:pPr>
        <w:pStyle w:val="2"/>
        <w:pageBreakBefore w:val="0"/>
        <w:kinsoku/>
        <w:wordWrap/>
        <w:overflowPunct/>
        <w:autoSpaceDE/>
        <w:autoSpaceDN/>
        <w:bidi w:val="0"/>
        <w:spacing w:line="360" w:lineRule="auto"/>
        <w:rPr>
          <w:rFonts w:ascii="宋体" w:hAnsi="宋体" w:eastAsia="宋体" w:cs="宋体"/>
          <w:kern w:val="0"/>
          <w:sz w:val="24"/>
          <w:szCs w:val="24"/>
          <w:lang w:val="en-US" w:eastAsia="zh-CN" w:bidi="ar"/>
        </w:rPr>
      </w:pPr>
    </w:p>
    <w:p w14:paraId="45E828C9">
      <w:pPr>
        <w:pStyle w:val="2"/>
        <w:pageBreakBefore w:val="0"/>
        <w:kinsoku/>
        <w:wordWrap/>
        <w:overflowPunct/>
        <w:autoSpaceDE/>
        <w:autoSpaceDN/>
        <w:bidi w:val="0"/>
        <w:spacing w:line="360" w:lineRule="auto"/>
        <w:rPr>
          <w:rFonts w:hint="eastAsia" w:eastAsia="宋体"/>
          <w:highlight w:val="none"/>
          <w:lang w:eastAsia="zh-CN"/>
        </w:rPr>
      </w:pPr>
      <w:r>
        <w:rPr>
          <w:rFonts w:ascii="宋体" w:hAnsi="宋体" w:eastAsia="宋体" w:cs="宋体"/>
          <w:kern w:val="0"/>
          <w:sz w:val="24"/>
          <w:szCs w:val="24"/>
          <w:lang w:val="en-US" w:eastAsia="zh-CN" w:bidi="ar"/>
        </w:rPr>
        <w:t>考核得分与项目支付扣罚比例挂钩</w:t>
      </w:r>
      <w:r>
        <w:rPr>
          <w:rFonts w:hint="eastAsia" w:hAnsi="宋体" w:cs="宋体"/>
          <w:kern w:val="0"/>
          <w:sz w:val="24"/>
          <w:szCs w:val="24"/>
          <w:lang w:val="en-US" w:eastAsia="zh-CN" w:bidi="ar"/>
        </w:rPr>
        <w:t>，在</w:t>
      </w:r>
      <w:r>
        <w:rPr>
          <w:rFonts w:ascii="宋体" w:hAnsi="宋体" w:eastAsia="宋体" w:cs="宋体"/>
          <w:kern w:val="0"/>
          <w:sz w:val="24"/>
          <w:szCs w:val="24"/>
          <w:lang w:val="en-US" w:eastAsia="zh-CN" w:bidi="ar"/>
        </w:rPr>
        <w:t>终验款项</w:t>
      </w:r>
      <w:r>
        <w:rPr>
          <w:rFonts w:hint="eastAsia" w:hAnsi="宋体" w:cs="宋体"/>
          <w:kern w:val="0"/>
          <w:sz w:val="24"/>
          <w:szCs w:val="24"/>
          <w:lang w:val="en-US" w:eastAsia="zh-CN" w:bidi="ar"/>
        </w:rPr>
        <w:t>支付阶段统一扣罚</w:t>
      </w:r>
      <w:r>
        <w:rPr>
          <w:rFonts w:ascii="宋体" w:hAnsi="宋体" w:eastAsia="宋体" w:cs="宋体"/>
          <w:kern w:val="0"/>
          <w:sz w:val="24"/>
          <w:szCs w:val="24"/>
          <w:lang w:val="en-US" w:eastAsia="zh-CN" w:bidi="ar"/>
        </w:rPr>
        <w:t>，具体扣罚标准如下</w:t>
      </w:r>
      <w:r>
        <w:rPr>
          <w:rFonts w:hint="eastAsia"/>
          <w:highlight w:val="none"/>
        </w:rPr>
        <w:t>：</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6"/>
        <w:gridCol w:w="3536"/>
      </w:tblGrid>
      <w:tr w14:paraId="04C6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6" w:type="dxa"/>
            <w:vAlign w:val="center"/>
          </w:tcPr>
          <w:p w14:paraId="7C6209D4">
            <w:pPr>
              <w:pStyle w:val="2"/>
              <w:pageBreakBefore w:val="0"/>
              <w:kinsoku/>
              <w:wordWrap/>
              <w:overflowPunct/>
              <w:autoSpaceDE/>
              <w:autoSpaceDN/>
              <w:bidi w:val="0"/>
              <w:spacing w:line="360" w:lineRule="auto"/>
              <w:jc w:val="center"/>
              <w:rPr>
                <w:rFonts w:hint="default"/>
                <w:b/>
                <w:bCs/>
                <w:highlight w:val="none"/>
                <w:vertAlign w:val="baseline"/>
                <w:lang w:val="en-US" w:eastAsia="zh-CN"/>
              </w:rPr>
            </w:pPr>
            <w:r>
              <w:rPr>
                <w:rFonts w:hint="eastAsia"/>
                <w:b/>
                <w:bCs/>
                <w:highlight w:val="none"/>
                <w:vertAlign w:val="baseline"/>
                <w:lang w:val="en-US" w:eastAsia="zh-CN"/>
              </w:rPr>
              <w:t>考核得分</w:t>
            </w:r>
          </w:p>
        </w:tc>
        <w:tc>
          <w:tcPr>
            <w:tcW w:w="3536" w:type="dxa"/>
            <w:vAlign w:val="center"/>
          </w:tcPr>
          <w:p w14:paraId="603D5EC0">
            <w:pPr>
              <w:pStyle w:val="2"/>
              <w:pageBreakBefore w:val="0"/>
              <w:kinsoku/>
              <w:wordWrap/>
              <w:overflowPunct/>
              <w:autoSpaceDE/>
              <w:autoSpaceDN/>
              <w:bidi w:val="0"/>
              <w:spacing w:line="360" w:lineRule="auto"/>
              <w:jc w:val="center"/>
              <w:rPr>
                <w:rFonts w:hint="default"/>
                <w:b/>
                <w:bCs/>
                <w:highlight w:val="none"/>
                <w:vertAlign w:val="baseline"/>
                <w:lang w:val="en-US" w:eastAsia="zh-CN"/>
              </w:rPr>
            </w:pPr>
            <w:r>
              <w:rPr>
                <w:rFonts w:hint="eastAsia"/>
                <w:b/>
                <w:bCs/>
                <w:highlight w:val="none"/>
                <w:vertAlign w:val="baseline"/>
                <w:lang w:val="en-US" w:eastAsia="zh-CN"/>
              </w:rPr>
              <w:t>扣罚比例</w:t>
            </w:r>
          </w:p>
        </w:tc>
      </w:tr>
      <w:tr w14:paraId="2C6C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6" w:type="dxa"/>
            <w:vAlign w:val="center"/>
          </w:tcPr>
          <w:p w14:paraId="2BCFB73C">
            <w:pPr>
              <w:pStyle w:val="2"/>
              <w:pageBreakBefore w:val="0"/>
              <w:kinsoku/>
              <w:wordWrap/>
              <w:overflowPunct/>
              <w:autoSpaceDE/>
              <w:autoSpaceDN/>
              <w:bidi w:val="0"/>
              <w:spacing w:line="360" w:lineRule="auto"/>
              <w:jc w:val="center"/>
              <w:rPr>
                <w:rFonts w:hint="eastAsia"/>
                <w:highlight w:val="none"/>
                <w:vertAlign w:val="baseline"/>
                <w:lang w:eastAsia="zh-CN"/>
              </w:rPr>
            </w:pPr>
            <w:r>
              <w:rPr>
                <w:rFonts w:hint="eastAsia"/>
                <w:highlight w:val="none"/>
                <w:vertAlign w:val="baseline"/>
                <w:lang w:eastAsia="zh-CN"/>
              </w:rPr>
              <w:t>≥9</w:t>
            </w:r>
            <w:r>
              <w:rPr>
                <w:rFonts w:hint="eastAsia"/>
                <w:highlight w:val="none"/>
                <w:vertAlign w:val="baseline"/>
                <w:lang w:val="en-US" w:eastAsia="zh-CN"/>
              </w:rPr>
              <w:t>5</w:t>
            </w:r>
            <w:r>
              <w:rPr>
                <w:rFonts w:hint="eastAsia"/>
                <w:highlight w:val="none"/>
                <w:vertAlign w:val="baseline"/>
                <w:lang w:eastAsia="zh-CN"/>
              </w:rPr>
              <w:t>分</w:t>
            </w:r>
          </w:p>
        </w:tc>
        <w:tc>
          <w:tcPr>
            <w:tcW w:w="3536" w:type="dxa"/>
            <w:vAlign w:val="center"/>
          </w:tcPr>
          <w:p w14:paraId="1A59FB0D">
            <w:pPr>
              <w:pStyle w:val="2"/>
              <w:pageBreakBefore w:val="0"/>
              <w:kinsoku/>
              <w:wordWrap/>
              <w:overflowPunct/>
              <w:autoSpaceDE/>
              <w:autoSpaceDN/>
              <w:bidi w:val="0"/>
              <w:spacing w:line="360" w:lineRule="auto"/>
              <w:jc w:val="center"/>
              <w:rPr>
                <w:rFonts w:hint="default"/>
                <w:highlight w:val="none"/>
                <w:vertAlign w:val="baseline"/>
                <w:lang w:val="en-US" w:eastAsia="zh-CN"/>
              </w:rPr>
            </w:pPr>
            <w:r>
              <w:rPr>
                <w:rFonts w:hint="eastAsia"/>
                <w:highlight w:val="none"/>
                <w:vertAlign w:val="baseline"/>
                <w:lang w:val="en-US" w:eastAsia="zh-CN"/>
              </w:rPr>
              <w:t>0%</w:t>
            </w:r>
          </w:p>
        </w:tc>
      </w:tr>
      <w:tr w14:paraId="26BD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6" w:type="dxa"/>
            <w:vAlign w:val="center"/>
          </w:tcPr>
          <w:p w14:paraId="5F201B41">
            <w:pPr>
              <w:pStyle w:val="2"/>
              <w:pageBreakBefore w:val="0"/>
              <w:kinsoku/>
              <w:wordWrap/>
              <w:overflowPunct/>
              <w:autoSpaceDE/>
              <w:autoSpaceDN/>
              <w:bidi w:val="0"/>
              <w:spacing w:line="360" w:lineRule="auto"/>
              <w:jc w:val="center"/>
              <w:rPr>
                <w:rFonts w:hint="eastAsia"/>
                <w:highlight w:val="none"/>
                <w:vertAlign w:val="baseline"/>
                <w:lang w:eastAsia="zh-CN"/>
              </w:rPr>
            </w:pPr>
            <w:r>
              <w:rPr>
                <w:rFonts w:hint="eastAsia"/>
                <w:highlight w:val="none"/>
                <w:vertAlign w:val="baseline"/>
                <w:lang w:eastAsia="zh-CN"/>
              </w:rPr>
              <w:t>90分≤得分&lt;9</w:t>
            </w:r>
            <w:r>
              <w:rPr>
                <w:rFonts w:hint="eastAsia"/>
                <w:highlight w:val="none"/>
                <w:vertAlign w:val="baseline"/>
                <w:lang w:val="en-US" w:eastAsia="zh-CN"/>
              </w:rPr>
              <w:t>5</w:t>
            </w:r>
            <w:r>
              <w:rPr>
                <w:rFonts w:hint="eastAsia"/>
                <w:highlight w:val="none"/>
                <w:vertAlign w:val="baseline"/>
                <w:lang w:eastAsia="zh-CN"/>
              </w:rPr>
              <w:t>分</w:t>
            </w:r>
          </w:p>
        </w:tc>
        <w:tc>
          <w:tcPr>
            <w:tcW w:w="3536" w:type="dxa"/>
            <w:vAlign w:val="center"/>
          </w:tcPr>
          <w:p w14:paraId="6A19F51E">
            <w:pPr>
              <w:pStyle w:val="2"/>
              <w:pageBreakBefore w:val="0"/>
              <w:kinsoku/>
              <w:wordWrap/>
              <w:overflowPunct/>
              <w:autoSpaceDE/>
              <w:autoSpaceDN/>
              <w:bidi w:val="0"/>
              <w:spacing w:line="360" w:lineRule="auto"/>
              <w:jc w:val="center"/>
              <w:rPr>
                <w:rFonts w:hint="default"/>
                <w:highlight w:val="none"/>
                <w:vertAlign w:val="baseline"/>
                <w:lang w:val="en-US" w:eastAsia="zh-CN"/>
              </w:rPr>
            </w:pPr>
            <w:r>
              <w:rPr>
                <w:rFonts w:hint="eastAsia"/>
                <w:highlight w:val="none"/>
                <w:vertAlign w:val="baseline"/>
                <w:lang w:val="en-US" w:eastAsia="zh-CN"/>
              </w:rPr>
              <w:t>2%</w:t>
            </w:r>
          </w:p>
        </w:tc>
      </w:tr>
      <w:tr w14:paraId="4486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6" w:type="dxa"/>
            <w:vAlign w:val="center"/>
          </w:tcPr>
          <w:p w14:paraId="50313C98">
            <w:pPr>
              <w:pStyle w:val="2"/>
              <w:pageBreakBefore w:val="0"/>
              <w:kinsoku/>
              <w:wordWrap/>
              <w:overflowPunct/>
              <w:autoSpaceDE/>
              <w:autoSpaceDN/>
              <w:bidi w:val="0"/>
              <w:spacing w:line="360" w:lineRule="auto"/>
              <w:jc w:val="center"/>
              <w:rPr>
                <w:rFonts w:hint="eastAsia"/>
                <w:highlight w:val="none"/>
                <w:vertAlign w:val="baseline"/>
                <w:lang w:eastAsia="zh-CN"/>
              </w:rPr>
            </w:pPr>
            <w:r>
              <w:rPr>
                <w:rFonts w:hint="eastAsia"/>
                <w:highlight w:val="none"/>
                <w:vertAlign w:val="baseline"/>
                <w:lang w:eastAsia="zh-CN"/>
              </w:rPr>
              <w:t>80分≤得分&lt;90分</w:t>
            </w:r>
          </w:p>
        </w:tc>
        <w:tc>
          <w:tcPr>
            <w:tcW w:w="3536" w:type="dxa"/>
            <w:vAlign w:val="center"/>
          </w:tcPr>
          <w:p w14:paraId="6647AE4D">
            <w:pPr>
              <w:pStyle w:val="2"/>
              <w:pageBreakBefore w:val="0"/>
              <w:kinsoku/>
              <w:wordWrap/>
              <w:overflowPunct/>
              <w:autoSpaceDE/>
              <w:autoSpaceDN/>
              <w:bidi w:val="0"/>
              <w:spacing w:line="360" w:lineRule="auto"/>
              <w:jc w:val="center"/>
              <w:rPr>
                <w:rFonts w:hint="default"/>
                <w:highlight w:val="none"/>
                <w:vertAlign w:val="baseline"/>
                <w:lang w:val="en-US" w:eastAsia="zh-CN"/>
              </w:rPr>
            </w:pPr>
            <w:r>
              <w:rPr>
                <w:rFonts w:hint="eastAsia"/>
                <w:highlight w:val="none"/>
                <w:vertAlign w:val="baseline"/>
                <w:lang w:val="en-US" w:eastAsia="zh-CN"/>
              </w:rPr>
              <w:t>4%</w:t>
            </w:r>
          </w:p>
        </w:tc>
      </w:tr>
      <w:tr w14:paraId="40867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6" w:type="dxa"/>
            <w:vAlign w:val="center"/>
          </w:tcPr>
          <w:p w14:paraId="2935C1DC">
            <w:pPr>
              <w:pStyle w:val="2"/>
              <w:pageBreakBefore w:val="0"/>
              <w:kinsoku/>
              <w:wordWrap/>
              <w:overflowPunct/>
              <w:autoSpaceDE/>
              <w:autoSpaceDN/>
              <w:bidi w:val="0"/>
              <w:spacing w:line="360" w:lineRule="auto"/>
              <w:jc w:val="center"/>
              <w:rPr>
                <w:rFonts w:hint="eastAsia"/>
                <w:highlight w:val="none"/>
                <w:vertAlign w:val="baseline"/>
                <w:lang w:eastAsia="zh-CN"/>
              </w:rPr>
            </w:pPr>
            <w:r>
              <w:rPr>
                <w:rFonts w:hint="eastAsia"/>
                <w:highlight w:val="none"/>
                <w:vertAlign w:val="baseline"/>
                <w:lang w:eastAsia="zh-CN"/>
              </w:rPr>
              <w:t>70分≤得分&lt;80分</w:t>
            </w:r>
          </w:p>
        </w:tc>
        <w:tc>
          <w:tcPr>
            <w:tcW w:w="3536" w:type="dxa"/>
            <w:vAlign w:val="center"/>
          </w:tcPr>
          <w:p w14:paraId="087E394F">
            <w:pPr>
              <w:pStyle w:val="2"/>
              <w:pageBreakBefore w:val="0"/>
              <w:kinsoku/>
              <w:wordWrap/>
              <w:overflowPunct/>
              <w:autoSpaceDE/>
              <w:autoSpaceDN/>
              <w:bidi w:val="0"/>
              <w:spacing w:line="360" w:lineRule="auto"/>
              <w:jc w:val="center"/>
              <w:rPr>
                <w:rFonts w:hint="default"/>
                <w:highlight w:val="none"/>
                <w:vertAlign w:val="baseline"/>
                <w:lang w:val="en-US" w:eastAsia="zh-CN"/>
              </w:rPr>
            </w:pPr>
            <w:r>
              <w:rPr>
                <w:rFonts w:hint="eastAsia"/>
                <w:highlight w:val="none"/>
                <w:vertAlign w:val="baseline"/>
                <w:lang w:val="en-US" w:eastAsia="zh-CN"/>
              </w:rPr>
              <w:t>6%</w:t>
            </w:r>
          </w:p>
        </w:tc>
      </w:tr>
      <w:tr w14:paraId="450D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986" w:type="dxa"/>
            <w:vAlign w:val="center"/>
          </w:tcPr>
          <w:p w14:paraId="69063A4E">
            <w:pPr>
              <w:pStyle w:val="2"/>
              <w:pageBreakBefore w:val="0"/>
              <w:kinsoku/>
              <w:wordWrap/>
              <w:overflowPunct/>
              <w:autoSpaceDE/>
              <w:autoSpaceDN/>
              <w:bidi w:val="0"/>
              <w:spacing w:line="360" w:lineRule="auto"/>
              <w:jc w:val="center"/>
              <w:rPr>
                <w:rFonts w:hint="eastAsia"/>
                <w:highlight w:val="none"/>
                <w:vertAlign w:val="baseline"/>
                <w:lang w:eastAsia="zh-CN"/>
              </w:rPr>
            </w:pPr>
            <w:r>
              <w:rPr>
                <w:rFonts w:hint="eastAsia"/>
                <w:highlight w:val="none"/>
                <w:vertAlign w:val="baseline"/>
                <w:lang w:eastAsia="zh-CN"/>
              </w:rPr>
              <w:t>60分≤得分&lt;70分</w:t>
            </w:r>
          </w:p>
        </w:tc>
        <w:tc>
          <w:tcPr>
            <w:tcW w:w="3536" w:type="dxa"/>
            <w:vAlign w:val="center"/>
          </w:tcPr>
          <w:p w14:paraId="0138024F">
            <w:pPr>
              <w:pStyle w:val="2"/>
              <w:pageBreakBefore w:val="0"/>
              <w:kinsoku/>
              <w:wordWrap/>
              <w:overflowPunct/>
              <w:autoSpaceDE/>
              <w:autoSpaceDN/>
              <w:bidi w:val="0"/>
              <w:spacing w:line="360" w:lineRule="auto"/>
              <w:jc w:val="center"/>
              <w:rPr>
                <w:rFonts w:hint="default"/>
                <w:highlight w:val="none"/>
                <w:vertAlign w:val="baseline"/>
                <w:lang w:val="en-US" w:eastAsia="zh-CN"/>
              </w:rPr>
            </w:pPr>
            <w:r>
              <w:rPr>
                <w:rFonts w:hint="eastAsia"/>
                <w:highlight w:val="none"/>
                <w:vertAlign w:val="baseline"/>
                <w:lang w:val="en-US" w:eastAsia="zh-CN"/>
              </w:rPr>
              <w:t>8%</w:t>
            </w:r>
          </w:p>
        </w:tc>
      </w:tr>
      <w:tr w14:paraId="1D599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6" w:type="dxa"/>
            <w:vAlign w:val="center"/>
          </w:tcPr>
          <w:p w14:paraId="50890BF0">
            <w:pPr>
              <w:pStyle w:val="2"/>
              <w:pageBreakBefore w:val="0"/>
              <w:kinsoku/>
              <w:wordWrap/>
              <w:overflowPunct/>
              <w:autoSpaceDE/>
              <w:autoSpaceDN/>
              <w:bidi w:val="0"/>
              <w:spacing w:line="360" w:lineRule="auto"/>
              <w:jc w:val="center"/>
              <w:rPr>
                <w:rFonts w:hint="eastAsia"/>
                <w:highlight w:val="none"/>
                <w:vertAlign w:val="baseline"/>
                <w:lang w:eastAsia="zh-CN"/>
              </w:rPr>
            </w:pPr>
            <w:r>
              <w:rPr>
                <w:rFonts w:hint="eastAsia"/>
                <w:highlight w:val="none"/>
                <w:vertAlign w:val="baseline"/>
                <w:lang w:eastAsia="zh-CN"/>
              </w:rPr>
              <w:t>&lt;60分</w:t>
            </w:r>
          </w:p>
        </w:tc>
        <w:tc>
          <w:tcPr>
            <w:tcW w:w="3536" w:type="dxa"/>
            <w:vAlign w:val="center"/>
          </w:tcPr>
          <w:p w14:paraId="1C369287">
            <w:pPr>
              <w:pStyle w:val="2"/>
              <w:pageBreakBefore w:val="0"/>
              <w:kinsoku/>
              <w:wordWrap/>
              <w:overflowPunct/>
              <w:autoSpaceDE/>
              <w:autoSpaceDN/>
              <w:bidi w:val="0"/>
              <w:spacing w:line="360" w:lineRule="auto"/>
              <w:jc w:val="center"/>
              <w:rPr>
                <w:rFonts w:hint="default"/>
                <w:highlight w:val="none"/>
                <w:vertAlign w:val="baseline"/>
                <w:lang w:val="en-US" w:eastAsia="zh-CN"/>
              </w:rPr>
            </w:pPr>
            <w:r>
              <w:rPr>
                <w:rFonts w:hint="eastAsia"/>
                <w:highlight w:val="none"/>
                <w:vertAlign w:val="baseline"/>
                <w:lang w:val="en-US" w:eastAsia="zh-CN"/>
              </w:rPr>
              <w:t>10%</w:t>
            </w:r>
          </w:p>
        </w:tc>
      </w:tr>
    </w:tbl>
    <w:p w14:paraId="568350CD">
      <w:pPr>
        <w:pStyle w:val="2"/>
        <w:spacing w:before="100" w:after="100" w:line="360" w:lineRule="auto"/>
        <w:ind w:left="533" w:hangingChars="177"/>
        <w:jc w:val="left"/>
        <w:rPr>
          <w:rFonts w:hint="eastAsia" w:ascii="宋体" w:eastAsia="宋体" w:cstheme="minorBidi"/>
          <w:highlight w:val="none"/>
        </w:rPr>
      </w:pPr>
      <w:bookmarkStart w:id="90" w:name="_Toc368942677"/>
      <w:bookmarkStart w:id="91" w:name="_Toc1585701899"/>
      <w:bookmarkStart w:id="92" w:name="_Toc371584702"/>
      <w:bookmarkStart w:id="93" w:name="_Toc255494455"/>
      <w:bookmarkStart w:id="94" w:name="_Toc381965711"/>
      <w:bookmarkStart w:id="95" w:name="_Toc1994494220"/>
      <w:bookmarkStart w:id="96" w:name="_Toc76544304"/>
      <w:bookmarkStart w:id="97" w:name="_Toc376516497"/>
      <w:bookmarkStart w:id="98" w:name="_Toc7835"/>
      <w:bookmarkStart w:id="99" w:name="_Toc816111677"/>
      <w:r>
        <w:rPr>
          <w:rFonts w:hint="eastAsia" w:cstheme="minorBidi"/>
          <w:highlight w:val="none"/>
          <w:lang w:val="en-US" w:eastAsia="zh-CN"/>
        </w:rPr>
        <w:t>终验款</w:t>
      </w:r>
      <w:r>
        <w:rPr>
          <w:rFonts w:hint="eastAsia" w:ascii="宋体" w:eastAsia="宋体" w:cstheme="minorBidi"/>
          <w:highlight w:val="none"/>
        </w:rPr>
        <w:t xml:space="preserve">应扣罚金额 = </w:t>
      </w:r>
      <w:r>
        <w:rPr>
          <w:rFonts w:hint="eastAsia" w:cstheme="minorBidi"/>
          <w:highlight w:val="none"/>
          <w:lang w:val="en-US" w:eastAsia="zh-CN"/>
        </w:rPr>
        <w:t>合同总金额</w:t>
      </w:r>
      <w:r>
        <w:rPr>
          <w:rFonts w:hint="eastAsia" w:ascii="宋体" w:eastAsia="宋体" w:cstheme="minorBidi"/>
          <w:highlight w:val="none"/>
        </w:rPr>
        <w:t xml:space="preserve"> × 扣罚比例</w:t>
      </w:r>
    </w:p>
    <w:p w14:paraId="1A42E958">
      <w:pPr>
        <w:pStyle w:val="5"/>
        <w:spacing w:before="100" w:after="100" w:line="560" w:lineRule="exact"/>
        <w:ind w:left="533" w:leftChars="0" w:hanging="532" w:firstLineChars="0"/>
        <w:jc w:val="left"/>
        <w:rPr>
          <w:rFonts w:asciiTheme="minorEastAsia" w:eastAsiaTheme="minorEastAsia" w:cstheme="minorEastAsia"/>
        </w:rPr>
      </w:pPr>
      <w:bookmarkStart w:id="100" w:name="_Toc7586"/>
      <w:r>
        <w:rPr>
          <w:rFonts w:hint="eastAsia" w:asciiTheme="minorEastAsia" w:eastAsiaTheme="minorEastAsia" w:cstheme="minorEastAsia"/>
        </w:rPr>
        <w:t>信息管理要求</w:t>
      </w:r>
      <w:bookmarkEnd w:id="90"/>
      <w:bookmarkEnd w:id="91"/>
      <w:bookmarkEnd w:id="92"/>
      <w:bookmarkEnd w:id="93"/>
      <w:bookmarkEnd w:id="94"/>
      <w:bookmarkEnd w:id="95"/>
      <w:bookmarkEnd w:id="96"/>
      <w:bookmarkEnd w:id="97"/>
      <w:bookmarkEnd w:id="98"/>
      <w:bookmarkEnd w:id="99"/>
      <w:bookmarkEnd w:id="100"/>
    </w:p>
    <w:p w14:paraId="40697BEF">
      <w:pPr>
        <w:spacing w:before="163" w:beforeLines="50" w:after="163" w:afterLines="50"/>
        <w:ind w:firstLine="480"/>
        <w:rPr>
          <w:rFonts w:hAnsi="宋体"/>
          <w:highlight w:val="none"/>
        </w:rPr>
      </w:pPr>
      <w:r>
        <w:rPr>
          <w:rFonts w:hint="eastAsia" w:hAnsi="宋体"/>
        </w:rPr>
        <w:t>1、投标方应规范各方文档，并负责整理、记录、归档</w:t>
      </w:r>
      <w:r>
        <w:rPr>
          <w:rFonts w:hint="eastAsia" w:hAnsi="宋体"/>
          <w:highlight w:val="none"/>
        </w:rPr>
        <w:t>投标方与招标方来往的文件、合同、协议及会议记录等各种文档，并定期以报告（周/月）及时提交招标方。</w:t>
      </w:r>
    </w:p>
    <w:p w14:paraId="265BFFFF">
      <w:pPr>
        <w:spacing w:before="163" w:beforeLines="50" w:after="163" w:afterLines="50"/>
        <w:ind w:firstLine="480"/>
        <w:rPr>
          <w:rFonts w:hAnsi="宋体"/>
          <w:highlight w:val="none"/>
        </w:rPr>
      </w:pPr>
      <w:r>
        <w:rPr>
          <w:rFonts w:hint="eastAsia" w:hAnsi="宋体"/>
          <w:highlight w:val="none"/>
        </w:rPr>
        <w:t>2、投标方应针对项目特点，制定相应的信息分类表、信息管理表格、信息管理工作流程与措施，同时要求采用先进的项目信息管理软件对项目信息进行综合管理。</w:t>
      </w:r>
    </w:p>
    <w:p w14:paraId="5F7FDDA0">
      <w:pPr>
        <w:spacing w:before="163" w:beforeLines="50" w:after="163" w:afterLines="50"/>
        <w:ind w:firstLine="480"/>
        <w:rPr>
          <w:rFonts w:hAnsi="宋体"/>
          <w:highlight w:val="none"/>
        </w:rPr>
      </w:pPr>
      <w:r>
        <w:rPr>
          <w:rFonts w:hint="eastAsia" w:hAnsi="宋体"/>
          <w:highlight w:val="none"/>
        </w:rPr>
        <w:t>3、投标方应管理好项目期间的各类技术文档，做好相应的配置管理工作，包括：门类、条目、格式、版本、流转、评审、变更等内容。</w:t>
      </w:r>
    </w:p>
    <w:p w14:paraId="717CBADD">
      <w:pPr>
        <w:pStyle w:val="5"/>
        <w:ind w:left="0" w:leftChars="0" w:firstLineChars="0"/>
        <w:rPr>
          <w:rFonts w:hAnsi="宋体"/>
        </w:rPr>
      </w:pPr>
      <w:bookmarkStart w:id="101" w:name="_Toc21419"/>
      <w:bookmarkStart w:id="102" w:name="_Toc410901950"/>
      <w:bookmarkStart w:id="103" w:name="_Toc7201"/>
      <w:bookmarkStart w:id="104" w:name="_Toc1392109517"/>
      <w:r>
        <w:rPr>
          <w:rFonts w:hint="eastAsia" w:hAnsi="宋体"/>
        </w:rPr>
        <w:t>安全要求</w:t>
      </w:r>
      <w:bookmarkEnd w:id="101"/>
      <w:bookmarkEnd w:id="102"/>
      <w:bookmarkEnd w:id="103"/>
      <w:bookmarkEnd w:id="104"/>
    </w:p>
    <w:p w14:paraId="46AE75CC">
      <w:pPr>
        <w:ind w:firstLine="480" w:firstLineChars="200"/>
      </w:pPr>
      <w:r>
        <w:rPr>
          <w:rFonts w:hint="eastAsia"/>
        </w:rPr>
        <w:t>投标方开展</w:t>
      </w:r>
      <w:r>
        <w:rPr>
          <w:rFonts w:hint="eastAsia"/>
          <w:lang w:eastAsia="zh-CN"/>
        </w:rPr>
        <w:t>业务支撑</w:t>
      </w:r>
      <w:r>
        <w:rPr>
          <w:rFonts w:hint="eastAsia"/>
        </w:rPr>
        <w:t>服务工作需遵守国家网络安全、数据安全的相关法律法规以及招标方网络安全、数据安全相关制度要求。</w:t>
      </w:r>
    </w:p>
    <w:p w14:paraId="16878616">
      <w:pPr>
        <w:pageBreakBefore w:val="0"/>
        <w:kinsoku/>
        <w:wordWrap/>
        <w:overflowPunct/>
        <w:autoSpaceDE/>
        <w:autoSpaceDN/>
        <w:bidi w:val="0"/>
        <w:rPr>
          <w:rFonts w:hint="eastAsia" w:ascii="宋体" w:hAnsiTheme="minorHAnsi"/>
          <w:highlight w:val="none"/>
        </w:rPr>
      </w:pPr>
    </w:p>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14:paraId="55CCB418">
      <w:pPr>
        <w:pStyle w:val="4"/>
        <w:rPr>
          <w:rFonts w:hAnsi="宋体"/>
          <w:highlight w:val="none"/>
        </w:rPr>
      </w:pPr>
      <w:bookmarkStart w:id="105" w:name="_Toc24877"/>
      <w:bookmarkStart w:id="106" w:name="_Toc21474"/>
      <w:bookmarkStart w:id="107" w:name="_Toc456599918"/>
      <w:bookmarkStart w:id="108" w:name="_Toc14583"/>
      <w:bookmarkStart w:id="109" w:name="_Toc30737"/>
      <w:bookmarkStart w:id="110" w:name="_Toc25581206"/>
      <w:bookmarkStart w:id="111" w:name="_Toc21167"/>
      <w:bookmarkStart w:id="112" w:name="_Toc30577"/>
      <w:bookmarkStart w:id="113" w:name="_Toc27523"/>
      <w:bookmarkStart w:id="114" w:name="_Toc9404"/>
      <w:bookmarkStart w:id="115" w:name="_Toc14511"/>
      <w:bookmarkStart w:id="116" w:name="_Toc496197025"/>
      <w:bookmarkStart w:id="117" w:name="_Toc100654282"/>
      <w:bookmarkStart w:id="118" w:name="_Toc10275"/>
      <w:bookmarkStart w:id="119" w:name="_Toc22158"/>
      <w:bookmarkStart w:id="120" w:name="_Toc350318154"/>
      <w:bookmarkStart w:id="121" w:name="_Toc12849"/>
      <w:bookmarkStart w:id="122" w:name="_Toc581677902"/>
      <w:bookmarkStart w:id="123" w:name="_Toc23319"/>
      <w:bookmarkStart w:id="124" w:name="_Toc30112"/>
      <w:bookmarkStart w:id="125" w:name="_Toc1869148545"/>
      <w:r>
        <w:rPr>
          <w:rFonts w:hint="eastAsia" w:hAnsi="宋体"/>
          <w:highlight w:val="none"/>
        </w:rPr>
        <w:t>项目</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hint="eastAsia" w:hAnsi="宋体"/>
          <w:highlight w:val="none"/>
          <w:lang w:eastAsia="zh-CN"/>
        </w:rPr>
        <w:t>实施</w:t>
      </w:r>
      <w:r>
        <w:rPr>
          <w:rFonts w:hint="eastAsia" w:hAnsi="宋体"/>
          <w:highlight w:val="none"/>
        </w:rPr>
        <w:t>工作要求</w:t>
      </w:r>
      <w:bookmarkEnd w:id="120"/>
      <w:bookmarkEnd w:id="121"/>
      <w:bookmarkEnd w:id="122"/>
      <w:bookmarkEnd w:id="123"/>
      <w:bookmarkEnd w:id="124"/>
      <w:bookmarkEnd w:id="125"/>
    </w:p>
    <w:p w14:paraId="1B5BABD5">
      <w:pPr>
        <w:pStyle w:val="5"/>
        <w:ind w:left="0" w:leftChars="0" w:firstLineChars="0"/>
        <w:rPr>
          <w:rFonts w:hAnsi="宋体"/>
          <w:highlight w:val="none"/>
        </w:rPr>
      </w:pPr>
      <w:bookmarkStart w:id="126" w:name="_Toc1388807499"/>
      <w:bookmarkStart w:id="127" w:name="_Toc1544537851"/>
      <w:bookmarkStart w:id="128" w:name="_Toc914937770"/>
      <w:bookmarkStart w:id="129" w:name="_Toc100654239"/>
      <w:bookmarkStart w:id="130" w:name="_Toc28872"/>
      <w:bookmarkStart w:id="131" w:name="_Toc4228"/>
      <w:bookmarkStart w:id="132" w:name="_Toc9434"/>
      <w:bookmarkStart w:id="133" w:name="_Toc97626732"/>
      <w:bookmarkStart w:id="134" w:name="_Toc100654283"/>
      <w:r>
        <w:rPr>
          <w:rFonts w:hint="eastAsia" w:hAnsi="宋体"/>
          <w:highlight w:val="none"/>
        </w:rPr>
        <w:t>项目工期要求</w:t>
      </w:r>
      <w:bookmarkEnd w:id="126"/>
      <w:bookmarkEnd w:id="127"/>
      <w:bookmarkEnd w:id="128"/>
      <w:bookmarkEnd w:id="129"/>
      <w:bookmarkEnd w:id="130"/>
      <w:bookmarkEnd w:id="131"/>
      <w:bookmarkEnd w:id="132"/>
    </w:p>
    <w:p w14:paraId="5F7F538E">
      <w:pPr>
        <w:ind w:firstLine="480"/>
        <w:rPr>
          <w:highlight w:val="none"/>
        </w:rPr>
      </w:pPr>
      <w:bookmarkStart w:id="135" w:name="_Toc3566"/>
      <w:r>
        <w:rPr>
          <w:rFonts w:hint="eastAsia"/>
          <w:highlight w:val="none"/>
        </w:rPr>
        <w:t>1、项目进度管理应该遵循以下原则：</w:t>
      </w:r>
      <w:bookmarkEnd w:id="135"/>
    </w:p>
    <w:p w14:paraId="1FF3039B">
      <w:pPr>
        <w:adjustRightInd w:val="0"/>
        <w:snapToGrid w:val="0"/>
        <w:ind w:left="480" w:leftChars="200" w:firstLine="480"/>
        <w:rPr>
          <w:rFonts w:hAnsi="宋体"/>
          <w:color w:val="000000"/>
          <w:highlight w:val="none"/>
        </w:rPr>
      </w:pPr>
      <w:r>
        <w:rPr>
          <w:rFonts w:hint="eastAsia" w:hAnsi="宋体"/>
          <w:color w:val="000000"/>
          <w:highlight w:val="none"/>
        </w:rPr>
        <w:t>（1）项目进度管理的依据是项目合同所约定的工期目标；</w:t>
      </w:r>
    </w:p>
    <w:p w14:paraId="0F5C7588">
      <w:pPr>
        <w:adjustRightInd w:val="0"/>
        <w:snapToGrid w:val="0"/>
        <w:ind w:left="480" w:leftChars="200" w:firstLine="480"/>
        <w:rPr>
          <w:rFonts w:hAnsi="宋体" w:cs="宋体"/>
          <w:bCs/>
          <w:highlight w:val="none"/>
        </w:rPr>
      </w:pPr>
      <w:r>
        <w:rPr>
          <w:rFonts w:hint="eastAsia" w:hAnsi="宋体"/>
          <w:color w:val="000000"/>
          <w:highlight w:val="none"/>
        </w:rPr>
        <w:t>（2）在确保项目质量和安全的</w:t>
      </w:r>
      <w:r>
        <w:rPr>
          <w:rFonts w:hint="eastAsia" w:hAnsi="宋体" w:cs="宋体"/>
          <w:bCs/>
          <w:highlight w:val="none"/>
        </w:rPr>
        <w:t>原则下，控制项目进度。</w:t>
      </w:r>
    </w:p>
    <w:p w14:paraId="469132F8">
      <w:pPr>
        <w:ind w:firstLine="480"/>
        <w:rPr>
          <w:highlight w:val="none"/>
        </w:rPr>
      </w:pPr>
      <w:bookmarkStart w:id="136" w:name="_Toc17088"/>
      <w:r>
        <w:rPr>
          <w:rFonts w:hint="eastAsia"/>
          <w:highlight w:val="none"/>
        </w:rPr>
        <w:t>2、项目进度管理应该至少包含以下内容：</w:t>
      </w:r>
      <w:bookmarkEnd w:id="136"/>
    </w:p>
    <w:p w14:paraId="06F07FE7">
      <w:pPr>
        <w:adjustRightInd w:val="0"/>
        <w:snapToGrid w:val="0"/>
        <w:ind w:left="480" w:leftChars="200" w:firstLine="480"/>
        <w:rPr>
          <w:rFonts w:hAnsi="宋体" w:cs="宋体"/>
          <w:bCs/>
          <w:highlight w:val="none"/>
        </w:rPr>
      </w:pPr>
      <w:r>
        <w:rPr>
          <w:rFonts w:hint="eastAsia" w:hAnsi="宋体" w:cs="宋体"/>
          <w:bCs/>
          <w:highlight w:val="none"/>
        </w:rPr>
        <w:t>（1）在了解项目特点的前提下，根据工期目标，提交总体进度计划，并定期提交阶段性工作计划；</w:t>
      </w:r>
    </w:p>
    <w:p w14:paraId="14FC8CD1">
      <w:pPr>
        <w:adjustRightInd w:val="0"/>
        <w:snapToGrid w:val="0"/>
        <w:ind w:left="480" w:leftChars="200" w:firstLine="480"/>
        <w:rPr>
          <w:rFonts w:hAnsi="宋体" w:cs="宋体"/>
          <w:bCs/>
          <w:highlight w:val="none"/>
        </w:rPr>
      </w:pPr>
      <w:r>
        <w:rPr>
          <w:rFonts w:hint="eastAsia" w:hAnsi="宋体" w:cs="宋体"/>
          <w:bCs/>
          <w:highlight w:val="none"/>
        </w:rPr>
        <w:t>（2）制定详细的项目进度计划，明确项目关键路径，设置里程碑，按照合同的进度计划制定具体的实施计划，定期跟踪检查，对可能发生的工程延误提出相应对策；</w:t>
      </w:r>
    </w:p>
    <w:p w14:paraId="3FFB35BE">
      <w:pPr>
        <w:adjustRightInd w:val="0"/>
        <w:snapToGrid w:val="0"/>
        <w:ind w:left="480" w:leftChars="200" w:firstLine="480"/>
        <w:rPr>
          <w:rFonts w:hAnsi="宋体" w:cs="宋体"/>
          <w:bCs/>
          <w:highlight w:val="none"/>
        </w:rPr>
      </w:pPr>
      <w:r>
        <w:rPr>
          <w:rFonts w:hint="eastAsia" w:hAnsi="宋体" w:cs="宋体"/>
          <w:bCs/>
          <w:highlight w:val="none"/>
        </w:rPr>
        <w:t>（3）定期或不定期地召开或参加项目例会、协调会议等，向项目单位汇报项目进展情况，提交进度报告，及时解决相关问题；</w:t>
      </w:r>
    </w:p>
    <w:p w14:paraId="39479803">
      <w:pPr>
        <w:adjustRightInd w:val="0"/>
        <w:snapToGrid w:val="0"/>
        <w:ind w:left="480" w:leftChars="200" w:firstLine="480"/>
        <w:rPr>
          <w:rFonts w:hint="eastAsia" w:hAnsi="宋体"/>
          <w:color w:val="000000"/>
          <w:highlight w:val="none"/>
        </w:rPr>
      </w:pPr>
      <w:r>
        <w:rPr>
          <w:rFonts w:hint="eastAsia" w:hAnsi="宋体" w:cs="宋体"/>
          <w:bCs/>
          <w:highlight w:val="none"/>
        </w:rPr>
        <w:t>（4）建立项目变更流程，记录项目变</w:t>
      </w:r>
      <w:r>
        <w:rPr>
          <w:rFonts w:hint="eastAsia" w:hAnsi="宋体"/>
          <w:color w:val="000000"/>
          <w:highlight w:val="none"/>
        </w:rPr>
        <w:t>更。</w:t>
      </w:r>
    </w:p>
    <w:p w14:paraId="7FC2A848">
      <w:pPr>
        <w:adjustRightInd w:val="0"/>
        <w:snapToGrid w:val="0"/>
        <w:ind w:left="480" w:leftChars="200" w:firstLine="480"/>
        <w:rPr>
          <w:rFonts w:hint="default"/>
          <w:sz w:val="22"/>
          <w:szCs w:val="22"/>
          <w:highlight w:val="yellow"/>
          <w:lang w:val="en-US" w:eastAsia="zh-CN"/>
        </w:rPr>
      </w:pPr>
      <w:r>
        <w:rPr>
          <w:rFonts w:hint="eastAsia"/>
          <w:highlight w:val="none"/>
        </w:rPr>
        <w:t>3、</w:t>
      </w:r>
      <w:r>
        <w:rPr>
          <w:rFonts w:hint="eastAsia"/>
          <w:highlight w:val="none"/>
          <w:lang w:val="en-US" w:eastAsia="zh-CN"/>
        </w:rPr>
        <w:t>项目总工期为</w:t>
      </w:r>
      <w:r>
        <w:rPr>
          <w:color w:val="auto"/>
          <w:u w:val="none"/>
        </w:rPr>
        <w:t>自合同签订之日起服务12个月，第13个月内完成项目终验</w:t>
      </w:r>
      <w:r>
        <w:rPr>
          <w:rFonts w:hint="eastAsia"/>
          <w:highlight w:val="none"/>
          <w:lang w:val="en-US" w:eastAsia="zh-CN"/>
        </w:rPr>
        <w:t>。</w:t>
      </w:r>
    </w:p>
    <w:bookmarkEnd w:id="74"/>
    <w:bookmarkEnd w:id="133"/>
    <w:bookmarkEnd w:id="134"/>
    <w:p w14:paraId="5F83C2E0">
      <w:pPr>
        <w:pStyle w:val="5"/>
        <w:ind w:left="0" w:leftChars="0" w:firstLineChars="0"/>
        <w:rPr>
          <w:rFonts w:hAnsi="宋体"/>
          <w:highlight w:val="none"/>
        </w:rPr>
      </w:pPr>
      <w:bookmarkStart w:id="137" w:name="_Toc13519"/>
      <w:bookmarkStart w:id="138" w:name="_Toc27810"/>
      <w:bookmarkStart w:id="139" w:name="_Toc5818"/>
      <w:bookmarkStart w:id="140" w:name="_Toc265336821"/>
      <w:bookmarkStart w:id="141" w:name="_Toc687876450"/>
      <w:bookmarkStart w:id="142" w:name="_Toc18407"/>
      <w:bookmarkStart w:id="143" w:name="_Toc100654295"/>
      <w:bookmarkStart w:id="144" w:name="_Toc3536"/>
      <w:bookmarkStart w:id="145" w:name="_Toc13234"/>
      <w:bookmarkStart w:id="146" w:name="_Toc32135"/>
      <w:bookmarkStart w:id="147" w:name="_Toc1957467428"/>
      <w:bookmarkStart w:id="148" w:name="_Toc28281"/>
      <w:bookmarkStart w:id="149" w:name="_Toc4208"/>
      <w:bookmarkStart w:id="150" w:name="_Toc6795"/>
      <w:bookmarkStart w:id="151" w:name="_Toc20186"/>
      <w:bookmarkStart w:id="152" w:name="_Toc3285"/>
      <w:bookmarkStart w:id="153" w:name="_Toc25581215"/>
      <w:bookmarkStart w:id="154" w:name="_Toc272624504"/>
      <w:bookmarkStart w:id="155" w:name="_Toc8346"/>
      <w:bookmarkStart w:id="156" w:name="_Toc19266"/>
      <w:bookmarkStart w:id="157" w:name="_Toc32488"/>
      <w:bookmarkStart w:id="158" w:name="_Toc358018965"/>
      <w:bookmarkStart w:id="159" w:name="_Toc1273958499"/>
      <w:bookmarkStart w:id="160" w:name="_Toc9954"/>
      <w:r>
        <w:rPr>
          <w:rFonts w:hint="eastAsia" w:hAnsi="宋体"/>
          <w:highlight w:val="none"/>
        </w:rPr>
        <w:t>项目组织要求</w:t>
      </w:r>
      <w:bookmarkEnd w:id="137"/>
      <w:bookmarkEnd w:id="138"/>
      <w:bookmarkEnd w:id="139"/>
      <w:bookmarkEnd w:id="140"/>
      <w:bookmarkEnd w:id="141"/>
    </w:p>
    <w:p w14:paraId="4DDA984B">
      <w:pPr>
        <w:pStyle w:val="6"/>
        <w:rPr>
          <w:highlight w:val="none"/>
        </w:rPr>
      </w:pPr>
      <w:bookmarkStart w:id="161" w:name="_Toc19624"/>
      <w:bookmarkStart w:id="162" w:name="_Toc13282"/>
      <w:bookmarkStart w:id="163" w:name="_Toc25703"/>
      <w:bookmarkStart w:id="164" w:name="_Toc1235023349"/>
      <w:bookmarkStart w:id="165" w:name="_Toc1339899375"/>
      <w:bookmarkStart w:id="166" w:name="_Toc100654284"/>
      <w:bookmarkStart w:id="167" w:name="_Toc97626733"/>
      <w:r>
        <w:rPr>
          <w:rFonts w:hint="eastAsia"/>
          <w:highlight w:val="none"/>
        </w:rPr>
        <w:t>组织保障要求</w:t>
      </w:r>
      <w:bookmarkEnd w:id="161"/>
      <w:bookmarkEnd w:id="162"/>
      <w:bookmarkEnd w:id="163"/>
      <w:bookmarkEnd w:id="164"/>
      <w:bookmarkEnd w:id="165"/>
    </w:p>
    <w:p w14:paraId="060AAB12">
      <w:pPr>
        <w:spacing w:before="163" w:beforeLines="50" w:after="163" w:afterLines="50"/>
        <w:ind w:firstLine="480"/>
        <w:rPr>
          <w:rFonts w:hAnsi="宋体" w:cs="宋体"/>
          <w:highlight w:val="none"/>
        </w:rPr>
      </w:pPr>
      <w:r>
        <w:rPr>
          <w:rFonts w:hint="eastAsia" w:hAnsi="宋体" w:cs="宋体"/>
          <w:highlight w:val="none"/>
        </w:rPr>
        <w:t>投标方为本项目配置的</w:t>
      </w:r>
      <w:r>
        <w:rPr>
          <w:rFonts w:hint="eastAsia" w:hAnsi="宋体" w:cs="宋体"/>
          <w:highlight w:val="none"/>
          <w:lang w:eastAsia="zh-CN"/>
        </w:rPr>
        <w:t>建设实施</w:t>
      </w:r>
      <w:r>
        <w:rPr>
          <w:rFonts w:hint="eastAsia" w:hAnsi="宋体" w:cs="宋体"/>
          <w:highlight w:val="none"/>
        </w:rPr>
        <w:t>团队应由项目负责人全面统筹管理，明确各</w:t>
      </w:r>
      <w:r>
        <w:rPr>
          <w:rFonts w:hint="eastAsia" w:hAnsi="宋体" w:cs="宋体"/>
          <w:highlight w:val="none"/>
          <w:lang w:eastAsia="zh-CN"/>
        </w:rPr>
        <w:t>建设实施</w:t>
      </w:r>
      <w:r>
        <w:rPr>
          <w:rFonts w:hint="eastAsia" w:hAnsi="宋体" w:cs="宋体"/>
          <w:highlight w:val="none"/>
        </w:rPr>
        <w:t>小组之间的职责分工</w:t>
      </w:r>
      <w:r>
        <w:rPr>
          <w:rFonts w:hint="eastAsia" w:hAnsi="宋体" w:cs="宋体"/>
          <w:highlight w:val="none"/>
          <w:lang w:eastAsia="zh-CN"/>
        </w:rPr>
        <w:t>，</w:t>
      </w:r>
      <w:r>
        <w:rPr>
          <w:rFonts w:hint="eastAsia" w:hAnsi="宋体" w:cs="宋体"/>
          <w:highlight w:val="none"/>
        </w:rPr>
        <w:t>并紧密协调，确保</w:t>
      </w:r>
      <w:r>
        <w:rPr>
          <w:rFonts w:hint="eastAsia" w:hAnsi="宋体" w:cs="宋体"/>
          <w:highlight w:val="none"/>
          <w:lang w:eastAsia="zh-CN"/>
        </w:rPr>
        <w:t>建设实施</w:t>
      </w:r>
      <w:r>
        <w:rPr>
          <w:rFonts w:hint="eastAsia" w:hAnsi="宋体" w:cs="宋体"/>
          <w:highlight w:val="none"/>
        </w:rPr>
        <w:t>工作有序运行。</w:t>
      </w:r>
    </w:p>
    <w:p w14:paraId="3EF940A9">
      <w:pPr>
        <w:spacing w:before="163" w:beforeLines="50" w:after="163" w:afterLines="50"/>
        <w:ind w:firstLine="480"/>
        <w:rPr>
          <w:rFonts w:hAnsi="宋体" w:cs="宋体"/>
          <w:highlight w:val="none"/>
        </w:rPr>
      </w:pPr>
      <w:r>
        <w:rPr>
          <w:rFonts w:hint="eastAsia" w:hAnsi="宋体" w:cs="宋体"/>
          <w:highlight w:val="none"/>
        </w:rPr>
        <w:t>投标方应标时，必须向招标方提供拟派参加本项目的人员名单及人员的相关资料（需包含相关工作履历），投标方必须承诺招标范围内项目人员的人员数量及资质。</w:t>
      </w:r>
    </w:p>
    <w:p w14:paraId="2C6FEF83">
      <w:pPr>
        <w:spacing w:before="163" w:beforeLines="50" w:after="163" w:afterLines="50"/>
        <w:ind w:firstLine="480"/>
        <w:rPr>
          <w:rFonts w:hAnsi="宋体" w:cs="宋体"/>
          <w:highlight w:val="none"/>
        </w:rPr>
      </w:pPr>
      <w:r>
        <w:rPr>
          <w:rFonts w:hint="eastAsia" w:hAnsi="宋体" w:cs="宋体"/>
          <w:highlight w:val="none"/>
        </w:rPr>
        <w:t>投标方必须向招标方保证服务人员组织的稳定性，在本项目服务结束前，参加本项目工作的人员若有变动必须提前书面通知招标方相关负责人，并征得招标方同意后方能进行变动；一般服务人员变动需提前15个工作日通知，项目负责人变动需提前20个工作日通知，并提供水平相当的人员进行替换。</w:t>
      </w:r>
    </w:p>
    <w:p w14:paraId="6199C92A">
      <w:pPr>
        <w:pStyle w:val="6"/>
        <w:rPr>
          <w:highlight w:val="none"/>
        </w:rPr>
      </w:pPr>
      <w:bookmarkStart w:id="168" w:name="_Toc1175273183"/>
      <w:bookmarkStart w:id="169" w:name="_Toc1607978388"/>
      <w:bookmarkStart w:id="170" w:name="_Toc16292"/>
      <w:bookmarkStart w:id="171" w:name="_Toc17549"/>
      <w:bookmarkStart w:id="172" w:name="_Toc28607"/>
      <w:r>
        <w:rPr>
          <w:rFonts w:hint="eastAsia"/>
          <w:highlight w:val="none"/>
        </w:rPr>
        <w:t>项目负责人要求</w:t>
      </w:r>
      <w:bookmarkEnd w:id="166"/>
      <w:bookmarkEnd w:id="167"/>
      <w:bookmarkEnd w:id="168"/>
      <w:bookmarkEnd w:id="169"/>
      <w:bookmarkEnd w:id="170"/>
      <w:bookmarkEnd w:id="171"/>
      <w:bookmarkEnd w:id="172"/>
    </w:p>
    <w:p w14:paraId="47F2F683">
      <w:pPr>
        <w:spacing w:before="163" w:beforeLines="50" w:after="163" w:afterLines="50"/>
        <w:ind w:firstLine="480"/>
        <w:rPr>
          <w:rFonts w:hAnsi="宋体"/>
          <w:highlight w:val="none"/>
        </w:rPr>
      </w:pPr>
      <w:bookmarkStart w:id="173" w:name="_Toc100654287"/>
      <w:bookmarkStart w:id="174" w:name="_Toc97626736"/>
      <w:r>
        <w:rPr>
          <w:rFonts w:hint="eastAsia" w:hAnsi="宋体"/>
          <w:highlight w:val="none"/>
        </w:rPr>
        <w:t>投标方提供的项目经理需要有5年以上信息系统项目管理、</w:t>
      </w:r>
      <w:r>
        <w:rPr>
          <w:rFonts w:hint="eastAsia" w:hAnsi="宋体"/>
          <w:highlight w:val="none"/>
          <w:lang w:eastAsia="zh-CN"/>
        </w:rPr>
        <w:t>开发或</w:t>
      </w:r>
      <w:r>
        <w:rPr>
          <w:rFonts w:hint="eastAsia" w:hAnsi="宋体"/>
          <w:highlight w:val="none"/>
        </w:rPr>
        <w:t>实施工作经验。</w:t>
      </w:r>
    </w:p>
    <w:p w14:paraId="44D7CC70">
      <w:pPr>
        <w:pStyle w:val="6"/>
        <w:rPr>
          <w:highlight w:val="none"/>
        </w:rPr>
      </w:pPr>
      <w:bookmarkStart w:id="175" w:name="_Toc29036"/>
      <w:bookmarkStart w:id="176" w:name="_Toc1358553268"/>
      <w:bookmarkStart w:id="177" w:name="_Toc23064"/>
      <w:bookmarkStart w:id="178" w:name="_Toc16909"/>
      <w:bookmarkStart w:id="179" w:name="_Toc261801575"/>
      <w:r>
        <w:rPr>
          <w:rFonts w:hint="eastAsia"/>
          <w:highlight w:val="none"/>
        </w:rPr>
        <w:t>项目团队要求</w:t>
      </w:r>
      <w:bookmarkEnd w:id="173"/>
      <w:bookmarkEnd w:id="174"/>
      <w:bookmarkEnd w:id="175"/>
      <w:bookmarkEnd w:id="176"/>
      <w:bookmarkEnd w:id="177"/>
      <w:bookmarkEnd w:id="178"/>
      <w:bookmarkEnd w:id="179"/>
    </w:p>
    <w:p w14:paraId="4E9C90A8">
      <w:pPr>
        <w:spacing w:before="163" w:beforeLines="50" w:after="163" w:afterLines="50"/>
        <w:ind w:firstLine="480"/>
        <w:rPr>
          <w:rFonts w:hAnsi="宋体"/>
          <w:szCs w:val="20"/>
        </w:rPr>
      </w:pPr>
      <w:r>
        <w:rPr>
          <w:rFonts w:hint="eastAsia" w:hAnsi="宋体"/>
          <w:szCs w:val="20"/>
        </w:rPr>
        <w:t>1</w:t>
      </w:r>
      <w:r>
        <w:rPr>
          <w:rFonts w:hint="eastAsia" w:hAnsi="宋体"/>
          <w:szCs w:val="20"/>
          <w:lang w:eastAsia="zh-CN"/>
        </w:rPr>
        <w:t>、</w:t>
      </w:r>
      <w:r>
        <w:rPr>
          <w:rFonts w:hint="eastAsia" w:hAnsi="宋体"/>
          <w:szCs w:val="20"/>
        </w:rPr>
        <w:t>投标方需要根据招标方要求，组建一支专业团队，项目团队核心技术人员不少</w:t>
      </w:r>
      <w:r>
        <w:rPr>
          <w:rFonts w:hint="eastAsia" w:hAnsi="宋体"/>
          <w:szCs w:val="20"/>
          <w:highlight w:val="none"/>
        </w:rPr>
        <w:t>于1</w:t>
      </w:r>
      <w:r>
        <w:rPr>
          <w:rFonts w:hint="eastAsia" w:hAnsi="宋体"/>
          <w:szCs w:val="20"/>
          <w:highlight w:val="none"/>
          <w:lang w:val="en-US" w:eastAsia="zh-CN"/>
        </w:rPr>
        <w:t>2</w:t>
      </w:r>
      <w:r>
        <w:rPr>
          <w:rFonts w:hint="eastAsia" w:hAnsi="宋体"/>
          <w:szCs w:val="20"/>
        </w:rPr>
        <w:t>人。</w:t>
      </w:r>
    </w:p>
    <w:p w14:paraId="07CF67C9">
      <w:pPr>
        <w:spacing w:before="163" w:beforeLines="50" w:after="163" w:afterLines="50"/>
        <w:ind w:firstLine="480"/>
        <w:rPr>
          <w:rFonts w:hAnsi="宋体"/>
          <w:szCs w:val="20"/>
        </w:rPr>
      </w:pPr>
      <w:r>
        <w:rPr>
          <w:rFonts w:hAnsi="宋体"/>
          <w:szCs w:val="20"/>
        </w:rPr>
        <w:t>2</w:t>
      </w:r>
      <w:r>
        <w:rPr>
          <w:rFonts w:hint="eastAsia" w:hAnsi="宋体"/>
          <w:szCs w:val="20"/>
          <w:lang w:eastAsia="zh-CN"/>
        </w:rPr>
        <w:t>、</w:t>
      </w:r>
      <w:r>
        <w:rPr>
          <w:rFonts w:hint="eastAsia" w:hAnsi="宋体"/>
          <w:szCs w:val="20"/>
        </w:rPr>
        <w:t>投标方必须向招标方保证项目人员组织的稳定性，在本项目工程结束前，参加本项目的人员变动必须取得招标方同意。招标方保留拒绝</w:t>
      </w:r>
      <w:r>
        <w:rPr>
          <w:rFonts w:hint="eastAsia" w:hAnsi="宋体"/>
          <w:szCs w:val="20"/>
          <w:lang w:val="en-US" w:eastAsia="zh-CN"/>
        </w:rPr>
        <w:t>投标</w:t>
      </w:r>
      <w:r>
        <w:rPr>
          <w:rFonts w:hint="eastAsia" w:hAnsi="宋体"/>
          <w:szCs w:val="20"/>
        </w:rPr>
        <w:t>方人员变更要求的权利。</w:t>
      </w:r>
    </w:p>
    <w:p w14:paraId="14C785D5">
      <w:pPr>
        <w:spacing w:before="163" w:beforeLines="50" w:after="163" w:afterLines="50"/>
        <w:ind w:firstLine="480"/>
        <w:rPr>
          <w:rFonts w:hint="eastAsia" w:hAnsi="宋体"/>
          <w:szCs w:val="20"/>
        </w:rPr>
      </w:pPr>
      <w:r>
        <w:rPr>
          <w:rFonts w:hAnsi="宋体"/>
          <w:szCs w:val="20"/>
        </w:rPr>
        <w:t>3</w:t>
      </w:r>
      <w:r>
        <w:rPr>
          <w:rFonts w:hint="eastAsia" w:hAnsi="宋体"/>
          <w:szCs w:val="20"/>
          <w:lang w:eastAsia="zh-CN"/>
        </w:rPr>
        <w:t>、</w:t>
      </w:r>
      <w:r>
        <w:rPr>
          <w:rFonts w:hint="eastAsia" w:hAnsi="宋体"/>
          <w:szCs w:val="20"/>
        </w:rPr>
        <w:t>投标方在开展工作期间，须严格遵守以下工作规范要求：</w:t>
      </w:r>
    </w:p>
    <w:p w14:paraId="7392B715">
      <w:pPr>
        <w:numPr>
          <w:ilvl w:val="0"/>
          <w:numId w:val="4"/>
        </w:numPr>
        <w:spacing w:before="163" w:beforeLines="50" w:after="163" w:afterLines="50"/>
        <w:ind w:left="0" w:firstLine="480"/>
        <w:rPr>
          <w:rFonts w:hint="eastAsia" w:hAnsi="宋体"/>
          <w:szCs w:val="20"/>
        </w:rPr>
      </w:pPr>
      <w:r>
        <w:rPr>
          <w:rFonts w:hint="eastAsia" w:hAnsi="宋体"/>
          <w:szCs w:val="20"/>
        </w:rPr>
        <w:t>遵守国家法律和政府的有关条例、规定和办法，以及招标方相关管理规定开展工作；</w:t>
      </w:r>
    </w:p>
    <w:p w14:paraId="284B7CFF">
      <w:pPr>
        <w:numPr>
          <w:ilvl w:val="0"/>
          <w:numId w:val="5"/>
        </w:numPr>
        <w:spacing w:before="163" w:beforeLines="50" w:after="163" w:afterLines="50"/>
        <w:ind w:left="0" w:firstLine="480"/>
        <w:rPr>
          <w:rFonts w:hint="eastAsia" w:hAnsi="宋体"/>
          <w:szCs w:val="20"/>
        </w:rPr>
      </w:pPr>
      <w:r>
        <w:rPr>
          <w:rFonts w:hint="eastAsia" w:hAnsi="宋体"/>
          <w:szCs w:val="20"/>
        </w:rPr>
        <w:t>执行有关项目建设的</w:t>
      </w:r>
      <w:r>
        <w:rPr>
          <w:rFonts w:hint="eastAsia" w:hAnsi="宋体"/>
          <w:szCs w:val="20"/>
          <w:lang w:eastAsia="zh-CN"/>
        </w:rPr>
        <w:t>法律法规</w:t>
      </w:r>
      <w:r>
        <w:rPr>
          <w:rFonts w:hint="eastAsia" w:hAnsi="宋体"/>
          <w:szCs w:val="20"/>
        </w:rPr>
        <w:t>、规范、标准和制度，履行合同规定的义务和职责；</w:t>
      </w:r>
    </w:p>
    <w:p w14:paraId="45EC13FA">
      <w:pPr>
        <w:numPr>
          <w:ilvl w:val="0"/>
          <w:numId w:val="5"/>
        </w:numPr>
        <w:spacing w:before="163" w:beforeLines="50" w:after="163" w:afterLines="50"/>
        <w:ind w:left="0" w:leftChars="0" w:firstLine="480" w:firstLineChars="0"/>
        <w:rPr>
          <w:rFonts w:hint="eastAsia" w:hAnsi="宋体"/>
          <w:szCs w:val="20"/>
          <w:lang w:eastAsia="zh-CN"/>
        </w:rPr>
      </w:pPr>
      <w:r>
        <w:rPr>
          <w:rFonts w:hint="eastAsia" w:hAnsi="宋体"/>
          <w:szCs w:val="20"/>
        </w:rPr>
        <w:t>投标方在签署</w:t>
      </w:r>
      <w:r>
        <w:rPr>
          <w:rFonts w:hint="eastAsia" w:hAnsi="宋体"/>
          <w:szCs w:val="20"/>
          <w:highlight w:val="none"/>
        </w:rPr>
        <w:t>合同</w:t>
      </w:r>
      <w:r>
        <w:rPr>
          <w:rFonts w:hint="eastAsia" w:hAnsi="宋体"/>
          <w:szCs w:val="20"/>
        </w:rPr>
        <w:t>时，须同步签订《保密协议书》</w:t>
      </w:r>
      <w:r>
        <w:rPr>
          <w:rFonts w:hint="eastAsia" w:hAnsi="宋体"/>
          <w:szCs w:val="20"/>
          <w:lang w:eastAsia="zh-CN"/>
        </w:rPr>
        <w:t>。</w:t>
      </w:r>
    </w:p>
    <w:p w14:paraId="42F174C1">
      <w:pPr>
        <w:pStyle w:val="5"/>
        <w:ind w:left="0" w:leftChars="0" w:firstLineChars="0"/>
        <w:rPr>
          <w:rFonts w:hAnsi="宋体"/>
        </w:rPr>
      </w:pPr>
      <w:bookmarkStart w:id="180" w:name="_Toc22477"/>
      <w:bookmarkStart w:id="181" w:name="_Toc2052561969"/>
      <w:bookmarkStart w:id="182" w:name="_Toc1158640372"/>
      <w:bookmarkStart w:id="183" w:name="_Toc31086"/>
      <w:r>
        <w:rPr>
          <w:rFonts w:hint="eastAsia" w:hAnsi="宋体"/>
        </w:rPr>
        <w:t>沟通协调要求</w:t>
      </w:r>
      <w:bookmarkEnd w:id="180"/>
      <w:bookmarkEnd w:id="181"/>
      <w:bookmarkEnd w:id="182"/>
      <w:bookmarkEnd w:id="183"/>
    </w:p>
    <w:p w14:paraId="17E42EA7">
      <w:pPr>
        <w:pStyle w:val="6"/>
        <w:rPr>
          <w:highlight w:val="none"/>
        </w:rPr>
      </w:pPr>
      <w:bookmarkStart w:id="184" w:name="_Toc23825"/>
      <w:bookmarkStart w:id="185" w:name="_Toc29427"/>
      <w:bookmarkStart w:id="186" w:name="_Toc14867"/>
      <w:bookmarkStart w:id="187" w:name="_Toc26041"/>
      <w:bookmarkStart w:id="188" w:name="_Toc20591"/>
      <w:bookmarkStart w:id="189" w:name="_Toc390289238"/>
      <w:bookmarkStart w:id="190" w:name="_Toc28928"/>
      <w:bookmarkStart w:id="191" w:name="_Toc456599925"/>
      <w:bookmarkStart w:id="192" w:name="_Toc3872"/>
      <w:bookmarkStart w:id="193" w:name="_Toc1976"/>
      <w:bookmarkStart w:id="194" w:name="_Toc4115"/>
      <w:bookmarkStart w:id="195" w:name="_Toc97626738"/>
      <w:bookmarkStart w:id="196" w:name="_Toc25109"/>
      <w:bookmarkStart w:id="197" w:name="_Toc15947"/>
      <w:bookmarkStart w:id="198" w:name="_Toc496197032"/>
      <w:bookmarkStart w:id="199" w:name="_Toc25581210"/>
      <w:bookmarkStart w:id="200" w:name="_Toc100654290"/>
      <w:bookmarkStart w:id="201" w:name="_Toc7902"/>
      <w:bookmarkStart w:id="202" w:name="_Toc2034504855"/>
      <w:bookmarkStart w:id="203" w:name="_Toc6079"/>
      <w:bookmarkStart w:id="204" w:name="_Toc231707575"/>
      <w:r>
        <w:rPr>
          <w:rFonts w:hint="eastAsia"/>
          <w:highlight w:val="none"/>
        </w:rPr>
        <w:t>项目</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Start w:id="205" w:name="_Toc300495432"/>
      <w:bookmarkStart w:id="206" w:name="_Toc297281955"/>
      <w:r>
        <w:rPr>
          <w:rFonts w:hint="eastAsia"/>
          <w:highlight w:val="none"/>
        </w:rPr>
        <w:t>周报</w:t>
      </w:r>
      <w:bookmarkEnd w:id="201"/>
      <w:bookmarkEnd w:id="202"/>
      <w:bookmarkEnd w:id="203"/>
      <w:bookmarkEnd w:id="204"/>
    </w:p>
    <w:p w14:paraId="59D8226B">
      <w:pPr>
        <w:spacing w:before="163" w:beforeLines="50" w:after="163" w:afterLines="50"/>
        <w:ind w:firstLine="480"/>
        <w:rPr>
          <w:rFonts w:hAnsi="宋体"/>
        </w:rPr>
      </w:pPr>
      <w:r>
        <w:rPr>
          <w:rFonts w:hint="eastAsia" w:hAnsi="宋体"/>
          <w:highlight w:val="none"/>
        </w:rPr>
        <w:t>投标方应定</w:t>
      </w:r>
      <w:r>
        <w:rPr>
          <w:rFonts w:hint="eastAsia" w:hAnsi="宋体"/>
        </w:rPr>
        <w:t>期召开例会并提交项目报告，及时反映项目各阶段的进度情况、工作内容和工作过程中所遇到的关键问题，制定下一步工作任务。</w:t>
      </w:r>
    </w:p>
    <w:bookmarkEnd w:id="205"/>
    <w:bookmarkEnd w:id="206"/>
    <w:p w14:paraId="018B2EC0">
      <w:pPr>
        <w:pStyle w:val="6"/>
      </w:pPr>
      <w:bookmarkStart w:id="207" w:name="_Toc496197033"/>
      <w:bookmarkStart w:id="208" w:name="_Toc456599926"/>
      <w:bookmarkStart w:id="209" w:name="_Toc17603"/>
      <w:bookmarkStart w:id="210" w:name="_Toc3357"/>
      <w:bookmarkStart w:id="211" w:name="_Toc18080"/>
      <w:bookmarkStart w:id="212" w:name="_Toc390289239"/>
      <w:bookmarkStart w:id="213" w:name="_Toc30521"/>
      <w:bookmarkStart w:id="214" w:name="_Toc25581211"/>
      <w:bookmarkStart w:id="215" w:name="_Toc9142"/>
      <w:bookmarkStart w:id="216" w:name="_Toc6748"/>
      <w:bookmarkStart w:id="217" w:name="_Toc15390"/>
      <w:bookmarkStart w:id="218" w:name="_Toc16156"/>
      <w:bookmarkStart w:id="219" w:name="_Toc14889"/>
      <w:bookmarkStart w:id="220" w:name="_Toc284"/>
      <w:bookmarkStart w:id="221" w:name="_Toc27164"/>
      <w:bookmarkStart w:id="222" w:name="_Toc921361014"/>
      <w:bookmarkStart w:id="223" w:name="_Toc16771"/>
      <w:bookmarkStart w:id="224" w:name="_Toc1688470451"/>
      <w:bookmarkStart w:id="225" w:name="_Toc30011"/>
      <w:bookmarkStart w:id="226" w:name="_Toc97626739"/>
      <w:bookmarkStart w:id="227" w:name="_Toc100654291"/>
      <w:bookmarkStart w:id="228" w:name="_Toc22397"/>
      <w:r>
        <w:rPr>
          <w:rFonts w:hint="eastAsia"/>
        </w:rPr>
        <w:t>项目</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Start w:id="229" w:name="_Toc200"/>
      <w:bookmarkStart w:id="230" w:name="_Toc8285"/>
      <w:bookmarkStart w:id="231" w:name="_Toc1167"/>
      <w:bookmarkStart w:id="232" w:name="_Toc354067279"/>
      <w:bookmarkStart w:id="233" w:name="_Toc363164118"/>
      <w:bookmarkStart w:id="234" w:name="_Toc367568550"/>
      <w:bookmarkStart w:id="235" w:name="_Toc3260"/>
      <w:bookmarkStart w:id="236" w:name="_Toc363544034"/>
      <w:bookmarkStart w:id="237" w:name="_Toc29875"/>
      <w:bookmarkStart w:id="238" w:name="_Toc351991177"/>
      <w:bookmarkStart w:id="239" w:name="_Toc363544539"/>
      <w:r>
        <w:rPr>
          <w:rFonts w:hint="eastAsia"/>
        </w:rPr>
        <w:t>联络会</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3EA398D9">
      <w:pPr>
        <w:spacing w:before="163" w:beforeLines="50" w:after="163" w:afterLines="50"/>
        <w:ind w:firstLine="480"/>
        <w:rPr>
          <w:rFonts w:hAnsi="宋体"/>
          <w:highlight w:val="none"/>
        </w:rPr>
      </w:pPr>
      <w:r>
        <w:rPr>
          <w:rFonts w:hint="eastAsia" w:hAnsi="宋体"/>
        </w:rPr>
        <w:t>为了确保项目的顺利进行和完成，在项目开展过程中</w:t>
      </w:r>
      <w:r>
        <w:rPr>
          <w:rFonts w:hint="eastAsia" w:hAnsi="宋体"/>
          <w:highlight w:val="none"/>
        </w:rPr>
        <w:t>，投标方组织召开必要的联络会，以便于招标方在项目开展过程中密切配合投标方，确保本项目的进展顺利。</w:t>
      </w:r>
    </w:p>
    <w:p w14:paraId="6EAA4897">
      <w:pPr>
        <w:spacing w:before="163" w:beforeLines="50" w:after="163" w:afterLines="50"/>
        <w:ind w:firstLine="480"/>
        <w:rPr>
          <w:rFonts w:hAnsi="宋体"/>
          <w:highlight w:val="none"/>
        </w:rPr>
      </w:pPr>
      <w:r>
        <w:rPr>
          <w:rFonts w:hint="eastAsia" w:hAnsi="宋体"/>
          <w:highlight w:val="none"/>
        </w:rPr>
        <w:t>联络会的内容包括：确认各个阶段的阶段性成果，审查、确认投标方提供的技术文件，确定咨询工作内容及工作日程表，确认交付物和其他有关事项。</w:t>
      </w:r>
    </w:p>
    <w:p w14:paraId="3278582B">
      <w:pPr>
        <w:spacing w:before="163" w:beforeLines="50" w:after="163" w:afterLines="50"/>
        <w:ind w:firstLine="480"/>
      </w:pPr>
      <w:r>
        <w:rPr>
          <w:rFonts w:hint="eastAsia" w:hAnsi="宋体"/>
          <w:highlight w:val="none"/>
        </w:rPr>
        <w:t>投标方应负责在招标方所在地组织相应的项目联络会</w:t>
      </w:r>
      <w:r>
        <w:rPr>
          <w:rFonts w:hint="eastAsia" w:hAnsi="宋体"/>
        </w:rPr>
        <w:t>和审查会，提供</w:t>
      </w:r>
      <w:r>
        <w:rPr>
          <w:rFonts w:hint="eastAsia" w:hAnsi="宋体"/>
          <w:lang w:eastAsia="zh-CN"/>
        </w:rPr>
        <w:t>必需的</w:t>
      </w:r>
      <w:r>
        <w:rPr>
          <w:rFonts w:hint="eastAsia" w:hAnsi="宋体"/>
        </w:rPr>
        <w:t>资料及服务等。</w:t>
      </w:r>
    </w:p>
    <w:p w14:paraId="547BF039">
      <w:pPr>
        <w:pStyle w:val="5"/>
        <w:ind w:left="0" w:leftChars="0" w:firstLineChars="0"/>
        <w:rPr>
          <w:rFonts w:hAnsi="宋体"/>
          <w:highlight w:val="none"/>
        </w:rPr>
      </w:pPr>
      <w:bookmarkStart w:id="240" w:name="_Toc2304"/>
      <w:r>
        <w:rPr>
          <w:rFonts w:hint="eastAsia" w:hAnsi="宋体"/>
          <w:highlight w:val="none"/>
        </w:rPr>
        <w:t>项目交付项</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240"/>
    </w:p>
    <w:p w14:paraId="464A7B27">
      <w:pPr>
        <w:spacing w:before="163" w:beforeLines="50" w:after="163" w:afterLines="50"/>
        <w:ind w:firstLine="480"/>
        <w:rPr>
          <w:rFonts w:hAnsi="宋体"/>
          <w:highlight w:val="none"/>
        </w:rPr>
      </w:pPr>
      <w:r>
        <w:rPr>
          <w:rFonts w:hint="eastAsia" w:hAnsi="宋体"/>
          <w:highlight w:val="none"/>
        </w:rPr>
        <w:t>投标方应在合同规定时间内，将招标范围内所界定的工作完成，在通过双方认可的验收后，交付给招标方，其中包括但不限于过程中的以下技术文件：</w:t>
      </w:r>
    </w:p>
    <w:p w14:paraId="3347C2C7">
      <w:pPr>
        <w:spacing w:before="163" w:beforeLines="50" w:after="163" w:afterLines="50"/>
        <w:ind w:firstLine="480"/>
        <w:rPr>
          <w:rFonts w:hAnsi="宋体"/>
          <w:highlight w:val="none"/>
        </w:rPr>
      </w:pPr>
      <w:r>
        <w:rPr>
          <w:rFonts w:hint="eastAsia" w:hAnsi="宋体"/>
          <w:highlight w:val="none"/>
        </w:rPr>
        <w:t>1、满足招标文件的项目目标和相应的技术要求、业务要求的</w:t>
      </w:r>
      <w:r>
        <w:rPr>
          <w:rFonts w:hint="eastAsia" w:hAnsi="宋体"/>
          <w:highlight w:val="none"/>
          <w:lang w:eastAsia="zh-CN"/>
        </w:rPr>
        <w:t>实施</w:t>
      </w:r>
      <w:r>
        <w:rPr>
          <w:rFonts w:hint="eastAsia" w:hAnsi="宋体"/>
          <w:highlight w:val="none"/>
        </w:rPr>
        <w:t>工作内容；</w:t>
      </w:r>
    </w:p>
    <w:p w14:paraId="74FB6915">
      <w:pPr>
        <w:spacing w:before="163" w:beforeLines="50" w:after="163" w:afterLines="50"/>
        <w:ind w:firstLine="480"/>
        <w:rPr>
          <w:rFonts w:hAnsi="宋体"/>
          <w:highlight w:val="none"/>
        </w:rPr>
      </w:pPr>
      <w:r>
        <w:rPr>
          <w:rFonts w:hint="eastAsia" w:hAnsi="宋体"/>
          <w:highlight w:val="none"/>
        </w:rPr>
        <w:t>2、项目</w:t>
      </w:r>
      <w:r>
        <w:rPr>
          <w:rFonts w:hint="eastAsia" w:hAnsi="宋体"/>
          <w:highlight w:val="none"/>
          <w:lang w:eastAsia="zh-CN"/>
        </w:rPr>
        <w:t>实施</w:t>
      </w:r>
      <w:r>
        <w:rPr>
          <w:rFonts w:hint="eastAsia" w:hAnsi="宋体"/>
          <w:highlight w:val="none"/>
        </w:rPr>
        <w:t>中产出的各类报告等文档；</w:t>
      </w:r>
    </w:p>
    <w:p w14:paraId="4D3BEF49">
      <w:pPr>
        <w:spacing w:before="163" w:beforeLines="50" w:after="163" w:afterLines="50"/>
        <w:ind w:firstLine="480"/>
        <w:rPr>
          <w:rFonts w:hint="eastAsia" w:hAnsi="宋体"/>
          <w:highlight w:val="none"/>
        </w:rPr>
      </w:pPr>
      <w:r>
        <w:rPr>
          <w:rFonts w:hint="eastAsia" w:hAnsi="宋体"/>
          <w:highlight w:val="none"/>
        </w:rPr>
        <w:t>内容包括：</w:t>
      </w:r>
      <w:bookmarkStart w:id="241" w:name="_Toc25581212"/>
      <w:bookmarkStart w:id="242" w:name="_Toc496197034"/>
      <w:bookmarkStart w:id="243" w:name="_Toc20779"/>
      <w:bookmarkStart w:id="244" w:name="_Toc5889"/>
      <w:bookmarkStart w:id="245" w:name="_Toc5883"/>
      <w:bookmarkStart w:id="246" w:name="_Toc6996"/>
      <w:bookmarkStart w:id="247" w:name="_Toc390289241"/>
      <w:bookmarkStart w:id="248" w:name="_Toc25487"/>
      <w:bookmarkStart w:id="249" w:name="_Toc456599927"/>
      <w:bookmarkStart w:id="250" w:name="_Toc97626740"/>
      <w:bookmarkStart w:id="251" w:name="_Toc6378"/>
      <w:bookmarkStart w:id="252" w:name="_Toc265160797"/>
      <w:bookmarkStart w:id="253" w:name="_Toc8598"/>
      <w:bookmarkStart w:id="254" w:name="_Toc3744"/>
      <w:bookmarkStart w:id="255" w:name="_Toc243192088"/>
      <w:bookmarkStart w:id="256" w:name="_Toc21350"/>
      <w:bookmarkStart w:id="257" w:name="_Toc100654292"/>
      <w:bookmarkStart w:id="258" w:name="_Toc24702"/>
      <w:bookmarkStart w:id="259" w:name="_Toc9102"/>
    </w:p>
    <w:tbl>
      <w:tblPr>
        <w:tblStyle w:val="24"/>
        <w:tblW w:w="0" w:type="auto"/>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8"/>
        <w:gridCol w:w="960"/>
        <w:gridCol w:w="1360"/>
        <w:gridCol w:w="1152"/>
        <w:gridCol w:w="4045"/>
      </w:tblGrid>
      <w:tr w14:paraId="518B2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818" w:type="dxa"/>
            <w:tcBorders>
              <w:top w:val="single" w:color="000000" w:sz="8" w:space="0"/>
              <w:left w:val="single" w:color="000000" w:sz="8" w:space="0"/>
              <w:bottom w:val="single" w:color="000000" w:sz="8" w:space="0"/>
              <w:right w:val="single" w:color="000000" w:sz="8" w:space="0"/>
            </w:tcBorders>
            <w:shd w:val="clear" w:color="auto" w:fill="D8D8D8"/>
            <w:vAlign w:val="center"/>
          </w:tcPr>
          <w:p w14:paraId="3FE3B03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960" w:type="dxa"/>
            <w:tcBorders>
              <w:top w:val="single" w:color="000000" w:sz="8" w:space="0"/>
              <w:left w:val="single" w:color="000000" w:sz="8" w:space="0"/>
              <w:bottom w:val="single" w:color="000000" w:sz="8" w:space="0"/>
              <w:right w:val="single" w:color="000000" w:sz="8" w:space="0"/>
            </w:tcBorders>
            <w:shd w:val="clear" w:color="auto" w:fill="D8D8D8"/>
            <w:vAlign w:val="center"/>
          </w:tcPr>
          <w:p w14:paraId="4A703FF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阶段</w:t>
            </w:r>
          </w:p>
        </w:tc>
        <w:tc>
          <w:tcPr>
            <w:tcW w:w="1360" w:type="dxa"/>
            <w:tcBorders>
              <w:top w:val="single" w:color="000000" w:sz="8" w:space="0"/>
              <w:left w:val="single" w:color="000000" w:sz="8" w:space="0"/>
              <w:bottom w:val="single" w:color="000000" w:sz="8" w:space="0"/>
              <w:right w:val="single" w:color="000000" w:sz="8" w:space="0"/>
            </w:tcBorders>
            <w:shd w:val="clear" w:color="auto" w:fill="D8D8D8"/>
            <w:vAlign w:val="center"/>
          </w:tcPr>
          <w:p w14:paraId="6FC1203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服务名称</w:t>
            </w:r>
          </w:p>
        </w:tc>
        <w:tc>
          <w:tcPr>
            <w:tcW w:w="1152" w:type="dxa"/>
            <w:tcBorders>
              <w:top w:val="single" w:color="000000" w:sz="8" w:space="0"/>
              <w:left w:val="single" w:color="000000" w:sz="8" w:space="0"/>
              <w:bottom w:val="single" w:color="000000" w:sz="8" w:space="0"/>
              <w:right w:val="single" w:color="000000" w:sz="8" w:space="0"/>
            </w:tcBorders>
            <w:shd w:val="clear" w:color="auto" w:fill="D8D8D8"/>
            <w:vAlign w:val="center"/>
          </w:tcPr>
          <w:p w14:paraId="6A2AF0F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交付频率</w:t>
            </w:r>
          </w:p>
        </w:tc>
        <w:tc>
          <w:tcPr>
            <w:tcW w:w="4045" w:type="dxa"/>
            <w:tcBorders>
              <w:top w:val="single" w:color="000000" w:sz="8" w:space="0"/>
              <w:left w:val="single" w:color="000000" w:sz="8" w:space="0"/>
              <w:bottom w:val="single" w:color="auto" w:sz="4" w:space="0"/>
              <w:right w:val="single" w:color="000000" w:sz="8" w:space="0"/>
            </w:tcBorders>
            <w:shd w:val="clear" w:color="auto" w:fill="D8D8D8"/>
            <w:vAlign w:val="center"/>
          </w:tcPr>
          <w:p w14:paraId="488AFB0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交付物</w:t>
            </w:r>
          </w:p>
        </w:tc>
      </w:tr>
      <w:tr w14:paraId="5EEC9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tcBorders>
              <w:top w:val="nil"/>
              <w:left w:val="single" w:color="000000" w:sz="8" w:space="0"/>
              <w:bottom w:val="single" w:color="000000" w:sz="8" w:space="0"/>
              <w:right w:val="single" w:color="000000" w:sz="8" w:space="0"/>
            </w:tcBorders>
            <w:shd w:val="clear" w:color="auto" w:fill="auto"/>
            <w:vAlign w:val="center"/>
          </w:tcPr>
          <w:p w14:paraId="3DE6BE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5D81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项目准备阶段</w:t>
            </w:r>
          </w:p>
        </w:tc>
        <w:tc>
          <w:tcPr>
            <w:tcW w:w="1360" w:type="dxa"/>
            <w:tcBorders>
              <w:top w:val="nil"/>
              <w:left w:val="single" w:color="000000" w:sz="8" w:space="0"/>
              <w:bottom w:val="single" w:color="000000" w:sz="8" w:space="0"/>
              <w:right w:val="single" w:color="000000" w:sz="8" w:space="0"/>
            </w:tcBorders>
            <w:shd w:val="clear" w:color="auto" w:fill="auto"/>
            <w:vAlign w:val="center"/>
          </w:tcPr>
          <w:p w14:paraId="077F0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152" w:type="dxa"/>
            <w:tcBorders>
              <w:top w:val="nil"/>
              <w:left w:val="single" w:color="000000" w:sz="8" w:space="0"/>
              <w:bottom w:val="single" w:color="000000" w:sz="8" w:space="0"/>
              <w:right w:val="single" w:color="auto" w:sz="4" w:space="0"/>
            </w:tcBorders>
            <w:shd w:val="clear" w:color="auto" w:fill="auto"/>
            <w:vAlign w:val="center"/>
          </w:tcPr>
          <w:p w14:paraId="2CFFB4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5D3DB0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r>
      <w:tr w14:paraId="0A9F5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818" w:type="dxa"/>
            <w:vMerge w:val="restart"/>
            <w:tcBorders>
              <w:top w:val="nil"/>
              <w:left w:val="single" w:color="000000" w:sz="8" w:space="0"/>
              <w:bottom w:val="single" w:color="000000" w:sz="8" w:space="0"/>
              <w:right w:val="single" w:color="000000" w:sz="8" w:space="0"/>
            </w:tcBorders>
            <w:shd w:val="clear" w:color="auto" w:fill="auto"/>
            <w:vAlign w:val="center"/>
          </w:tcPr>
          <w:p w14:paraId="0AE354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60" w:type="dxa"/>
            <w:vMerge w:val="restart"/>
            <w:tcBorders>
              <w:top w:val="nil"/>
              <w:left w:val="single" w:color="000000" w:sz="8" w:space="0"/>
              <w:bottom w:val="single" w:color="000000" w:sz="8" w:space="0"/>
              <w:right w:val="single" w:color="000000" w:sz="8" w:space="0"/>
            </w:tcBorders>
            <w:shd w:val="clear" w:color="auto" w:fill="auto"/>
            <w:vAlign w:val="center"/>
          </w:tcPr>
          <w:p w14:paraId="76A0C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实施阶段</w:t>
            </w:r>
          </w:p>
        </w:tc>
        <w:tc>
          <w:tcPr>
            <w:tcW w:w="1360" w:type="dxa"/>
            <w:vMerge w:val="restart"/>
            <w:tcBorders>
              <w:top w:val="nil"/>
              <w:left w:val="single" w:color="000000" w:sz="8" w:space="0"/>
              <w:bottom w:val="single" w:color="000000" w:sz="8" w:space="0"/>
              <w:right w:val="single" w:color="000000" w:sz="8" w:space="0"/>
            </w:tcBorders>
            <w:shd w:val="clear" w:color="auto" w:fill="auto"/>
            <w:vAlign w:val="center"/>
          </w:tcPr>
          <w:p w14:paraId="4B083C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数字化服务体系创新与能力提升研究</w:t>
            </w:r>
          </w:p>
        </w:tc>
        <w:tc>
          <w:tcPr>
            <w:tcW w:w="1152" w:type="dxa"/>
            <w:vMerge w:val="restart"/>
            <w:tcBorders>
              <w:top w:val="nil"/>
              <w:left w:val="single" w:color="000000" w:sz="8" w:space="0"/>
              <w:bottom w:val="single" w:color="000000" w:sz="8" w:space="0"/>
              <w:right w:val="single" w:color="auto" w:sz="4" w:space="0"/>
            </w:tcBorders>
            <w:shd w:val="clear" w:color="auto" w:fill="auto"/>
            <w:vAlign w:val="center"/>
          </w:tcPr>
          <w:p w14:paraId="5FDFE0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w:t>
            </w: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062873C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1、数字化服务管理体系建设研究报告</w:t>
            </w:r>
          </w:p>
        </w:tc>
      </w:tr>
      <w:tr w14:paraId="6F714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4857AB58">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6F91BB19">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7BCF75B9">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31BE910F">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212FF0A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2、数字化服务协同机制优化研究报告</w:t>
            </w:r>
          </w:p>
        </w:tc>
      </w:tr>
      <w:tr w14:paraId="7E42D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65C4A1BF">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77E1780B">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3C5432B4">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2E6A3CCA">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7E0B880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3、数字化服务组织模式变革研究方案</w:t>
            </w:r>
          </w:p>
        </w:tc>
      </w:tr>
      <w:tr w14:paraId="483BF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1A08DF3D">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31F75EF6">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4D777E24">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6710C00B">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78C66DF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4、数字化服务“体验官”管理与激励方案</w:t>
            </w:r>
          </w:p>
        </w:tc>
      </w:tr>
      <w:tr w14:paraId="0FC6C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4EC2DE7C">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7B0A45F3">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7BA2CAA0">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31EB5E4A">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0A9B5CB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5、数字化服务评价考核管理方案</w:t>
            </w:r>
          </w:p>
        </w:tc>
      </w:tr>
      <w:tr w14:paraId="36539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02CDFA27">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5732AED6">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61132E70">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45550A69">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4091FD9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6、数字化服务能力成熟度情况评估报告</w:t>
            </w:r>
          </w:p>
        </w:tc>
      </w:tr>
      <w:tr w14:paraId="1EA1A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396706DA">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02E1A08E">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51EF0E8A">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793D1666">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37162B5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7、数字化服务前瞻性对标研究报告</w:t>
            </w:r>
          </w:p>
        </w:tc>
      </w:tr>
      <w:tr w14:paraId="59E40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221E0101">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539FE75A">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7B4DD9B0">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32B94BD6">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2A1F982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8、国内外数字化服务相关的奖项及优秀案例申报底稿，不少于2份</w:t>
            </w:r>
          </w:p>
        </w:tc>
      </w:tr>
      <w:tr w14:paraId="1F3B9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628A45F0">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13813276">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2B39C402">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16A8E61D">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11F739CE">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9、核心期刊或三大检索（SCI、EI、ISTP）论文</w:t>
            </w:r>
          </w:p>
        </w:tc>
      </w:tr>
      <w:tr w14:paraId="627CE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48249CD0">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61A242BD">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57B4F447">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4E9C4C3C">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44F896C9">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10、发明专利（受理中）</w:t>
            </w:r>
            <w:r>
              <w:rPr>
                <w:rFonts w:hint="eastAsia" w:hAnsi="宋体" w:cs="宋体"/>
                <w:i w:val="0"/>
                <w:iCs w:val="0"/>
                <w:color w:val="000000"/>
                <w:kern w:val="0"/>
                <w:sz w:val="22"/>
                <w:szCs w:val="22"/>
                <w:u w:val="none"/>
                <w:lang w:val="en-US" w:eastAsia="zh-CN" w:bidi="ar"/>
              </w:rPr>
              <w:t>2份</w:t>
            </w:r>
          </w:p>
        </w:tc>
      </w:tr>
      <w:tr w14:paraId="0DD96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restart"/>
            <w:tcBorders>
              <w:top w:val="nil"/>
              <w:left w:val="single" w:color="000000" w:sz="8" w:space="0"/>
              <w:bottom w:val="single" w:color="000000" w:sz="8" w:space="0"/>
              <w:right w:val="single" w:color="000000" w:sz="8" w:space="0"/>
            </w:tcBorders>
            <w:shd w:val="clear" w:color="auto" w:fill="auto"/>
            <w:vAlign w:val="center"/>
          </w:tcPr>
          <w:p w14:paraId="7E9CBF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3DAFC8A3">
            <w:pPr>
              <w:jc w:val="center"/>
              <w:rPr>
                <w:rFonts w:hint="eastAsia" w:ascii="宋体" w:hAnsi="宋体" w:eastAsia="宋体" w:cs="宋体"/>
                <w:i w:val="0"/>
                <w:iCs w:val="0"/>
                <w:color w:val="000000"/>
                <w:sz w:val="22"/>
                <w:szCs w:val="22"/>
                <w:u w:val="none"/>
              </w:rPr>
            </w:pPr>
          </w:p>
        </w:tc>
        <w:tc>
          <w:tcPr>
            <w:tcW w:w="1360" w:type="dxa"/>
            <w:vMerge w:val="restart"/>
            <w:tcBorders>
              <w:top w:val="nil"/>
              <w:left w:val="single" w:color="000000" w:sz="8" w:space="0"/>
              <w:bottom w:val="single" w:color="000000" w:sz="8" w:space="0"/>
              <w:right w:val="single" w:color="000000" w:sz="8" w:space="0"/>
            </w:tcBorders>
            <w:shd w:val="clear" w:color="auto" w:fill="auto"/>
            <w:vAlign w:val="center"/>
          </w:tcPr>
          <w:p w14:paraId="5497AA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数字化服务第三方满意度调查与用户运营</w:t>
            </w:r>
          </w:p>
        </w:tc>
        <w:tc>
          <w:tcPr>
            <w:tcW w:w="1152" w:type="dxa"/>
            <w:vMerge w:val="restart"/>
            <w:tcBorders>
              <w:top w:val="nil"/>
              <w:left w:val="single" w:color="000000" w:sz="8" w:space="0"/>
              <w:bottom w:val="single" w:color="000000" w:sz="8" w:space="0"/>
              <w:right w:val="single" w:color="auto" w:sz="4" w:space="0"/>
            </w:tcBorders>
            <w:shd w:val="clear" w:color="auto" w:fill="auto"/>
            <w:vAlign w:val="center"/>
          </w:tcPr>
          <w:p w14:paraId="0DC933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w:t>
            </w: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2531CE6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1、第三方满意度调查指标体系</w:t>
            </w:r>
          </w:p>
        </w:tc>
      </w:tr>
      <w:tr w14:paraId="0E760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5F2A1825">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3BF57912">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763A2780">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6D4CB3D8">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6832F093">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第三方满意度调查问卷（包括电网管理平台资产域、计财域、人资域，营销管理系统，协同办公协同，eLink等不少于15个系统，广东、广西、云南、贵州、海南、深圳和超高压公司等7个单位，按用户群体设置问卷内容）</w:t>
            </w:r>
          </w:p>
        </w:tc>
      </w:tr>
      <w:tr w14:paraId="6FB59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17B579A0">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042355F2">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0D131F2D">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17C5631E">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0AAFEE2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3、第三方满意度调查工作方案</w:t>
            </w:r>
          </w:p>
        </w:tc>
      </w:tr>
      <w:tr w14:paraId="00FCF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4B0A214A">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18387448">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34886F5F">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3A39C0F5">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4CD24AE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4、第三方满意度电话调查明细记录表</w:t>
            </w:r>
          </w:p>
        </w:tc>
      </w:tr>
      <w:tr w14:paraId="65A7B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7766BF7F">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71FF12E0">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4C1C269D">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01BC03CA">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6E9DD36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5、第三方满意度电话调查用户调查明细记录表</w:t>
            </w:r>
          </w:p>
        </w:tc>
      </w:tr>
      <w:tr w14:paraId="4EABD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28B765F1">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508DE4ED">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5A5DDB93">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62850A5D">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0A757EA9">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6、第三方满意度用户体验调查及深度访谈纪要</w:t>
            </w:r>
          </w:p>
        </w:tc>
      </w:tr>
      <w:tr w14:paraId="4F726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0E586056">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19C3AE29">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028351B6">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0E6DD999">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6EC8FE65">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7、满意度评价得分卡（得分卡包括但不限于总体、各用户类型、各系统参与方、各供电单位等不同维度的满意度评价得分，以及各维度下用户不满意原因、用户期望、用户需求等数据的统计值）</w:t>
            </w:r>
            <w:r>
              <w:rPr>
                <w:rFonts w:hint="eastAsia" w:hAnsi="宋体" w:cs="宋体"/>
                <w:i w:val="0"/>
                <w:iCs w:val="0"/>
                <w:color w:val="000000"/>
                <w:kern w:val="0"/>
                <w:sz w:val="22"/>
                <w:szCs w:val="22"/>
                <w:u w:val="none"/>
                <w:lang w:val="en-US" w:eastAsia="zh-CN" w:bidi="ar"/>
              </w:rPr>
              <w:t>，不少于14份。</w:t>
            </w:r>
          </w:p>
        </w:tc>
      </w:tr>
      <w:tr w14:paraId="06484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6949FF4A">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0447BC9D">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62350001">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11C0556F">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3FB383D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8、第三方满意度调查结果报告，23份，包括1份总报告，各单位报告7份（含广东、广西、云南、贵州、海南、深圳和超高压公司），各系统报告不少于15份。</w:t>
            </w:r>
          </w:p>
        </w:tc>
      </w:tr>
      <w:tr w14:paraId="7B322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75B8D9DF">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7F76DC82">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2544FD8E">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7ED652EF">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71BD368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9、用户意见管理与活动运营方案，包括探针用户遴选机制、激励办法、活动方案等内容。</w:t>
            </w:r>
          </w:p>
        </w:tc>
      </w:tr>
      <w:tr w14:paraId="392D0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4C0991A8">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5881F12B">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33FDC2EC">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1795F9E4">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0D95E3C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10、探针用户清单</w:t>
            </w:r>
          </w:p>
        </w:tc>
      </w:tr>
      <w:tr w14:paraId="1F185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5A534D1A">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054183DB">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2CDB3596">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36733BF8">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2F8A597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11、探针用户评价原始数据</w:t>
            </w:r>
          </w:p>
        </w:tc>
      </w:tr>
      <w:tr w14:paraId="3DC81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758393F5">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152265CE">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3E557F77">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6CF32B17">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27FB3872">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12、探针用户评价报告</w:t>
            </w:r>
          </w:p>
        </w:tc>
      </w:tr>
      <w:tr w14:paraId="65530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818" w:type="dxa"/>
            <w:tcBorders>
              <w:top w:val="nil"/>
              <w:left w:val="single" w:color="000000" w:sz="8" w:space="0"/>
              <w:bottom w:val="single" w:color="000000" w:sz="8" w:space="0"/>
              <w:right w:val="single" w:color="000000" w:sz="8" w:space="0"/>
            </w:tcBorders>
            <w:shd w:val="clear" w:color="auto" w:fill="auto"/>
            <w:vAlign w:val="center"/>
          </w:tcPr>
          <w:p w14:paraId="038D7D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09C0C170">
            <w:pPr>
              <w:jc w:val="center"/>
              <w:rPr>
                <w:rFonts w:hint="eastAsia" w:ascii="宋体" w:hAnsi="宋体" w:eastAsia="宋体" w:cs="宋体"/>
                <w:i w:val="0"/>
                <w:iCs w:val="0"/>
                <w:color w:val="000000"/>
                <w:sz w:val="22"/>
                <w:szCs w:val="22"/>
                <w:u w:val="none"/>
              </w:rPr>
            </w:pPr>
          </w:p>
        </w:tc>
        <w:tc>
          <w:tcPr>
            <w:tcW w:w="1360" w:type="dxa"/>
            <w:vMerge w:val="restart"/>
            <w:tcBorders>
              <w:top w:val="nil"/>
              <w:left w:val="single" w:color="000000" w:sz="8" w:space="0"/>
              <w:bottom w:val="single" w:color="000000" w:sz="8" w:space="0"/>
              <w:right w:val="single" w:color="000000" w:sz="8" w:space="0"/>
            </w:tcBorders>
            <w:shd w:val="clear" w:color="auto" w:fill="auto"/>
            <w:vAlign w:val="center"/>
          </w:tcPr>
          <w:p w14:paraId="7F1AF0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网级前台及中台服务监督与分析</w:t>
            </w:r>
          </w:p>
        </w:tc>
        <w:tc>
          <w:tcPr>
            <w:tcW w:w="1152" w:type="dxa"/>
            <w:tcBorders>
              <w:top w:val="nil"/>
              <w:left w:val="single" w:color="000000" w:sz="8" w:space="0"/>
              <w:bottom w:val="single" w:color="000000" w:sz="8" w:space="0"/>
              <w:right w:val="single" w:color="auto" w:sz="4" w:space="0"/>
            </w:tcBorders>
            <w:shd w:val="clear" w:color="auto" w:fill="auto"/>
            <w:vAlign w:val="center"/>
          </w:tcPr>
          <w:p w14:paraId="745B7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每日</w:t>
            </w: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771D110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1、工单超时分析日报</w:t>
            </w:r>
          </w:p>
        </w:tc>
      </w:tr>
      <w:tr w14:paraId="7EFB8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818" w:type="dxa"/>
            <w:tcBorders>
              <w:top w:val="nil"/>
              <w:left w:val="single" w:color="000000" w:sz="8" w:space="0"/>
              <w:bottom w:val="single" w:color="000000" w:sz="8" w:space="0"/>
              <w:right w:val="single" w:color="000000" w:sz="8" w:space="0"/>
            </w:tcBorders>
            <w:shd w:val="clear" w:color="auto" w:fill="auto"/>
            <w:vAlign w:val="center"/>
          </w:tcPr>
          <w:p w14:paraId="671DCC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1E518191">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10C9CA79">
            <w:pPr>
              <w:jc w:val="center"/>
              <w:rPr>
                <w:rFonts w:hint="eastAsia" w:ascii="宋体" w:hAnsi="宋体" w:eastAsia="宋体" w:cs="宋体"/>
                <w:i w:val="0"/>
                <w:iCs w:val="0"/>
                <w:color w:val="000000"/>
                <w:sz w:val="22"/>
                <w:szCs w:val="22"/>
                <w:u w:val="none"/>
              </w:rPr>
            </w:pPr>
          </w:p>
        </w:tc>
        <w:tc>
          <w:tcPr>
            <w:tcW w:w="1152" w:type="dxa"/>
            <w:tcBorders>
              <w:top w:val="nil"/>
              <w:left w:val="single" w:color="000000" w:sz="8" w:space="0"/>
              <w:bottom w:val="single" w:color="000000" w:sz="8" w:space="0"/>
              <w:right w:val="single" w:color="auto" w:sz="4" w:space="0"/>
            </w:tcBorders>
            <w:shd w:val="clear" w:color="auto" w:fill="auto"/>
            <w:vAlign w:val="center"/>
          </w:tcPr>
          <w:p w14:paraId="199C3C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每周</w:t>
            </w: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7578572D">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1、工单超时分析周报</w:t>
            </w:r>
          </w:p>
        </w:tc>
      </w:tr>
      <w:tr w14:paraId="134B0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trPr>
        <w:tc>
          <w:tcPr>
            <w:tcW w:w="818" w:type="dxa"/>
            <w:vMerge w:val="restart"/>
            <w:tcBorders>
              <w:top w:val="nil"/>
              <w:left w:val="single" w:color="000000" w:sz="8" w:space="0"/>
              <w:bottom w:val="single" w:color="000000" w:sz="8" w:space="0"/>
              <w:right w:val="single" w:color="000000" w:sz="8" w:space="0"/>
            </w:tcBorders>
            <w:shd w:val="clear" w:color="auto" w:fill="auto"/>
            <w:vAlign w:val="center"/>
          </w:tcPr>
          <w:p w14:paraId="2234AC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624C85E1">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3758C969">
            <w:pPr>
              <w:jc w:val="center"/>
              <w:rPr>
                <w:rFonts w:hint="eastAsia" w:ascii="宋体" w:hAnsi="宋体" w:eastAsia="宋体" w:cs="宋体"/>
                <w:i w:val="0"/>
                <w:iCs w:val="0"/>
                <w:color w:val="000000"/>
                <w:sz w:val="22"/>
                <w:szCs w:val="22"/>
                <w:u w:val="none"/>
              </w:rPr>
            </w:pPr>
          </w:p>
        </w:tc>
        <w:tc>
          <w:tcPr>
            <w:tcW w:w="1152" w:type="dxa"/>
            <w:vMerge w:val="restart"/>
            <w:tcBorders>
              <w:top w:val="nil"/>
              <w:left w:val="single" w:color="000000" w:sz="8" w:space="0"/>
              <w:bottom w:val="single" w:color="000000" w:sz="8" w:space="0"/>
              <w:right w:val="single" w:color="auto" w:sz="4" w:space="0"/>
            </w:tcBorders>
            <w:shd w:val="clear" w:color="auto" w:fill="auto"/>
            <w:vAlign w:val="center"/>
          </w:tcPr>
          <w:p w14:paraId="76B9C6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月度</w:t>
            </w: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19178518">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1、工单超时分析月报</w:t>
            </w:r>
          </w:p>
        </w:tc>
      </w:tr>
      <w:tr w14:paraId="76EAA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3B808B42">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4E35CF20">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4C87DEF9">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53C2C8E3">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6B1E3BB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2、工单及话务质量检查报告</w:t>
            </w:r>
          </w:p>
        </w:tc>
      </w:tr>
      <w:tr w14:paraId="5CFAC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818" w:type="dxa"/>
            <w:vMerge w:val="continue"/>
            <w:tcBorders>
              <w:top w:val="nil"/>
              <w:left w:val="single" w:color="000000" w:sz="8" w:space="0"/>
              <w:bottom w:val="single" w:color="000000" w:sz="8" w:space="0"/>
              <w:right w:val="single" w:color="000000" w:sz="8" w:space="0"/>
            </w:tcBorders>
            <w:shd w:val="clear" w:color="auto" w:fill="auto"/>
            <w:vAlign w:val="center"/>
          </w:tcPr>
          <w:p w14:paraId="04F62EF9">
            <w:pPr>
              <w:jc w:val="center"/>
              <w:rPr>
                <w:rFonts w:hint="eastAsia" w:ascii="宋体" w:hAnsi="宋体" w:eastAsia="宋体" w:cs="宋体"/>
                <w:i w:val="0"/>
                <w:iCs w:val="0"/>
                <w:color w:val="000000"/>
                <w:sz w:val="22"/>
                <w:szCs w:val="22"/>
                <w:u w:val="none"/>
              </w:rPr>
            </w:pPr>
          </w:p>
        </w:tc>
        <w:tc>
          <w:tcPr>
            <w:tcW w:w="960" w:type="dxa"/>
            <w:vMerge w:val="continue"/>
            <w:tcBorders>
              <w:top w:val="nil"/>
              <w:left w:val="single" w:color="000000" w:sz="8" w:space="0"/>
              <w:bottom w:val="single" w:color="000000" w:sz="8" w:space="0"/>
              <w:right w:val="single" w:color="000000" w:sz="8" w:space="0"/>
            </w:tcBorders>
            <w:shd w:val="clear" w:color="auto" w:fill="auto"/>
            <w:vAlign w:val="center"/>
          </w:tcPr>
          <w:p w14:paraId="3821DAD4">
            <w:pPr>
              <w:jc w:val="center"/>
              <w:rPr>
                <w:rFonts w:hint="eastAsia" w:ascii="宋体" w:hAnsi="宋体" w:eastAsia="宋体" w:cs="宋体"/>
                <w:i w:val="0"/>
                <w:iCs w:val="0"/>
                <w:color w:val="000000"/>
                <w:sz w:val="22"/>
                <w:szCs w:val="22"/>
                <w:u w:val="none"/>
              </w:rPr>
            </w:pPr>
          </w:p>
        </w:tc>
        <w:tc>
          <w:tcPr>
            <w:tcW w:w="1360" w:type="dxa"/>
            <w:vMerge w:val="continue"/>
            <w:tcBorders>
              <w:top w:val="nil"/>
              <w:left w:val="single" w:color="000000" w:sz="8" w:space="0"/>
              <w:bottom w:val="single" w:color="000000" w:sz="8" w:space="0"/>
              <w:right w:val="single" w:color="000000" w:sz="8" w:space="0"/>
            </w:tcBorders>
            <w:shd w:val="clear" w:color="auto" w:fill="auto"/>
            <w:vAlign w:val="center"/>
          </w:tcPr>
          <w:p w14:paraId="677020A1">
            <w:pPr>
              <w:jc w:val="center"/>
              <w:rPr>
                <w:rFonts w:hint="eastAsia" w:ascii="宋体" w:hAnsi="宋体" w:eastAsia="宋体" w:cs="宋体"/>
                <w:i w:val="0"/>
                <w:iCs w:val="0"/>
                <w:color w:val="000000"/>
                <w:sz w:val="22"/>
                <w:szCs w:val="22"/>
                <w:u w:val="none"/>
              </w:rPr>
            </w:pPr>
          </w:p>
        </w:tc>
        <w:tc>
          <w:tcPr>
            <w:tcW w:w="1152" w:type="dxa"/>
            <w:vMerge w:val="continue"/>
            <w:tcBorders>
              <w:top w:val="nil"/>
              <w:left w:val="single" w:color="000000" w:sz="8" w:space="0"/>
              <w:bottom w:val="single" w:color="000000" w:sz="8" w:space="0"/>
              <w:right w:val="single" w:color="auto" w:sz="4" w:space="0"/>
            </w:tcBorders>
            <w:shd w:val="clear" w:color="auto" w:fill="auto"/>
            <w:vAlign w:val="center"/>
          </w:tcPr>
          <w:p w14:paraId="3CDA8E4A">
            <w:pPr>
              <w:jc w:val="center"/>
              <w:rPr>
                <w:rFonts w:hint="eastAsia" w:ascii="宋体" w:hAnsi="宋体" w:eastAsia="宋体" w:cs="宋体"/>
                <w:i w:val="0"/>
                <w:iCs w:val="0"/>
                <w:color w:val="000000"/>
                <w:sz w:val="22"/>
                <w:szCs w:val="22"/>
                <w:u w:val="none"/>
              </w:rPr>
            </w:pPr>
          </w:p>
        </w:tc>
        <w:tc>
          <w:tcPr>
            <w:tcW w:w="4045" w:type="dxa"/>
            <w:tcBorders>
              <w:top w:val="single" w:color="auto" w:sz="4" w:space="0"/>
              <w:left w:val="single" w:color="auto" w:sz="4" w:space="0"/>
              <w:bottom w:val="single" w:color="auto" w:sz="4" w:space="0"/>
              <w:right w:val="single" w:color="auto" w:sz="4" w:space="0"/>
            </w:tcBorders>
            <w:shd w:val="clear" w:color="auto" w:fill="auto"/>
            <w:vAlign w:val="center"/>
          </w:tcPr>
          <w:p w14:paraId="2A61189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3、服务申诉处理台账</w:t>
            </w:r>
          </w:p>
        </w:tc>
      </w:tr>
      <w:bookmarkEnd w:id="75"/>
      <w:bookmarkEnd w:id="76"/>
      <w:bookmarkEnd w:id="77"/>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tbl>
    <w:p w14:paraId="4ACB0591">
      <w:pPr>
        <w:pStyle w:val="5"/>
        <w:ind w:left="0" w:leftChars="0" w:firstLineChars="0"/>
        <w:rPr>
          <w:rFonts w:hAnsi="宋体"/>
          <w:highlight w:val="none"/>
        </w:rPr>
      </w:pPr>
      <w:bookmarkStart w:id="260" w:name="_Toc29063"/>
      <w:bookmarkStart w:id="261" w:name="_Toc11104"/>
      <w:bookmarkStart w:id="262" w:name="_Toc25869"/>
      <w:bookmarkStart w:id="263" w:name="_Toc1008532103"/>
      <w:bookmarkStart w:id="264" w:name="_Toc1853074003"/>
      <w:r>
        <w:rPr>
          <w:rFonts w:hint="eastAsia" w:hAnsi="宋体"/>
          <w:highlight w:val="none"/>
        </w:rPr>
        <w:t>项目</w:t>
      </w:r>
      <w:bookmarkStart w:id="265" w:name="_Toc100654294"/>
      <w:bookmarkStart w:id="266" w:name="_Toc20656"/>
      <w:bookmarkStart w:id="267" w:name="_Toc97626742"/>
      <w:r>
        <w:rPr>
          <w:rFonts w:hint="eastAsia" w:hAnsi="宋体"/>
          <w:highlight w:val="none"/>
        </w:rPr>
        <w:t>验收</w:t>
      </w:r>
      <w:bookmarkEnd w:id="260"/>
      <w:bookmarkEnd w:id="261"/>
      <w:bookmarkEnd w:id="262"/>
      <w:bookmarkEnd w:id="263"/>
      <w:bookmarkEnd w:id="264"/>
      <w:bookmarkEnd w:id="265"/>
      <w:bookmarkEnd w:id="266"/>
      <w:bookmarkEnd w:id="267"/>
    </w:p>
    <w:p w14:paraId="0AC6381E">
      <w:pPr>
        <w:ind w:firstLine="480"/>
        <w:rPr>
          <w:rFonts w:hAnsi="宋体" w:cstheme="minorEastAsia"/>
          <w:szCs w:val="24"/>
          <w:highlight w:val="none"/>
        </w:rPr>
      </w:pPr>
      <w:bookmarkStart w:id="268" w:name="_Hlk76627229"/>
      <w:r>
        <w:rPr>
          <w:rFonts w:hint="eastAsia" w:hAnsi="宋体"/>
          <w:szCs w:val="24"/>
          <w:highlight w:val="none"/>
        </w:rPr>
        <w:t>在服务周期内，完成并提交满足合同约定的成果。保证成果及验收材料齐全、满足合同或相应标准的前提下进行</w:t>
      </w:r>
      <w:r>
        <w:rPr>
          <w:rFonts w:hint="eastAsia" w:hAnsi="宋体" w:cstheme="minorEastAsia"/>
          <w:szCs w:val="24"/>
          <w:highlight w:val="none"/>
        </w:rPr>
        <w:t>。</w:t>
      </w:r>
    </w:p>
    <w:p w14:paraId="429F0816">
      <w:pPr>
        <w:ind w:firstLine="480"/>
        <w:rPr>
          <w:rFonts w:hAnsi="宋体" w:cstheme="minorEastAsia"/>
          <w:szCs w:val="24"/>
          <w:highlight w:val="none"/>
          <w:lang w:val="zh-CN"/>
        </w:rPr>
      </w:pPr>
      <w:r>
        <w:rPr>
          <w:rFonts w:hint="eastAsia" w:hAnsi="宋体" w:cstheme="minorEastAsia"/>
          <w:szCs w:val="24"/>
          <w:highlight w:val="none"/>
          <w:lang w:val="zh-CN"/>
        </w:rPr>
        <w:t>（</w:t>
      </w:r>
      <w:r>
        <w:rPr>
          <w:rFonts w:hint="eastAsia" w:hAnsi="宋体" w:cstheme="minorEastAsia"/>
          <w:szCs w:val="24"/>
          <w:highlight w:val="none"/>
        </w:rPr>
        <w:t>1</w:t>
      </w:r>
      <w:r>
        <w:rPr>
          <w:rFonts w:hint="eastAsia" w:hAnsi="宋体" w:cstheme="minorEastAsia"/>
          <w:szCs w:val="24"/>
          <w:highlight w:val="none"/>
          <w:lang w:val="zh-CN"/>
        </w:rPr>
        <w:t>）验收时间</w:t>
      </w:r>
    </w:p>
    <w:p w14:paraId="2A535D9C">
      <w:pPr>
        <w:ind w:firstLine="480"/>
        <w:rPr>
          <w:rFonts w:hAnsi="宋体"/>
          <w:highlight w:val="none"/>
        </w:rPr>
      </w:pPr>
      <w:r>
        <w:rPr>
          <w:rFonts w:hAnsi="宋体"/>
          <w:highlight w:val="none"/>
        </w:rPr>
        <w:t>合同服务期满且按要求提交符合要求的交付成果后1个月内</w:t>
      </w:r>
      <w:r>
        <w:rPr>
          <w:rFonts w:hint="eastAsia" w:hAnsi="宋体"/>
          <w:highlight w:val="none"/>
        </w:rPr>
        <w:t>。</w:t>
      </w:r>
    </w:p>
    <w:p w14:paraId="249E5D0B">
      <w:pPr>
        <w:ind w:firstLine="480"/>
        <w:rPr>
          <w:rFonts w:hAnsi="宋体" w:cstheme="minorEastAsia"/>
          <w:szCs w:val="24"/>
          <w:highlight w:val="none"/>
          <w:lang w:val="zh-CN"/>
        </w:rPr>
      </w:pPr>
      <w:r>
        <w:rPr>
          <w:rFonts w:hint="eastAsia" w:hAnsi="宋体" w:cstheme="minorEastAsia"/>
          <w:szCs w:val="24"/>
          <w:highlight w:val="none"/>
        </w:rPr>
        <w:t>（2）</w:t>
      </w:r>
      <w:r>
        <w:rPr>
          <w:rFonts w:hint="eastAsia" w:hAnsi="宋体" w:cstheme="minorEastAsia"/>
          <w:szCs w:val="24"/>
          <w:highlight w:val="none"/>
          <w:lang w:val="zh-CN"/>
        </w:rPr>
        <w:t>验收依据</w:t>
      </w:r>
    </w:p>
    <w:p w14:paraId="4A81374F">
      <w:pPr>
        <w:ind w:firstLine="480"/>
        <w:rPr>
          <w:rFonts w:hAnsi="宋体" w:cstheme="minorEastAsia"/>
          <w:szCs w:val="24"/>
          <w:highlight w:val="none"/>
          <w:lang w:val="zh-CN"/>
        </w:rPr>
      </w:pPr>
      <w:r>
        <w:rPr>
          <w:rFonts w:hint="eastAsia" w:hAnsi="宋体" w:cstheme="minorEastAsia"/>
          <w:szCs w:val="24"/>
          <w:highlight w:val="none"/>
        </w:rPr>
        <w:t>a</w:t>
      </w:r>
      <w:r>
        <w:rPr>
          <w:rFonts w:hint="eastAsia" w:hAnsi="宋体" w:cstheme="minorEastAsia"/>
          <w:szCs w:val="24"/>
          <w:highlight w:val="none"/>
          <w:lang w:val="zh-CN"/>
        </w:rPr>
        <w:t>、</w:t>
      </w:r>
      <w:r>
        <w:rPr>
          <w:rFonts w:hint="eastAsia" w:hAnsi="宋体" w:cstheme="minorEastAsia"/>
          <w:szCs w:val="24"/>
          <w:highlight w:val="none"/>
          <w:lang w:val="en-US" w:eastAsia="zh-CN"/>
        </w:rPr>
        <w:t>投标方</w:t>
      </w:r>
      <w:r>
        <w:rPr>
          <w:rFonts w:hint="eastAsia" w:hAnsi="宋体" w:cstheme="minorEastAsia"/>
          <w:szCs w:val="24"/>
          <w:highlight w:val="none"/>
          <w:lang w:val="zh-CN"/>
        </w:rPr>
        <w:t>根据合同履约情况，汇总技术服务交付成果，向</w:t>
      </w:r>
      <w:r>
        <w:rPr>
          <w:rFonts w:hint="eastAsia" w:hAnsi="宋体" w:cstheme="minorEastAsia"/>
          <w:szCs w:val="24"/>
          <w:highlight w:val="none"/>
        </w:rPr>
        <w:t>招标方</w:t>
      </w:r>
      <w:r>
        <w:rPr>
          <w:rFonts w:hint="eastAsia" w:hAnsi="宋体" w:cstheme="minorEastAsia"/>
          <w:szCs w:val="24"/>
          <w:highlight w:val="none"/>
          <w:lang w:val="zh-CN"/>
        </w:rPr>
        <w:t>申请验收。</w:t>
      </w:r>
    </w:p>
    <w:p w14:paraId="42FC7B8F">
      <w:pPr>
        <w:ind w:firstLine="480"/>
        <w:rPr>
          <w:rFonts w:hAnsi="宋体" w:cstheme="minorEastAsia"/>
          <w:szCs w:val="24"/>
          <w:highlight w:val="none"/>
          <w:lang w:val="zh-CN"/>
        </w:rPr>
      </w:pPr>
      <w:r>
        <w:rPr>
          <w:rFonts w:hint="eastAsia" w:hAnsi="宋体" w:cstheme="minorEastAsia"/>
          <w:szCs w:val="24"/>
          <w:highlight w:val="none"/>
        </w:rPr>
        <w:t>b</w:t>
      </w:r>
      <w:r>
        <w:rPr>
          <w:rFonts w:hint="eastAsia" w:hAnsi="宋体" w:cstheme="minorEastAsia"/>
          <w:szCs w:val="24"/>
          <w:highlight w:val="none"/>
          <w:lang w:val="zh-CN"/>
        </w:rPr>
        <w:t>、</w:t>
      </w:r>
      <w:r>
        <w:rPr>
          <w:rFonts w:hint="eastAsia" w:hAnsi="宋体" w:cstheme="minorEastAsia"/>
          <w:szCs w:val="24"/>
          <w:highlight w:val="none"/>
        </w:rPr>
        <w:t>招标方</w:t>
      </w:r>
      <w:r>
        <w:rPr>
          <w:rFonts w:hint="eastAsia" w:hAnsi="宋体" w:cstheme="minorEastAsia"/>
          <w:szCs w:val="24"/>
          <w:highlight w:val="none"/>
          <w:lang w:val="zh-CN"/>
        </w:rPr>
        <w:t>对验收资料进行初审，符合要求后，组织</w:t>
      </w:r>
      <w:r>
        <w:rPr>
          <w:rFonts w:hint="eastAsia" w:hAnsi="宋体" w:cstheme="minorEastAsia"/>
          <w:szCs w:val="24"/>
          <w:highlight w:val="none"/>
          <w:lang w:val="en-US" w:eastAsia="zh-CN"/>
        </w:rPr>
        <w:t>项目</w:t>
      </w:r>
      <w:r>
        <w:rPr>
          <w:rFonts w:hint="eastAsia" w:hAnsi="宋体" w:cstheme="minorEastAsia"/>
          <w:szCs w:val="24"/>
          <w:highlight w:val="none"/>
          <w:lang w:val="zh-CN"/>
        </w:rPr>
        <w:t>验收。</w:t>
      </w:r>
      <w:bookmarkEnd w:id="268"/>
    </w:p>
    <w:p w14:paraId="6631D5DE">
      <w:pPr>
        <w:pStyle w:val="4"/>
        <w:rPr>
          <w:rFonts w:hAnsi="宋体"/>
        </w:rPr>
      </w:pPr>
      <w:bookmarkStart w:id="269" w:name="_Toc310629350"/>
      <w:bookmarkStart w:id="270" w:name="_Toc1806919627"/>
      <w:bookmarkStart w:id="271" w:name="_Toc19909"/>
      <w:bookmarkStart w:id="272" w:name="_Toc17448"/>
      <w:r>
        <w:rPr>
          <w:rFonts w:hint="eastAsia" w:hAnsi="宋体"/>
          <w:lang w:eastAsia="zh-CN"/>
        </w:rPr>
        <w:t>服务</w:t>
      </w:r>
      <w:r>
        <w:rPr>
          <w:rFonts w:hint="eastAsia" w:hAnsi="宋体"/>
        </w:rPr>
        <w:t>保障要求</w:t>
      </w:r>
      <w:bookmarkEnd w:id="269"/>
      <w:bookmarkEnd w:id="270"/>
      <w:bookmarkEnd w:id="271"/>
      <w:bookmarkEnd w:id="272"/>
    </w:p>
    <w:p w14:paraId="57C5BF54">
      <w:pPr>
        <w:pStyle w:val="5"/>
        <w:ind w:left="0" w:leftChars="0" w:firstLineChars="0"/>
        <w:rPr>
          <w:rFonts w:hAnsi="宋体"/>
        </w:rPr>
      </w:pPr>
      <w:bookmarkStart w:id="273" w:name="_Toc1331918762"/>
      <w:bookmarkStart w:id="274" w:name="_Toc28953"/>
      <w:bookmarkStart w:id="275" w:name="_Toc100654242"/>
      <w:bookmarkStart w:id="276" w:name="_Toc31431"/>
      <w:bookmarkStart w:id="277" w:name="_Toc214739593"/>
      <w:r>
        <w:rPr>
          <w:rFonts w:hint="eastAsia" w:hAnsi="宋体"/>
        </w:rPr>
        <w:t>质量保障要求</w:t>
      </w:r>
      <w:bookmarkEnd w:id="273"/>
      <w:bookmarkEnd w:id="274"/>
      <w:bookmarkEnd w:id="275"/>
      <w:bookmarkEnd w:id="276"/>
      <w:bookmarkEnd w:id="277"/>
    </w:p>
    <w:p w14:paraId="31CE22C7">
      <w:pPr>
        <w:spacing w:before="163" w:beforeLines="50" w:after="163" w:afterLines="50"/>
        <w:ind w:firstLine="480"/>
        <w:rPr>
          <w:rFonts w:hAnsi="宋体" w:cs="宋体"/>
          <w:highlight w:val="none"/>
        </w:rPr>
      </w:pPr>
      <w:r>
        <w:rPr>
          <w:rFonts w:hint="eastAsia" w:hAnsi="宋体" w:cs="宋体"/>
        </w:rPr>
        <w:t>1</w:t>
      </w:r>
      <w:r>
        <w:rPr>
          <w:rFonts w:hint="eastAsia" w:hAnsi="宋体" w:cs="宋体"/>
          <w:lang w:eastAsia="zh-CN"/>
        </w:rPr>
        <w:t>、</w:t>
      </w:r>
      <w:r>
        <w:rPr>
          <w:rFonts w:hint="eastAsia" w:hAnsi="宋体" w:cs="宋体"/>
          <w:highlight w:val="none"/>
        </w:rPr>
        <w:t>投标方须具备项目质量保证机制及全面的项目质量管理体系。</w:t>
      </w:r>
    </w:p>
    <w:p w14:paraId="2DF01C63">
      <w:pPr>
        <w:spacing w:before="163" w:beforeLines="50" w:after="163" w:afterLines="50"/>
        <w:ind w:firstLine="480"/>
        <w:rPr>
          <w:rFonts w:hAnsi="宋体" w:cs="宋体"/>
          <w:highlight w:val="none"/>
        </w:rPr>
      </w:pPr>
      <w:r>
        <w:rPr>
          <w:rFonts w:hint="eastAsia" w:hAnsi="宋体" w:cs="宋体"/>
          <w:highlight w:val="none"/>
        </w:rPr>
        <w:t>2</w:t>
      </w:r>
      <w:r>
        <w:rPr>
          <w:rFonts w:hint="eastAsia" w:hAnsi="宋体" w:cs="宋体"/>
          <w:highlight w:val="none"/>
          <w:lang w:eastAsia="zh-CN"/>
        </w:rPr>
        <w:t>、</w:t>
      </w:r>
      <w:r>
        <w:rPr>
          <w:rFonts w:hint="eastAsia" w:hAnsi="宋体" w:cs="宋体"/>
          <w:highlight w:val="none"/>
        </w:rPr>
        <w:t>投标方配备专责的质量保证人员，进行全面的质量保证工作。</w:t>
      </w:r>
    </w:p>
    <w:p w14:paraId="6D3E3CE6">
      <w:pPr>
        <w:spacing w:before="163" w:beforeLines="50" w:after="163" w:afterLines="50"/>
        <w:ind w:firstLine="480"/>
        <w:rPr>
          <w:rFonts w:hAnsi="宋体" w:cs="宋体"/>
        </w:rPr>
      </w:pPr>
      <w:r>
        <w:rPr>
          <w:rFonts w:hint="eastAsia" w:hAnsi="宋体" w:cs="宋体"/>
          <w:highlight w:val="none"/>
        </w:rPr>
        <w:t>3</w:t>
      </w:r>
      <w:r>
        <w:rPr>
          <w:rFonts w:hint="eastAsia" w:hAnsi="宋体" w:cs="宋体"/>
          <w:highlight w:val="none"/>
          <w:lang w:eastAsia="zh-CN"/>
        </w:rPr>
        <w:t>、</w:t>
      </w:r>
      <w:r>
        <w:rPr>
          <w:rFonts w:hint="eastAsia" w:hAnsi="宋体" w:cs="宋体"/>
          <w:highlight w:val="none"/>
        </w:rPr>
        <w:t>为保证项目的正常运行，要求投标方</w:t>
      </w:r>
      <w:r>
        <w:rPr>
          <w:rFonts w:hint="eastAsia" w:hAnsi="宋体" w:cs="宋体"/>
        </w:rPr>
        <w:t>提供项目执行跟踪和监控的具体措施，措施应包括项目状态周报制度、每周项目例会制度、阶段总结制度等。</w:t>
      </w:r>
    </w:p>
    <w:p w14:paraId="7350AF8A">
      <w:pPr>
        <w:spacing w:before="163" w:beforeLines="50" w:after="163" w:afterLines="50"/>
        <w:ind w:firstLine="480"/>
        <w:rPr>
          <w:rFonts w:hAnsi="宋体" w:cs="宋体"/>
          <w:highlight w:val="none"/>
        </w:rPr>
      </w:pPr>
      <w:r>
        <w:rPr>
          <w:rFonts w:hint="eastAsia" w:hAnsi="宋体" w:cs="宋体"/>
        </w:rPr>
        <w:t>4</w:t>
      </w:r>
      <w:r>
        <w:rPr>
          <w:rFonts w:hint="eastAsia" w:hAnsi="宋体" w:cs="宋体"/>
          <w:highlight w:val="none"/>
          <w:lang w:eastAsia="zh-CN"/>
        </w:rPr>
        <w:t>、</w:t>
      </w:r>
      <w:r>
        <w:rPr>
          <w:rFonts w:hint="eastAsia" w:hAnsi="宋体" w:cs="宋体"/>
          <w:highlight w:val="none"/>
        </w:rPr>
        <w:t>投标方须编制项目的质量计划，保证项目的范围、阶段成果和最终成果的有关规定、标准的要求。</w:t>
      </w:r>
    </w:p>
    <w:p w14:paraId="72B827AF">
      <w:pPr>
        <w:spacing w:before="163" w:beforeLines="50" w:after="163" w:afterLines="50"/>
        <w:ind w:firstLine="480"/>
        <w:rPr>
          <w:rFonts w:hAnsi="宋体" w:cs="宋体"/>
          <w:highlight w:val="none"/>
        </w:rPr>
      </w:pPr>
      <w:r>
        <w:rPr>
          <w:rFonts w:hint="eastAsia" w:hAnsi="宋体" w:cs="宋体"/>
          <w:highlight w:val="none"/>
        </w:rPr>
        <w:t>5</w:t>
      </w:r>
      <w:r>
        <w:rPr>
          <w:rFonts w:hint="eastAsia" w:hAnsi="宋体" w:cs="宋体"/>
          <w:highlight w:val="none"/>
          <w:lang w:eastAsia="zh-CN"/>
        </w:rPr>
        <w:t>、</w:t>
      </w:r>
      <w:r>
        <w:rPr>
          <w:rFonts w:hint="eastAsia" w:hAnsi="宋体" w:cs="宋体"/>
          <w:highlight w:val="none"/>
        </w:rPr>
        <w:t>投标方须建立项目变更流程，记录项目变更。</w:t>
      </w:r>
    </w:p>
    <w:p w14:paraId="3840520C">
      <w:pPr>
        <w:spacing w:before="163" w:beforeLines="50" w:after="163" w:afterLines="50"/>
        <w:ind w:firstLine="480"/>
        <w:rPr>
          <w:rFonts w:hAnsi="宋体" w:cs="宋体"/>
          <w:highlight w:val="none"/>
        </w:rPr>
      </w:pPr>
      <w:r>
        <w:rPr>
          <w:rFonts w:hint="eastAsia" w:hAnsi="宋体" w:cs="宋体"/>
          <w:highlight w:val="none"/>
        </w:rPr>
        <w:t>6</w:t>
      </w:r>
      <w:r>
        <w:rPr>
          <w:rFonts w:hint="eastAsia" w:hAnsi="宋体" w:cs="宋体"/>
          <w:highlight w:val="none"/>
          <w:lang w:eastAsia="zh-CN"/>
        </w:rPr>
        <w:t>、</w:t>
      </w:r>
      <w:r>
        <w:rPr>
          <w:rFonts w:hint="eastAsia" w:hAnsi="宋体" w:cs="宋体"/>
          <w:highlight w:val="none"/>
        </w:rPr>
        <w:t>若由于投标方自身原因导致项目质量缺陷或偏差，招标方可根据合同要求追究投标方责任。</w:t>
      </w:r>
    </w:p>
    <w:p w14:paraId="025E1A72">
      <w:pPr>
        <w:pStyle w:val="5"/>
        <w:ind w:left="0" w:leftChars="0" w:firstLineChars="0"/>
        <w:rPr>
          <w:rFonts w:hAnsi="宋体"/>
        </w:rPr>
      </w:pPr>
      <w:bookmarkStart w:id="278" w:name="_Toc4181"/>
      <w:bookmarkStart w:id="279" w:name="_Toc4598"/>
      <w:bookmarkStart w:id="280" w:name="_Toc1355812591"/>
      <w:bookmarkStart w:id="281" w:name="_Toc189096606"/>
      <w:r>
        <w:rPr>
          <w:rFonts w:hint="eastAsia" w:hAnsi="宋体"/>
        </w:rPr>
        <w:t>服务响应要求</w:t>
      </w:r>
      <w:bookmarkEnd w:id="278"/>
      <w:bookmarkEnd w:id="279"/>
      <w:bookmarkEnd w:id="280"/>
      <w:bookmarkEnd w:id="281"/>
    </w:p>
    <w:p w14:paraId="055F8D44">
      <w:pPr>
        <w:spacing w:before="163" w:beforeLines="50" w:after="163" w:afterLines="50"/>
        <w:ind w:firstLine="480"/>
        <w:rPr>
          <w:rFonts w:hAnsi="宋体" w:cs="宋体"/>
        </w:rPr>
      </w:pPr>
      <w:r>
        <w:rPr>
          <w:rFonts w:hAnsi="宋体" w:cs="宋体"/>
        </w:rPr>
        <w:t>1）</w:t>
      </w:r>
      <w:r>
        <w:rPr>
          <w:rFonts w:hint="eastAsia" w:hAnsi="宋体" w:cs="宋体"/>
          <w:highlight w:val="none"/>
        </w:rPr>
        <w:t>投标方</w:t>
      </w:r>
      <w:r>
        <w:rPr>
          <w:rFonts w:hint="eastAsia" w:hAnsi="宋体" w:cs="宋体"/>
        </w:rPr>
        <w:t>提供每周 7*24 小时（含节假日）的电话支持和相关技术咨询服务。</w:t>
      </w:r>
    </w:p>
    <w:p w14:paraId="2ED55629">
      <w:pPr>
        <w:spacing w:before="163" w:beforeLines="50" w:after="163" w:afterLines="50"/>
        <w:ind w:firstLine="480"/>
        <w:rPr>
          <w:rFonts w:hAnsi="宋体" w:cs="宋体"/>
        </w:rPr>
      </w:pPr>
      <w:r>
        <w:rPr>
          <w:rFonts w:hint="eastAsia" w:hAnsi="宋体" w:cs="宋体"/>
        </w:rPr>
        <w:t>2</w:t>
      </w:r>
      <w:r>
        <w:rPr>
          <w:rFonts w:hAnsi="宋体" w:cs="宋体"/>
        </w:rPr>
        <w:t>）</w:t>
      </w:r>
      <w:r>
        <w:rPr>
          <w:rFonts w:hint="eastAsia" w:hAnsi="宋体" w:cs="宋体"/>
          <w:highlight w:val="none"/>
        </w:rPr>
        <w:t>投标方提供现场服务</w:t>
      </w:r>
      <w:r>
        <w:rPr>
          <w:rFonts w:hint="eastAsia" w:hAnsi="宋体" w:cs="宋体"/>
          <w:highlight w:val="none"/>
          <w:lang w:eastAsia="zh-CN"/>
        </w:rPr>
        <w:t>，</w:t>
      </w:r>
      <w:r>
        <w:rPr>
          <w:rFonts w:hint="eastAsia" w:hAnsi="宋体" w:cs="宋体"/>
          <w:highlight w:val="none"/>
        </w:rPr>
        <w:t>应</w:t>
      </w:r>
      <w:r>
        <w:rPr>
          <w:rFonts w:hint="eastAsia" w:hAnsi="宋体" w:cs="宋体"/>
        </w:rPr>
        <w:t>提供至少一名现场驻点服务人员，提供工作日 8个小时现场驻点服务，负责维护工作的总体联络协调。</w:t>
      </w:r>
    </w:p>
    <w:p w14:paraId="754FFA27">
      <w:pPr>
        <w:pStyle w:val="4"/>
        <w:rPr>
          <w:rFonts w:hAnsi="宋体"/>
        </w:rPr>
      </w:pPr>
      <w:bookmarkStart w:id="282" w:name="_Toc2018343129"/>
      <w:bookmarkStart w:id="283" w:name="_Toc193238620"/>
      <w:bookmarkStart w:id="284" w:name="_Toc8565"/>
      <w:bookmarkStart w:id="285" w:name="_Toc29156"/>
      <w:r>
        <w:rPr>
          <w:rFonts w:hint="eastAsia" w:hAnsi="宋体"/>
          <w:lang w:eastAsia="zh-CN"/>
        </w:rPr>
        <w:t>其他</w:t>
      </w:r>
      <w:r>
        <w:rPr>
          <w:rFonts w:hint="eastAsia" w:hAnsi="宋体"/>
        </w:rPr>
        <w:t>要求</w:t>
      </w:r>
      <w:bookmarkEnd w:id="282"/>
      <w:bookmarkEnd w:id="283"/>
      <w:bookmarkEnd w:id="284"/>
      <w:bookmarkEnd w:id="285"/>
    </w:p>
    <w:p w14:paraId="102CBAE8">
      <w:pPr>
        <w:ind w:firstLine="480" w:firstLineChars="200"/>
        <w:rPr>
          <w:rFonts w:hAnsi="宋体" w:cs="宋体"/>
          <w:szCs w:val="24"/>
        </w:rPr>
      </w:pPr>
      <w:r>
        <w:rPr>
          <w:rFonts w:hint="eastAsia" w:hAnsi="宋体" w:cs="宋体"/>
          <w:szCs w:val="24"/>
        </w:rPr>
        <w:t>投标方</w:t>
      </w:r>
      <w:r>
        <w:rPr>
          <w:rFonts w:hAnsi="宋体" w:cs="宋体"/>
          <w:szCs w:val="24"/>
        </w:rPr>
        <w:t>保证其提供的产品、工具、模型、方法论、源代码、文档、知识资产及服务没有任何权利瑕疵，没有侵犯任何第三方权利。</w:t>
      </w:r>
      <w:r>
        <w:rPr>
          <w:rFonts w:hint="eastAsia" w:hAnsi="宋体" w:cs="宋体"/>
          <w:szCs w:val="24"/>
        </w:rPr>
        <w:t>招标方</w:t>
      </w:r>
      <w:r>
        <w:rPr>
          <w:rFonts w:hAnsi="宋体" w:cs="宋体"/>
          <w:szCs w:val="24"/>
        </w:rPr>
        <w:t>在使用该产品或服务的任何一部分时，免受第三方提出的任何侵犯其知识产权的权利主张。如果任何人对</w:t>
      </w:r>
      <w:r>
        <w:rPr>
          <w:rFonts w:hint="eastAsia" w:hAnsi="宋体" w:cs="宋体"/>
          <w:szCs w:val="24"/>
        </w:rPr>
        <w:t>招标方</w:t>
      </w:r>
      <w:r>
        <w:rPr>
          <w:rFonts w:hAnsi="宋体" w:cs="宋体"/>
          <w:szCs w:val="24"/>
        </w:rPr>
        <w:t>使用该产品及服务主张权利，由</w:t>
      </w:r>
      <w:r>
        <w:rPr>
          <w:rFonts w:hint="eastAsia" w:hAnsi="宋体" w:cs="宋体"/>
          <w:szCs w:val="24"/>
        </w:rPr>
        <w:t>投标方</w:t>
      </w:r>
      <w:r>
        <w:rPr>
          <w:rFonts w:hAnsi="宋体" w:cs="宋体"/>
          <w:szCs w:val="24"/>
        </w:rPr>
        <w:t>负责处理一切纠纷及相关事宜，由此给</w:t>
      </w:r>
      <w:r>
        <w:rPr>
          <w:rFonts w:hint="eastAsia" w:hAnsi="宋体" w:cs="宋体"/>
          <w:szCs w:val="24"/>
        </w:rPr>
        <w:t>招标方</w:t>
      </w:r>
      <w:r>
        <w:rPr>
          <w:rFonts w:hAnsi="宋体" w:cs="宋体"/>
          <w:szCs w:val="24"/>
        </w:rPr>
        <w:t>造成的损失，由</w:t>
      </w:r>
      <w:r>
        <w:rPr>
          <w:rFonts w:hint="eastAsia" w:hAnsi="宋体" w:cs="宋体"/>
          <w:szCs w:val="24"/>
        </w:rPr>
        <w:t>投标方</w:t>
      </w:r>
      <w:r>
        <w:rPr>
          <w:rFonts w:hAnsi="宋体" w:cs="宋体"/>
          <w:szCs w:val="24"/>
        </w:rPr>
        <w:t>承担。</w:t>
      </w:r>
    </w:p>
    <w:p w14:paraId="26AC95E8">
      <w:pPr>
        <w:ind w:firstLine="480" w:firstLineChars="200"/>
        <w:jc w:val="left"/>
        <w:rPr>
          <w:rFonts w:hAnsi="宋体" w:cs="宋体"/>
          <w:i w:val="0"/>
          <w:iCs w:val="0"/>
          <w:szCs w:val="24"/>
          <w:highlight w:val="none"/>
        </w:rPr>
      </w:pPr>
      <w:r>
        <w:rPr>
          <w:rFonts w:hint="eastAsia" w:hAnsi="宋体" w:cs="宋体"/>
          <w:i w:val="0"/>
          <w:iCs w:val="0"/>
          <w:szCs w:val="24"/>
          <w:highlight w:val="none"/>
        </w:rPr>
        <w:t>投标方</w:t>
      </w:r>
      <w:r>
        <w:rPr>
          <w:rFonts w:hAnsi="宋体" w:cs="宋体"/>
          <w:i w:val="0"/>
          <w:iCs w:val="0"/>
          <w:szCs w:val="24"/>
          <w:highlight w:val="none"/>
        </w:rPr>
        <w:t>向</w:t>
      </w:r>
      <w:r>
        <w:rPr>
          <w:rFonts w:hint="eastAsia" w:hAnsi="宋体" w:cs="宋体"/>
          <w:i w:val="0"/>
          <w:iCs w:val="0"/>
          <w:szCs w:val="24"/>
          <w:highlight w:val="none"/>
        </w:rPr>
        <w:t>招标方</w:t>
      </w:r>
      <w:r>
        <w:rPr>
          <w:rFonts w:hAnsi="宋体" w:cs="宋体"/>
          <w:i w:val="0"/>
          <w:iCs w:val="0"/>
          <w:szCs w:val="24"/>
          <w:highlight w:val="none"/>
        </w:rPr>
        <w:t>提交的本项目所有工作成果的知识产权归</w:t>
      </w:r>
      <w:r>
        <w:rPr>
          <w:rFonts w:hint="eastAsia" w:hAnsi="宋体" w:cs="宋体"/>
          <w:i w:val="0"/>
          <w:iCs w:val="0"/>
          <w:szCs w:val="24"/>
          <w:highlight w:val="none"/>
        </w:rPr>
        <w:t>招标方</w:t>
      </w:r>
      <w:r>
        <w:rPr>
          <w:rFonts w:hAnsi="宋体" w:cs="宋体"/>
          <w:i w:val="0"/>
          <w:iCs w:val="0"/>
          <w:szCs w:val="24"/>
          <w:highlight w:val="none"/>
        </w:rPr>
        <w:t>所有，包括但不限于</w:t>
      </w:r>
      <w:r>
        <w:rPr>
          <w:rFonts w:hint="eastAsia" w:hAnsi="宋体" w:cs="宋体"/>
          <w:i w:val="0"/>
          <w:iCs w:val="0"/>
          <w:szCs w:val="24"/>
          <w:highlight w:val="none"/>
        </w:rPr>
        <w:t>投标方</w:t>
      </w:r>
      <w:r>
        <w:rPr>
          <w:rFonts w:hAnsi="宋体" w:cs="宋体"/>
          <w:i w:val="0"/>
          <w:iCs w:val="0"/>
          <w:szCs w:val="24"/>
          <w:highlight w:val="none"/>
        </w:rPr>
        <w:t>在本项目中开发的软件及相关文件和文档的版权等。由本项目开发而形成商业秘密信息、技术资料、技术诀窍等智力成果归</w:t>
      </w:r>
      <w:r>
        <w:rPr>
          <w:rFonts w:hint="eastAsia" w:hAnsi="宋体" w:cs="宋体"/>
          <w:i w:val="0"/>
          <w:iCs w:val="0"/>
          <w:szCs w:val="24"/>
          <w:highlight w:val="none"/>
        </w:rPr>
        <w:t>招标方</w:t>
      </w:r>
      <w:r>
        <w:rPr>
          <w:rFonts w:hAnsi="宋体" w:cs="宋体"/>
          <w:i w:val="0"/>
          <w:iCs w:val="0"/>
          <w:szCs w:val="24"/>
          <w:highlight w:val="none"/>
        </w:rPr>
        <w:t>所有</w:t>
      </w:r>
      <w:r>
        <w:rPr>
          <w:rFonts w:hint="eastAsia" w:hAnsi="宋体" w:cs="宋体"/>
          <w:i w:val="0"/>
          <w:iCs w:val="0"/>
          <w:szCs w:val="24"/>
          <w:highlight w:val="none"/>
        </w:rPr>
        <w:t>。</w:t>
      </w:r>
    </w:p>
    <w:p w14:paraId="4478A9CC">
      <w:pPr>
        <w:ind w:firstLine="480" w:firstLineChars="200"/>
        <w:jc w:val="left"/>
        <w:rPr>
          <w:rFonts w:hAnsi="宋体"/>
          <w:i w:val="0"/>
          <w:iCs w:val="0"/>
          <w:highlight w:val="none"/>
        </w:rPr>
      </w:pPr>
      <w:r>
        <w:rPr>
          <w:rFonts w:hAnsi="宋体" w:cs="宋体"/>
          <w:i w:val="0"/>
          <w:iCs w:val="0"/>
          <w:szCs w:val="24"/>
          <w:highlight w:val="none"/>
        </w:rPr>
        <w:t>未经</w:t>
      </w:r>
      <w:r>
        <w:rPr>
          <w:rFonts w:hint="eastAsia" w:hAnsi="宋体" w:cs="宋体"/>
          <w:i w:val="0"/>
          <w:iCs w:val="0"/>
          <w:szCs w:val="24"/>
          <w:highlight w:val="none"/>
        </w:rPr>
        <w:t>招标方</w:t>
      </w:r>
      <w:r>
        <w:rPr>
          <w:rFonts w:hAnsi="宋体" w:cs="宋体"/>
          <w:i w:val="0"/>
          <w:iCs w:val="0"/>
          <w:szCs w:val="24"/>
          <w:highlight w:val="none"/>
        </w:rPr>
        <w:t>书面许可，</w:t>
      </w:r>
      <w:r>
        <w:rPr>
          <w:rFonts w:hint="eastAsia" w:hAnsi="宋体" w:cs="宋体"/>
          <w:i w:val="0"/>
          <w:iCs w:val="0"/>
          <w:szCs w:val="24"/>
          <w:highlight w:val="none"/>
        </w:rPr>
        <w:t>投标方</w:t>
      </w:r>
      <w:r>
        <w:rPr>
          <w:rFonts w:hAnsi="宋体" w:cs="宋体"/>
          <w:i w:val="0"/>
          <w:iCs w:val="0"/>
          <w:szCs w:val="24"/>
          <w:highlight w:val="none"/>
        </w:rPr>
        <w:t>及其任何人员均不得行使本项目工作成果的任何知识产权。</w:t>
      </w:r>
    </w:p>
    <w:sectPr>
      <w:headerReference r:id="rId13" w:type="default"/>
      <w:footerReference r:id="rId14" w:type="default"/>
      <w:pgSz w:w="11906" w:h="16838"/>
      <w:pgMar w:top="1440" w:right="1800" w:bottom="1440" w:left="1800" w:header="567" w:footer="513" w:gutter="0"/>
      <w:pgNumType w:start="1"/>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AACF2">
    <w:pPr>
      <w:spacing w:before="120" w:after="120"/>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EB989">
    <w:pPr>
      <w:spacing w:before="120" w:after="120"/>
      <w:ind w:firstLine="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D95EB">
    <w:pPr>
      <w:spacing w:before="120" w:after="120"/>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3BBB2">
    <w:pPr>
      <w:ind w:firstLine="480"/>
      <w:jc w:val="center"/>
    </w:pPr>
    <w:r>
      <w:fldChar w:fldCharType="begin"/>
    </w:r>
    <w:r>
      <w:instrText xml:space="preserve">PAGE   \* MERGEFORMAT</w:instrText>
    </w:r>
    <w:r>
      <w:fldChar w:fldCharType="separate"/>
    </w:r>
    <w:r>
      <w:rPr>
        <w:lang w:val="zh-CN"/>
      </w:rPr>
      <w:t>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3F458">
    <w:pPr>
      <w:ind w:firstLine="480"/>
      <w:jc w:val="center"/>
    </w:pPr>
    <w:r>
      <w:fldChar w:fldCharType="begin"/>
    </w:r>
    <w:r>
      <w:instrText xml:space="preserve"> PAGE   \* MERGEFORMAT </w:instrText>
    </w:r>
    <w:r>
      <w:fldChar w:fldCharType="separate"/>
    </w:r>
    <w:r>
      <w:rPr>
        <w:lang w:val="zh-CN"/>
      </w:rPr>
      <w:t>18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73524">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0F08">
    <w:pPr>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70F15">
    <w:pPr>
      <w:pBdr>
        <w:bottom w:val="single" w:color="auto" w:sz="4" w:space="1"/>
      </w:pBdr>
      <w:ind w:firstLine="480"/>
      <w:rPr>
        <w:rFonts w:ascii="Arial" w:hAnsi="Arial"/>
      </w:rPr>
    </w:pPr>
    <w:r>
      <w:rPr>
        <w:rFonts w:hint="eastAsia" w:ascii="Arial" w:hAnsi="Arial"/>
      </w:rPr>
      <w:t>深圳供电局</w:t>
    </w:r>
    <w:r>
      <w:rPr>
        <w:rFonts w:hint="eastAsia"/>
      </w:rPr>
      <w:t>ERP系统建设项目(营销专业软件第二期技术实施部分)项目技术协议</w:t>
    </w:r>
  </w:p>
  <w:p w14:paraId="093A2356">
    <w:pPr>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C877B">
    <w:pPr>
      <w:spacing w:line="240" w:lineRule="auto"/>
      <w:ind w:firstLine="482"/>
      <w:jc w:val="right"/>
      <w:textAlignment w:val="bottom"/>
      <w:rPr>
        <w:rFonts w:hint="default" w:ascii="宋体" w:eastAsia="宋体"/>
        <w:sz w:val="21"/>
        <w:szCs w:val="20"/>
        <w:lang w:val="en-US"/>
      </w:rPr>
    </w:pPr>
    <w:r>
      <w:rPr>
        <w:rFonts w:ascii="宋体" w:hAnsi="宋体" w:eastAsia="宋体"/>
        <w:kern w:val="0"/>
        <w:sz w:val="20"/>
        <w:szCs w:val="20"/>
      </w:rPr>
      <w:drawing>
        <wp:anchor distT="0" distB="0" distL="114300" distR="114300" simplePos="0" relativeHeight="251660288" behindDoc="0" locked="0" layoutInCell="1" allowOverlap="1">
          <wp:simplePos x="0" y="0"/>
          <wp:positionH relativeFrom="margin">
            <wp:posOffset>62230</wp:posOffset>
          </wp:positionH>
          <wp:positionV relativeFrom="paragraph">
            <wp:posOffset>25400</wp:posOffset>
          </wp:positionV>
          <wp:extent cx="1504950" cy="276225"/>
          <wp:effectExtent l="0" t="0" r="3810" b="13335"/>
          <wp:wrapNone/>
          <wp:docPr id="1201045829" name="图片 120104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045829" name="图片 120104582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04950" cy="276225"/>
                  </a:xfrm>
                  <a:prstGeom prst="rect">
                    <a:avLst/>
                  </a:prstGeom>
                  <a:noFill/>
                  <a:ln>
                    <a:noFill/>
                  </a:ln>
                </pic:spPr>
              </pic:pic>
            </a:graphicData>
          </a:graphic>
        </wp:anchor>
      </w:drawing>
    </w:r>
    <w:r>
      <w:rPr>
        <w:rFonts w:ascii="宋体" w:hAnsi="宋体" w:eastAsia="宋体"/>
        <w:kern w:val="0"/>
        <w:sz w:val="20"/>
        <w:szCs w:val="20"/>
      </w:rPr>
      <mc:AlternateContent>
        <mc:Choice Requires="wps">
          <w:drawing>
            <wp:anchor distT="0" distB="0" distL="114300" distR="114300" simplePos="0" relativeHeight="251661312" behindDoc="0" locked="0" layoutInCell="1" allowOverlap="1">
              <wp:simplePos x="0" y="0"/>
              <wp:positionH relativeFrom="column">
                <wp:posOffset>119380</wp:posOffset>
              </wp:positionH>
              <wp:positionV relativeFrom="paragraph">
                <wp:posOffset>367030</wp:posOffset>
              </wp:positionV>
              <wp:extent cx="5008880" cy="0"/>
              <wp:effectExtent l="0" t="4445" r="0" b="5080"/>
              <wp:wrapNone/>
              <wp:docPr id="1664692739" name="直接连接符 2"/>
              <wp:cNvGraphicFramePr/>
              <a:graphic xmlns:a="http://schemas.openxmlformats.org/drawingml/2006/main">
                <a:graphicData uri="http://schemas.microsoft.com/office/word/2010/wordprocessingShape">
                  <wps:wsp>
                    <wps:cNvCnPr/>
                    <wps:spPr>
                      <a:xfrm>
                        <a:off x="0" y="0"/>
                        <a:ext cx="5008728" cy="0"/>
                      </a:xfrm>
                      <a:prstGeom prst="line">
                        <a:avLst/>
                      </a:prstGeom>
                      <a:noFill/>
                      <a:ln w="9525" cap="flat" cmpd="sng" algn="ctr">
                        <a:solidFill>
                          <a:sysClr val="windowText" lastClr="000000"/>
                        </a:solidFill>
                        <a:prstDash val="solid"/>
                      </a:ln>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 o:spid="_x0000_s1026" o:spt="20" style="position:absolute;left:0pt;margin-left:9.4pt;margin-top:28.9pt;height:0pt;width:394.4pt;z-index:251661312;mso-width-relative:page;mso-height-relative:page;" filled="f" stroked="t" coordsize="21600,21600" o:gfxdata="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5ov0tUAAAAIAQAADwAAAAAAAAABACAAAAAiAAAAZHJzL2Rvd25yZXYueG1sUEsBAhQAFAAA&#10;AAgAh07iQGF9YMXyAQAAxQMAAA4AAAAAAAAAAQAgAAAAJAEAAGRycy9lMm9Eb2MueG1sUEsFBgAA&#10;AAAGAAYAWQEAAIgFAAAAAA==&#10;">
              <v:fill on="f" focussize="0,0"/>
              <v:stroke color="#000000 [3204]" joinstyle="round"/>
              <v:imagedata o:title=""/>
              <o:lock v:ext="edit" aspectratio="f"/>
            </v:line>
          </w:pict>
        </mc:Fallback>
      </mc:AlternateContent>
    </w:r>
    <w:r>
      <w:rPr>
        <w:rFonts w:hint="default" w:ascii="宋体" w:eastAsia="宋体"/>
        <w:sz w:val="21"/>
        <w:szCs w:val="20"/>
        <w:lang w:val="en-US"/>
      </w:rPr>
      <w:t>2026-2027年数字化服务第三方评价监督与体系提升项目</w:t>
    </w:r>
  </w:p>
  <w:p w14:paraId="0CF5F3C4">
    <w:pPr>
      <w:widowControl w:val="0"/>
      <w:spacing w:after="120" w:line="240" w:lineRule="auto"/>
      <w:jc w:val="right"/>
      <w:rPr>
        <w:rFonts w:hint="default" w:ascii="宋体" w:eastAsia="宋体" w:hAnsiTheme="minorHAnsi" w:cstheme="minorBidi"/>
        <w:kern w:val="2"/>
        <w:sz w:val="24"/>
        <w:szCs w:val="22"/>
        <w:lang w:val="en-US" w:eastAsia="zh-CN" w:bidi="ar-SA"/>
      </w:rPr>
    </w:pPr>
    <w:r>
      <w:rPr>
        <w:rFonts w:hint="eastAsia" w:ascii="宋体" w:eastAsia="宋体" w:hAnsiTheme="minorHAnsi" w:cstheme="minorBidi"/>
        <w:kern w:val="2"/>
        <w:sz w:val="21"/>
        <w:szCs w:val="20"/>
        <w:lang w:val="en-US" w:eastAsia="zh-CN" w:bidi="ar-SA"/>
      </w:rPr>
      <w:t>技术规范书</w:t>
    </w:r>
  </w:p>
  <w:p w14:paraId="724BC8FB">
    <w:pPr>
      <w:pStyle w:val="18"/>
      <w:jc w:val="right"/>
      <w:rPr>
        <w:rFonts w:hint="default"/>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2068F">
    <w:pPr>
      <w:spacing w:line="240" w:lineRule="auto"/>
      <w:ind w:firstLine="482"/>
      <w:jc w:val="right"/>
      <w:textAlignment w:val="bottom"/>
      <w:rPr>
        <w:rFonts w:hint="default" w:ascii="宋体" w:eastAsia="宋体"/>
        <w:sz w:val="21"/>
        <w:szCs w:val="20"/>
        <w:lang w:val="en-US"/>
      </w:rPr>
    </w:pPr>
    <w:r>
      <w:rPr>
        <w:rFonts w:ascii="宋体" w:hAnsi="宋体" w:eastAsia="宋体"/>
        <w:kern w:val="0"/>
        <w:sz w:val="20"/>
        <w:szCs w:val="20"/>
      </w:rPr>
      <w:drawing>
        <wp:anchor distT="0" distB="0" distL="114300" distR="114300" simplePos="0" relativeHeight="251662336" behindDoc="0" locked="0" layoutInCell="1" allowOverlap="1">
          <wp:simplePos x="0" y="0"/>
          <wp:positionH relativeFrom="margin">
            <wp:posOffset>62230</wp:posOffset>
          </wp:positionH>
          <wp:positionV relativeFrom="paragraph">
            <wp:posOffset>25400</wp:posOffset>
          </wp:positionV>
          <wp:extent cx="1504950" cy="276225"/>
          <wp:effectExtent l="0" t="0" r="3810" b="1333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04950" cy="276225"/>
                  </a:xfrm>
                  <a:prstGeom prst="rect">
                    <a:avLst/>
                  </a:prstGeom>
                  <a:noFill/>
                  <a:ln>
                    <a:noFill/>
                  </a:ln>
                </pic:spPr>
              </pic:pic>
            </a:graphicData>
          </a:graphic>
        </wp:anchor>
      </w:drawing>
    </w:r>
    <w:r>
      <w:rPr>
        <w:rFonts w:ascii="宋体" w:hAnsi="宋体" w:eastAsia="宋体"/>
        <w:kern w:val="0"/>
        <w:sz w:val="20"/>
        <w:szCs w:val="20"/>
      </w:rPr>
      <mc:AlternateContent>
        <mc:Choice Requires="wps">
          <w:drawing>
            <wp:anchor distT="0" distB="0" distL="114300" distR="114300" simplePos="0" relativeHeight="251663360" behindDoc="0" locked="0" layoutInCell="1" allowOverlap="1">
              <wp:simplePos x="0" y="0"/>
              <wp:positionH relativeFrom="column">
                <wp:posOffset>119380</wp:posOffset>
              </wp:positionH>
              <wp:positionV relativeFrom="paragraph">
                <wp:posOffset>367030</wp:posOffset>
              </wp:positionV>
              <wp:extent cx="5008880" cy="0"/>
              <wp:effectExtent l="0" t="4445" r="0" b="5080"/>
              <wp:wrapNone/>
              <wp:docPr id="6" name="直接连接符 2"/>
              <wp:cNvGraphicFramePr/>
              <a:graphic xmlns:a="http://schemas.openxmlformats.org/drawingml/2006/main">
                <a:graphicData uri="http://schemas.microsoft.com/office/word/2010/wordprocessingShape">
                  <wps:wsp>
                    <wps:cNvCnPr/>
                    <wps:spPr>
                      <a:xfrm>
                        <a:off x="0" y="0"/>
                        <a:ext cx="5008728" cy="0"/>
                      </a:xfrm>
                      <a:prstGeom prst="line">
                        <a:avLst/>
                      </a:prstGeom>
                      <a:noFill/>
                      <a:ln w="9525" cap="flat" cmpd="sng" algn="ctr">
                        <a:solidFill>
                          <a:sysClr val="windowText" lastClr="000000"/>
                        </a:solidFill>
                        <a:prstDash val="solid"/>
                      </a:ln>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 o:spid="_x0000_s1026" o:spt="20" style="position:absolute;left:0pt;margin-left:9.4pt;margin-top:28.9pt;height:0pt;width:394.4pt;z-index:251663360;mso-width-relative:page;mso-height-relative:page;" filled="f" stroked="t" coordsize="21600,21600" o:gfxdata="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eaL9LV&#10;AAAACAEAAA8AAAAAAAAAAQAgAAAAIgAAAGRycy9kb3ducmV2LnhtbFBLAQIUABQAAAAIAIdO4kBU&#10;a3PH6gEAALwDAAAOAAAAAAAAAAEAIAAAACQBAABkcnMvZTJvRG9jLnhtbFBLBQYAAAAABgAGAFkB&#10;AACABQAAAAA=&#10;">
              <v:fill on="f" focussize="0,0"/>
              <v:stroke color="#000000 [3204]" joinstyle="round"/>
              <v:imagedata o:title=""/>
              <o:lock v:ext="edit" aspectratio="f"/>
            </v:line>
          </w:pict>
        </mc:Fallback>
      </mc:AlternateContent>
    </w:r>
    <w:r>
      <w:rPr>
        <w:rFonts w:hint="default" w:ascii="宋体" w:eastAsia="宋体"/>
        <w:sz w:val="21"/>
        <w:szCs w:val="20"/>
        <w:lang w:val="en-US"/>
      </w:rPr>
      <w:t>2026-2027年数字化服务第三方评价监督与体系提升项目</w:t>
    </w:r>
  </w:p>
  <w:p w14:paraId="05D8B6D1">
    <w:pPr>
      <w:widowControl w:val="0"/>
      <w:spacing w:after="120" w:line="240" w:lineRule="auto"/>
      <w:jc w:val="right"/>
      <w:rPr>
        <w:rFonts w:hint="default" w:ascii="宋体" w:eastAsia="宋体" w:hAnsiTheme="minorHAnsi" w:cstheme="minorBidi"/>
        <w:kern w:val="2"/>
        <w:sz w:val="24"/>
        <w:szCs w:val="22"/>
        <w:lang w:val="en-US" w:eastAsia="zh-CN" w:bidi="ar-SA"/>
      </w:rPr>
    </w:pPr>
    <w:r>
      <w:rPr>
        <w:rFonts w:hint="eastAsia" w:ascii="宋体" w:eastAsia="宋体" w:hAnsiTheme="minorHAnsi" w:cstheme="minorBidi"/>
        <w:kern w:val="2"/>
        <w:sz w:val="21"/>
        <w:szCs w:val="20"/>
        <w:lang w:val="en-US" w:eastAsia="zh-CN" w:bidi="ar-SA"/>
      </w:rPr>
      <w:t>技术规范书</w:t>
    </w:r>
  </w:p>
  <w:p w14:paraId="7BC47E46">
    <w:pPr>
      <w:ind w:right="0"/>
      <w:jc w:val="right"/>
      <w:rPr>
        <w:sz w:val="18"/>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4288D"/>
    <w:multiLevelType w:val="multilevel"/>
    <w:tmpl w:val="AF04288D"/>
    <w:lvl w:ilvl="0" w:tentative="0">
      <w:start w:val="1"/>
      <w:numFmt w:val="decimal"/>
      <w:pStyle w:val="4"/>
      <w:lvlText w:val="%1."/>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decimal"/>
      <w:pStyle w:val="5"/>
      <w:lvlText w:val="%1.%2."/>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2" w:tentative="0">
      <w:start w:val="1"/>
      <w:numFmt w:val="decimal"/>
      <w:pStyle w:val="6"/>
      <w:lvlText w:val="%1.%2.%3."/>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7"/>
      <w:lvlText w:val="%1.%2.%3.%4."/>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pStyle w:val="8"/>
      <w:lvlText w:val="%1.%2.%3.%4.%5."/>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5" w:tentative="0">
      <w:start w:val="1"/>
      <w:numFmt w:val="decimal"/>
      <w:pStyle w:val="9"/>
      <w:lvlText w:val="%1.%2.%3.%4.%5.%6."/>
      <w:lvlJc w:val="left"/>
      <w:pPr>
        <w:ind w:left="0" w:firstLine="0"/>
      </w:pPr>
      <w:rPr>
        <w:rFonts w:hint="default"/>
        <w:sz w:val="24"/>
        <w:szCs w:val="24"/>
      </w:rPr>
    </w:lvl>
    <w:lvl w:ilvl="6" w:tentative="0">
      <w:start w:val="1"/>
      <w:numFmt w:val="decimal"/>
      <w:pStyle w:val="10"/>
      <w:lvlText w:val="%1.%2.%3.%4.%5.%6.%7."/>
      <w:lvlJc w:val="left"/>
      <w:pPr>
        <w:ind w:left="0" w:firstLine="0"/>
      </w:pPr>
      <w:rPr>
        <w:rFonts w:hint="default"/>
      </w:rPr>
    </w:lvl>
    <w:lvl w:ilvl="7" w:tentative="0">
      <w:start w:val="1"/>
      <w:numFmt w:val="decimal"/>
      <w:pStyle w:val="11"/>
      <w:lvlText w:val="%1.%2.%3.%4.%5.%6.%7.%8."/>
      <w:lvlJc w:val="left"/>
      <w:pPr>
        <w:ind w:left="0" w:firstLine="0"/>
      </w:pPr>
      <w:rPr>
        <w:rFonts w:hint="default"/>
      </w:rPr>
    </w:lvl>
    <w:lvl w:ilvl="8" w:tentative="0">
      <w:start w:val="1"/>
      <w:numFmt w:val="decimal"/>
      <w:pStyle w:val="12"/>
      <w:lvlText w:val="%1.%2.%3.%4.%5.%6.%7.%8.%9."/>
      <w:lvlJc w:val="left"/>
      <w:pPr>
        <w:ind w:left="0" w:firstLine="0"/>
      </w:pPr>
      <w:rPr>
        <w:rFonts w:hint="default"/>
      </w:rPr>
    </w:lvl>
  </w:abstractNum>
  <w:abstractNum w:abstractNumId="1">
    <w:nsid w:val="DE9B9347"/>
    <w:multiLevelType w:val="singleLevel"/>
    <w:tmpl w:val="DE9B9347"/>
    <w:lvl w:ilvl="0" w:tentative="0">
      <w:start w:val="2"/>
      <w:numFmt w:val="decimal"/>
      <w:suff w:val="nothing"/>
      <w:lvlText w:val="（%1）"/>
      <w:lvlJc w:val="left"/>
    </w:lvl>
  </w:abstractNum>
  <w:abstractNum w:abstractNumId="2">
    <w:nsid w:val="48535FC2"/>
    <w:multiLevelType w:val="multilevel"/>
    <w:tmpl w:val="48535FC2"/>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473"/>
        </w:tabs>
        <w:ind w:left="473" w:hanging="420"/>
      </w:pPr>
    </w:lvl>
    <w:lvl w:ilvl="2" w:tentative="0">
      <w:start w:val="1"/>
      <w:numFmt w:val="lowerRoman"/>
      <w:lvlText w:val="%3."/>
      <w:lvlJc w:val="right"/>
      <w:pPr>
        <w:tabs>
          <w:tab w:val="left" w:pos="893"/>
        </w:tabs>
        <w:ind w:left="893" w:hanging="420"/>
      </w:pPr>
    </w:lvl>
    <w:lvl w:ilvl="3" w:tentative="0">
      <w:start w:val="1"/>
      <w:numFmt w:val="decimal"/>
      <w:lvlText w:val="%4."/>
      <w:lvlJc w:val="left"/>
      <w:pPr>
        <w:tabs>
          <w:tab w:val="left" w:pos="1313"/>
        </w:tabs>
        <w:ind w:left="1313" w:hanging="420"/>
      </w:pPr>
    </w:lvl>
    <w:lvl w:ilvl="4" w:tentative="0">
      <w:start w:val="1"/>
      <w:numFmt w:val="lowerLetter"/>
      <w:lvlText w:val="%5)"/>
      <w:lvlJc w:val="left"/>
      <w:pPr>
        <w:tabs>
          <w:tab w:val="left" w:pos="1733"/>
        </w:tabs>
        <w:ind w:left="1733" w:hanging="420"/>
      </w:pPr>
    </w:lvl>
    <w:lvl w:ilvl="5" w:tentative="0">
      <w:start w:val="1"/>
      <w:numFmt w:val="lowerRoman"/>
      <w:lvlText w:val="%6."/>
      <w:lvlJc w:val="right"/>
      <w:pPr>
        <w:tabs>
          <w:tab w:val="left" w:pos="2153"/>
        </w:tabs>
        <w:ind w:left="2153" w:hanging="420"/>
      </w:pPr>
    </w:lvl>
    <w:lvl w:ilvl="6" w:tentative="0">
      <w:start w:val="1"/>
      <w:numFmt w:val="decimal"/>
      <w:lvlText w:val="%7."/>
      <w:lvlJc w:val="left"/>
      <w:pPr>
        <w:tabs>
          <w:tab w:val="left" w:pos="2573"/>
        </w:tabs>
        <w:ind w:left="2573" w:hanging="420"/>
      </w:pPr>
    </w:lvl>
    <w:lvl w:ilvl="7" w:tentative="0">
      <w:start w:val="1"/>
      <w:numFmt w:val="lowerLetter"/>
      <w:lvlText w:val="%8)"/>
      <w:lvlJc w:val="left"/>
      <w:pPr>
        <w:tabs>
          <w:tab w:val="left" w:pos="2993"/>
        </w:tabs>
        <w:ind w:left="2993" w:hanging="420"/>
      </w:pPr>
    </w:lvl>
    <w:lvl w:ilvl="8" w:tentative="0">
      <w:start w:val="1"/>
      <w:numFmt w:val="lowerRoman"/>
      <w:lvlText w:val="%9."/>
      <w:lvlJc w:val="right"/>
      <w:pPr>
        <w:tabs>
          <w:tab w:val="left" w:pos="3413"/>
        </w:tabs>
        <w:ind w:left="3413" w:hanging="420"/>
      </w:pPr>
    </w:lvl>
  </w:abstractNum>
  <w:abstractNum w:abstractNumId="3">
    <w:nsid w:val="6905BD2E"/>
    <w:multiLevelType w:val="multilevel"/>
    <w:tmpl w:val="6905BD2E"/>
    <w:lvl w:ilvl="0" w:tentative="0">
      <w:start w:val="1"/>
      <w:numFmt w:val="decimal"/>
      <w:lvlText w:val="%1、"/>
      <w:lvlJc w:val="left"/>
      <w:pPr>
        <w:ind w:left="0" w:leftChars="0" w:firstLine="420" w:firstLineChars="0"/>
      </w:pPr>
      <w:rPr>
        <w:rFonts w:hint="default" w:ascii="宋体" w:hAnsi="宋体" w:eastAsia="宋体" w:cs="Times New Roman"/>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6D9C8327"/>
    <w:multiLevelType w:val="singleLevel"/>
    <w:tmpl w:val="6D9C8327"/>
    <w:lvl w:ilvl="0" w:tentative="0">
      <w:start w:val="1"/>
      <w:numFmt w:val="decimal"/>
      <w:suff w:val="nothing"/>
      <w:lvlText w:val="（%1）"/>
      <w:lvlJc w:val="left"/>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removePersonalInformation/>
  <w:doNotDisplayPageBoundaries w:val="1"/>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4NjI5OTBmMDM1ODFlMDkzNDFlZTFiMWNhZWU5ZTMifQ=="/>
  </w:docVars>
  <w:rsids>
    <w:rsidRoot w:val="00172A27"/>
    <w:rsid w:val="00006CFB"/>
    <w:rsid w:val="00007F44"/>
    <w:rsid w:val="00014167"/>
    <w:rsid w:val="0001452C"/>
    <w:rsid w:val="00016501"/>
    <w:rsid w:val="00021C0E"/>
    <w:rsid w:val="00026DEE"/>
    <w:rsid w:val="00027547"/>
    <w:rsid w:val="00032146"/>
    <w:rsid w:val="00036448"/>
    <w:rsid w:val="00036F23"/>
    <w:rsid w:val="00037F8F"/>
    <w:rsid w:val="00064587"/>
    <w:rsid w:val="000805D3"/>
    <w:rsid w:val="00082922"/>
    <w:rsid w:val="00082F2A"/>
    <w:rsid w:val="000842E2"/>
    <w:rsid w:val="00087901"/>
    <w:rsid w:val="000919E1"/>
    <w:rsid w:val="00094546"/>
    <w:rsid w:val="000A0BD8"/>
    <w:rsid w:val="000A5CCA"/>
    <w:rsid w:val="000A5E53"/>
    <w:rsid w:val="000A788A"/>
    <w:rsid w:val="000B06C6"/>
    <w:rsid w:val="000B2625"/>
    <w:rsid w:val="000B3A6A"/>
    <w:rsid w:val="000C03EA"/>
    <w:rsid w:val="000C0F38"/>
    <w:rsid w:val="000C1EEA"/>
    <w:rsid w:val="000C3657"/>
    <w:rsid w:val="000C3EC3"/>
    <w:rsid w:val="000D534B"/>
    <w:rsid w:val="000E19F1"/>
    <w:rsid w:val="000F288C"/>
    <w:rsid w:val="000F64C8"/>
    <w:rsid w:val="001024C7"/>
    <w:rsid w:val="001052CE"/>
    <w:rsid w:val="00105F21"/>
    <w:rsid w:val="00110AC8"/>
    <w:rsid w:val="00112F3A"/>
    <w:rsid w:val="00124DEF"/>
    <w:rsid w:val="00137A97"/>
    <w:rsid w:val="00140F86"/>
    <w:rsid w:val="00144841"/>
    <w:rsid w:val="00152378"/>
    <w:rsid w:val="0015294D"/>
    <w:rsid w:val="00155FC0"/>
    <w:rsid w:val="001563E3"/>
    <w:rsid w:val="001634F1"/>
    <w:rsid w:val="00166545"/>
    <w:rsid w:val="00170CDC"/>
    <w:rsid w:val="00171A86"/>
    <w:rsid w:val="00172A27"/>
    <w:rsid w:val="00173383"/>
    <w:rsid w:val="00174AAA"/>
    <w:rsid w:val="0018408B"/>
    <w:rsid w:val="001846FF"/>
    <w:rsid w:val="00185258"/>
    <w:rsid w:val="001861B3"/>
    <w:rsid w:val="0018786C"/>
    <w:rsid w:val="00187D29"/>
    <w:rsid w:val="00193749"/>
    <w:rsid w:val="0019496B"/>
    <w:rsid w:val="001972FA"/>
    <w:rsid w:val="001A4D6B"/>
    <w:rsid w:val="001A54B7"/>
    <w:rsid w:val="001B08A3"/>
    <w:rsid w:val="001B3651"/>
    <w:rsid w:val="001B50DB"/>
    <w:rsid w:val="001B5B3C"/>
    <w:rsid w:val="001C5F00"/>
    <w:rsid w:val="001D3E7A"/>
    <w:rsid w:val="001D42DF"/>
    <w:rsid w:val="001E1755"/>
    <w:rsid w:val="001F02CB"/>
    <w:rsid w:val="002015D9"/>
    <w:rsid w:val="00204F92"/>
    <w:rsid w:val="00207C8C"/>
    <w:rsid w:val="00223D6C"/>
    <w:rsid w:val="002256D0"/>
    <w:rsid w:val="00225F91"/>
    <w:rsid w:val="002260E4"/>
    <w:rsid w:val="00227426"/>
    <w:rsid w:val="0023210A"/>
    <w:rsid w:val="00235B36"/>
    <w:rsid w:val="002360C2"/>
    <w:rsid w:val="0023708E"/>
    <w:rsid w:val="00240DC3"/>
    <w:rsid w:val="00243FC9"/>
    <w:rsid w:val="0024491C"/>
    <w:rsid w:val="00245EF9"/>
    <w:rsid w:val="00252E60"/>
    <w:rsid w:val="002605F0"/>
    <w:rsid w:val="00262D6E"/>
    <w:rsid w:val="00263372"/>
    <w:rsid w:val="00267A3A"/>
    <w:rsid w:val="00274559"/>
    <w:rsid w:val="00280DB9"/>
    <w:rsid w:val="00280E16"/>
    <w:rsid w:val="00281B7F"/>
    <w:rsid w:val="00284086"/>
    <w:rsid w:val="0028532C"/>
    <w:rsid w:val="0029547A"/>
    <w:rsid w:val="002A3516"/>
    <w:rsid w:val="002A5A14"/>
    <w:rsid w:val="002B7BD4"/>
    <w:rsid w:val="002C4011"/>
    <w:rsid w:val="002C5638"/>
    <w:rsid w:val="002C5E24"/>
    <w:rsid w:val="002C7FD5"/>
    <w:rsid w:val="002D6612"/>
    <w:rsid w:val="002E2788"/>
    <w:rsid w:val="002F0FA7"/>
    <w:rsid w:val="002F3BE8"/>
    <w:rsid w:val="002F65D1"/>
    <w:rsid w:val="00315717"/>
    <w:rsid w:val="0032171E"/>
    <w:rsid w:val="0032735E"/>
    <w:rsid w:val="003273E8"/>
    <w:rsid w:val="00331992"/>
    <w:rsid w:val="00332640"/>
    <w:rsid w:val="00337670"/>
    <w:rsid w:val="00337B9D"/>
    <w:rsid w:val="00341868"/>
    <w:rsid w:val="00342517"/>
    <w:rsid w:val="00346309"/>
    <w:rsid w:val="00347281"/>
    <w:rsid w:val="0035295B"/>
    <w:rsid w:val="0035429D"/>
    <w:rsid w:val="00357BBE"/>
    <w:rsid w:val="00364A7F"/>
    <w:rsid w:val="0036561F"/>
    <w:rsid w:val="00381C2A"/>
    <w:rsid w:val="00383E68"/>
    <w:rsid w:val="00385021"/>
    <w:rsid w:val="00386772"/>
    <w:rsid w:val="003A3D9A"/>
    <w:rsid w:val="003B031A"/>
    <w:rsid w:val="003B1E40"/>
    <w:rsid w:val="003B2031"/>
    <w:rsid w:val="003B5DC6"/>
    <w:rsid w:val="003C2129"/>
    <w:rsid w:val="003D0EB2"/>
    <w:rsid w:val="003D71BA"/>
    <w:rsid w:val="003E12F8"/>
    <w:rsid w:val="003E3C00"/>
    <w:rsid w:val="003E5382"/>
    <w:rsid w:val="003E68FB"/>
    <w:rsid w:val="003E7328"/>
    <w:rsid w:val="003F3030"/>
    <w:rsid w:val="003F48BC"/>
    <w:rsid w:val="003F55F0"/>
    <w:rsid w:val="0040276F"/>
    <w:rsid w:val="00403473"/>
    <w:rsid w:val="00410BB4"/>
    <w:rsid w:val="004125F9"/>
    <w:rsid w:val="00413C0E"/>
    <w:rsid w:val="00424A81"/>
    <w:rsid w:val="0043255C"/>
    <w:rsid w:val="0043430D"/>
    <w:rsid w:val="00450530"/>
    <w:rsid w:val="00454D90"/>
    <w:rsid w:val="00455090"/>
    <w:rsid w:val="00457BF1"/>
    <w:rsid w:val="00460EE2"/>
    <w:rsid w:val="004624DC"/>
    <w:rsid w:val="00462D3E"/>
    <w:rsid w:val="00463351"/>
    <w:rsid w:val="00463F0E"/>
    <w:rsid w:val="00466248"/>
    <w:rsid w:val="00466A52"/>
    <w:rsid w:val="004700A1"/>
    <w:rsid w:val="00471DE2"/>
    <w:rsid w:val="00471FBE"/>
    <w:rsid w:val="00473268"/>
    <w:rsid w:val="0047479D"/>
    <w:rsid w:val="00485713"/>
    <w:rsid w:val="00486028"/>
    <w:rsid w:val="004866A6"/>
    <w:rsid w:val="0048721B"/>
    <w:rsid w:val="0048768A"/>
    <w:rsid w:val="00491B89"/>
    <w:rsid w:val="0049222C"/>
    <w:rsid w:val="004B005A"/>
    <w:rsid w:val="004B111F"/>
    <w:rsid w:val="004B1D67"/>
    <w:rsid w:val="004B2A9F"/>
    <w:rsid w:val="004B3AA6"/>
    <w:rsid w:val="004B5BF8"/>
    <w:rsid w:val="004C2F42"/>
    <w:rsid w:val="004C4A64"/>
    <w:rsid w:val="004C51CF"/>
    <w:rsid w:val="004C6AAD"/>
    <w:rsid w:val="004D0844"/>
    <w:rsid w:val="004E1F39"/>
    <w:rsid w:val="004E5684"/>
    <w:rsid w:val="004E6AB8"/>
    <w:rsid w:val="004F1D16"/>
    <w:rsid w:val="004F3080"/>
    <w:rsid w:val="004F329E"/>
    <w:rsid w:val="004F49B1"/>
    <w:rsid w:val="004F7340"/>
    <w:rsid w:val="00504F57"/>
    <w:rsid w:val="0050781B"/>
    <w:rsid w:val="00517040"/>
    <w:rsid w:val="00522F2C"/>
    <w:rsid w:val="00523239"/>
    <w:rsid w:val="00524380"/>
    <w:rsid w:val="00525C83"/>
    <w:rsid w:val="00532506"/>
    <w:rsid w:val="00532BFC"/>
    <w:rsid w:val="005340BF"/>
    <w:rsid w:val="00534930"/>
    <w:rsid w:val="00536769"/>
    <w:rsid w:val="00545D78"/>
    <w:rsid w:val="005470D6"/>
    <w:rsid w:val="00562911"/>
    <w:rsid w:val="005701AA"/>
    <w:rsid w:val="0057155B"/>
    <w:rsid w:val="00571F58"/>
    <w:rsid w:val="0059134A"/>
    <w:rsid w:val="00594BC3"/>
    <w:rsid w:val="00597026"/>
    <w:rsid w:val="005A7F37"/>
    <w:rsid w:val="005B2C29"/>
    <w:rsid w:val="005B5D6E"/>
    <w:rsid w:val="005C2DA1"/>
    <w:rsid w:val="005C5FA0"/>
    <w:rsid w:val="005C7D6F"/>
    <w:rsid w:val="005D0378"/>
    <w:rsid w:val="005D5208"/>
    <w:rsid w:val="005E6FEC"/>
    <w:rsid w:val="005F0448"/>
    <w:rsid w:val="005F09EC"/>
    <w:rsid w:val="005F1C65"/>
    <w:rsid w:val="005F5B1E"/>
    <w:rsid w:val="005F71C5"/>
    <w:rsid w:val="00600A4C"/>
    <w:rsid w:val="0060205E"/>
    <w:rsid w:val="00602EDD"/>
    <w:rsid w:val="00607341"/>
    <w:rsid w:val="00613C32"/>
    <w:rsid w:val="0061693C"/>
    <w:rsid w:val="00617F75"/>
    <w:rsid w:val="00620671"/>
    <w:rsid w:val="00621D46"/>
    <w:rsid w:val="00622C16"/>
    <w:rsid w:val="00626C4D"/>
    <w:rsid w:val="0063324E"/>
    <w:rsid w:val="0063434B"/>
    <w:rsid w:val="00641C82"/>
    <w:rsid w:val="00642A2E"/>
    <w:rsid w:val="00644F0B"/>
    <w:rsid w:val="00654A60"/>
    <w:rsid w:val="006600A8"/>
    <w:rsid w:val="00660CAF"/>
    <w:rsid w:val="006673F7"/>
    <w:rsid w:val="00674CFD"/>
    <w:rsid w:val="006771A6"/>
    <w:rsid w:val="00690E4E"/>
    <w:rsid w:val="006951FD"/>
    <w:rsid w:val="006A20C0"/>
    <w:rsid w:val="006A78F0"/>
    <w:rsid w:val="006A796B"/>
    <w:rsid w:val="006B16FD"/>
    <w:rsid w:val="006B3F91"/>
    <w:rsid w:val="006C2623"/>
    <w:rsid w:val="006C342C"/>
    <w:rsid w:val="006C5A52"/>
    <w:rsid w:val="006C6892"/>
    <w:rsid w:val="006D49A9"/>
    <w:rsid w:val="006F4A9D"/>
    <w:rsid w:val="00701F92"/>
    <w:rsid w:val="00703E6D"/>
    <w:rsid w:val="007125ED"/>
    <w:rsid w:val="00714C6C"/>
    <w:rsid w:val="007161A9"/>
    <w:rsid w:val="00722D5D"/>
    <w:rsid w:val="00724FA5"/>
    <w:rsid w:val="007272C8"/>
    <w:rsid w:val="00727DAA"/>
    <w:rsid w:val="00732A1E"/>
    <w:rsid w:val="00735536"/>
    <w:rsid w:val="007377B5"/>
    <w:rsid w:val="00740D2C"/>
    <w:rsid w:val="007415A8"/>
    <w:rsid w:val="007439CD"/>
    <w:rsid w:val="007463B8"/>
    <w:rsid w:val="007517A5"/>
    <w:rsid w:val="007534FB"/>
    <w:rsid w:val="007538F1"/>
    <w:rsid w:val="007562BE"/>
    <w:rsid w:val="00757076"/>
    <w:rsid w:val="00763448"/>
    <w:rsid w:val="00764FCF"/>
    <w:rsid w:val="00767FE1"/>
    <w:rsid w:val="00767FFB"/>
    <w:rsid w:val="007759B2"/>
    <w:rsid w:val="00775E52"/>
    <w:rsid w:val="007800D2"/>
    <w:rsid w:val="007801F1"/>
    <w:rsid w:val="007803D5"/>
    <w:rsid w:val="007804FB"/>
    <w:rsid w:val="00786C0B"/>
    <w:rsid w:val="007903AA"/>
    <w:rsid w:val="00791C35"/>
    <w:rsid w:val="007A2B9E"/>
    <w:rsid w:val="007A73E8"/>
    <w:rsid w:val="007B3CEA"/>
    <w:rsid w:val="007B4A24"/>
    <w:rsid w:val="007B590B"/>
    <w:rsid w:val="007C4A02"/>
    <w:rsid w:val="007C5DF9"/>
    <w:rsid w:val="007C5F09"/>
    <w:rsid w:val="007C699A"/>
    <w:rsid w:val="007C7647"/>
    <w:rsid w:val="007D2545"/>
    <w:rsid w:val="007E0AD2"/>
    <w:rsid w:val="007F17FF"/>
    <w:rsid w:val="007F2807"/>
    <w:rsid w:val="007F3F44"/>
    <w:rsid w:val="007F7284"/>
    <w:rsid w:val="00800560"/>
    <w:rsid w:val="00801529"/>
    <w:rsid w:val="00802B43"/>
    <w:rsid w:val="00805AFA"/>
    <w:rsid w:val="00807844"/>
    <w:rsid w:val="00811053"/>
    <w:rsid w:val="008178F5"/>
    <w:rsid w:val="008211BA"/>
    <w:rsid w:val="00822866"/>
    <w:rsid w:val="0082457D"/>
    <w:rsid w:val="0082730B"/>
    <w:rsid w:val="00832751"/>
    <w:rsid w:val="00833DB5"/>
    <w:rsid w:val="0084730C"/>
    <w:rsid w:val="00851641"/>
    <w:rsid w:val="00854789"/>
    <w:rsid w:val="00854BD9"/>
    <w:rsid w:val="00856378"/>
    <w:rsid w:val="0085667D"/>
    <w:rsid w:val="008626E6"/>
    <w:rsid w:val="0086604B"/>
    <w:rsid w:val="00866076"/>
    <w:rsid w:val="00872C3B"/>
    <w:rsid w:val="00877AF9"/>
    <w:rsid w:val="0088433F"/>
    <w:rsid w:val="008864FF"/>
    <w:rsid w:val="00890BBC"/>
    <w:rsid w:val="008A6F05"/>
    <w:rsid w:val="008A7CAE"/>
    <w:rsid w:val="008B175B"/>
    <w:rsid w:val="008B4111"/>
    <w:rsid w:val="008B482C"/>
    <w:rsid w:val="008B6998"/>
    <w:rsid w:val="008B6A10"/>
    <w:rsid w:val="008C1337"/>
    <w:rsid w:val="008C2EF6"/>
    <w:rsid w:val="008C3341"/>
    <w:rsid w:val="008C3E10"/>
    <w:rsid w:val="008C6A59"/>
    <w:rsid w:val="008D050B"/>
    <w:rsid w:val="008D1541"/>
    <w:rsid w:val="008D25C9"/>
    <w:rsid w:val="008D70BC"/>
    <w:rsid w:val="008E453A"/>
    <w:rsid w:val="008E59C0"/>
    <w:rsid w:val="008E600D"/>
    <w:rsid w:val="008E6651"/>
    <w:rsid w:val="008F18A2"/>
    <w:rsid w:val="0090219B"/>
    <w:rsid w:val="009036CE"/>
    <w:rsid w:val="00914CB4"/>
    <w:rsid w:val="00916614"/>
    <w:rsid w:val="00916E35"/>
    <w:rsid w:val="00923D5B"/>
    <w:rsid w:val="0093070F"/>
    <w:rsid w:val="00934CF7"/>
    <w:rsid w:val="00943563"/>
    <w:rsid w:val="00944CB8"/>
    <w:rsid w:val="0095210C"/>
    <w:rsid w:val="00956674"/>
    <w:rsid w:val="009571AE"/>
    <w:rsid w:val="00961DAD"/>
    <w:rsid w:val="009636EB"/>
    <w:rsid w:val="00966838"/>
    <w:rsid w:val="00967908"/>
    <w:rsid w:val="00970A85"/>
    <w:rsid w:val="00971AF7"/>
    <w:rsid w:val="00973C33"/>
    <w:rsid w:val="00973E4A"/>
    <w:rsid w:val="009762B9"/>
    <w:rsid w:val="00993FC0"/>
    <w:rsid w:val="00994399"/>
    <w:rsid w:val="00997F06"/>
    <w:rsid w:val="009A3EB8"/>
    <w:rsid w:val="009A682B"/>
    <w:rsid w:val="009B3734"/>
    <w:rsid w:val="009C65CD"/>
    <w:rsid w:val="009C6BEE"/>
    <w:rsid w:val="009C7ADA"/>
    <w:rsid w:val="009D194B"/>
    <w:rsid w:val="009D2731"/>
    <w:rsid w:val="009D40D1"/>
    <w:rsid w:val="009E18DA"/>
    <w:rsid w:val="009E4212"/>
    <w:rsid w:val="009E62FE"/>
    <w:rsid w:val="009F6BFB"/>
    <w:rsid w:val="009F7E39"/>
    <w:rsid w:val="00A032A8"/>
    <w:rsid w:val="00A03988"/>
    <w:rsid w:val="00A04A1D"/>
    <w:rsid w:val="00A111BC"/>
    <w:rsid w:val="00A11C55"/>
    <w:rsid w:val="00A137DB"/>
    <w:rsid w:val="00A13CAB"/>
    <w:rsid w:val="00A20C70"/>
    <w:rsid w:val="00A258F1"/>
    <w:rsid w:val="00A2645C"/>
    <w:rsid w:val="00A31DD1"/>
    <w:rsid w:val="00A31E16"/>
    <w:rsid w:val="00A34250"/>
    <w:rsid w:val="00A35A66"/>
    <w:rsid w:val="00A44B29"/>
    <w:rsid w:val="00A471B3"/>
    <w:rsid w:val="00A477C6"/>
    <w:rsid w:val="00A54421"/>
    <w:rsid w:val="00A54A19"/>
    <w:rsid w:val="00A55B6F"/>
    <w:rsid w:val="00A55CAD"/>
    <w:rsid w:val="00A60983"/>
    <w:rsid w:val="00A60AEE"/>
    <w:rsid w:val="00A634FD"/>
    <w:rsid w:val="00A711E7"/>
    <w:rsid w:val="00A75117"/>
    <w:rsid w:val="00A75AF3"/>
    <w:rsid w:val="00A776AB"/>
    <w:rsid w:val="00A8085E"/>
    <w:rsid w:val="00A81076"/>
    <w:rsid w:val="00A83921"/>
    <w:rsid w:val="00A8674A"/>
    <w:rsid w:val="00A86EFA"/>
    <w:rsid w:val="00A874BC"/>
    <w:rsid w:val="00A94675"/>
    <w:rsid w:val="00A963A4"/>
    <w:rsid w:val="00A96B96"/>
    <w:rsid w:val="00AA4899"/>
    <w:rsid w:val="00AA7F50"/>
    <w:rsid w:val="00AB085D"/>
    <w:rsid w:val="00AB43A2"/>
    <w:rsid w:val="00AB5017"/>
    <w:rsid w:val="00AB62CF"/>
    <w:rsid w:val="00AB6CC1"/>
    <w:rsid w:val="00AB7DDF"/>
    <w:rsid w:val="00AC1CF7"/>
    <w:rsid w:val="00AC657D"/>
    <w:rsid w:val="00AD0710"/>
    <w:rsid w:val="00AD0E70"/>
    <w:rsid w:val="00AD577A"/>
    <w:rsid w:val="00AD77C5"/>
    <w:rsid w:val="00AE1BD2"/>
    <w:rsid w:val="00AE4548"/>
    <w:rsid w:val="00AE67CC"/>
    <w:rsid w:val="00AF165E"/>
    <w:rsid w:val="00AF4328"/>
    <w:rsid w:val="00B02A0F"/>
    <w:rsid w:val="00B03FAE"/>
    <w:rsid w:val="00B05255"/>
    <w:rsid w:val="00B073C6"/>
    <w:rsid w:val="00B10838"/>
    <w:rsid w:val="00B118D6"/>
    <w:rsid w:val="00B13836"/>
    <w:rsid w:val="00B13CD0"/>
    <w:rsid w:val="00B149A5"/>
    <w:rsid w:val="00B161F8"/>
    <w:rsid w:val="00B21A39"/>
    <w:rsid w:val="00B222D8"/>
    <w:rsid w:val="00B30C42"/>
    <w:rsid w:val="00B352A4"/>
    <w:rsid w:val="00B368E1"/>
    <w:rsid w:val="00B40243"/>
    <w:rsid w:val="00B42E8C"/>
    <w:rsid w:val="00B54B7E"/>
    <w:rsid w:val="00B56F36"/>
    <w:rsid w:val="00B730A6"/>
    <w:rsid w:val="00B763F0"/>
    <w:rsid w:val="00B76836"/>
    <w:rsid w:val="00B8118A"/>
    <w:rsid w:val="00B83632"/>
    <w:rsid w:val="00B86FA0"/>
    <w:rsid w:val="00B87A66"/>
    <w:rsid w:val="00B947CB"/>
    <w:rsid w:val="00B94CF8"/>
    <w:rsid w:val="00B94F77"/>
    <w:rsid w:val="00B96013"/>
    <w:rsid w:val="00BA0665"/>
    <w:rsid w:val="00BA0EA7"/>
    <w:rsid w:val="00BA3063"/>
    <w:rsid w:val="00BA409B"/>
    <w:rsid w:val="00BB0546"/>
    <w:rsid w:val="00BB0DD1"/>
    <w:rsid w:val="00BB2301"/>
    <w:rsid w:val="00BB42FE"/>
    <w:rsid w:val="00BB766A"/>
    <w:rsid w:val="00BC02D4"/>
    <w:rsid w:val="00BC29C1"/>
    <w:rsid w:val="00BC4165"/>
    <w:rsid w:val="00BC46DC"/>
    <w:rsid w:val="00BC7876"/>
    <w:rsid w:val="00BE0D94"/>
    <w:rsid w:val="00BE2FAB"/>
    <w:rsid w:val="00BE4C7E"/>
    <w:rsid w:val="00BF3140"/>
    <w:rsid w:val="00BF4817"/>
    <w:rsid w:val="00BF7E1B"/>
    <w:rsid w:val="00C07E49"/>
    <w:rsid w:val="00C17444"/>
    <w:rsid w:val="00C17951"/>
    <w:rsid w:val="00C22B10"/>
    <w:rsid w:val="00C24018"/>
    <w:rsid w:val="00C264F1"/>
    <w:rsid w:val="00C301E3"/>
    <w:rsid w:val="00C31C21"/>
    <w:rsid w:val="00C41330"/>
    <w:rsid w:val="00C444FD"/>
    <w:rsid w:val="00C463C7"/>
    <w:rsid w:val="00C46D9C"/>
    <w:rsid w:val="00C5570F"/>
    <w:rsid w:val="00C55CA8"/>
    <w:rsid w:val="00C56F62"/>
    <w:rsid w:val="00C604CB"/>
    <w:rsid w:val="00C620E4"/>
    <w:rsid w:val="00C63EEF"/>
    <w:rsid w:val="00C71178"/>
    <w:rsid w:val="00C8106D"/>
    <w:rsid w:val="00C818D6"/>
    <w:rsid w:val="00C87AAB"/>
    <w:rsid w:val="00CA2105"/>
    <w:rsid w:val="00CA386C"/>
    <w:rsid w:val="00CA52DA"/>
    <w:rsid w:val="00CA6F22"/>
    <w:rsid w:val="00CB090E"/>
    <w:rsid w:val="00CB4522"/>
    <w:rsid w:val="00CB6726"/>
    <w:rsid w:val="00CC059F"/>
    <w:rsid w:val="00CC0DD4"/>
    <w:rsid w:val="00CC3C83"/>
    <w:rsid w:val="00CC5F21"/>
    <w:rsid w:val="00CD10AD"/>
    <w:rsid w:val="00CD777B"/>
    <w:rsid w:val="00CE091C"/>
    <w:rsid w:val="00CE51FF"/>
    <w:rsid w:val="00CE520C"/>
    <w:rsid w:val="00CE5509"/>
    <w:rsid w:val="00D023BE"/>
    <w:rsid w:val="00D0418D"/>
    <w:rsid w:val="00D069A5"/>
    <w:rsid w:val="00D1219D"/>
    <w:rsid w:val="00D17C5B"/>
    <w:rsid w:val="00D21B15"/>
    <w:rsid w:val="00D21D7D"/>
    <w:rsid w:val="00D30CEE"/>
    <w:rsid w:val="00D31099"/>
    <w:rsid w:val="00D3292E"/>
    <w:rsid w:val="00D4277A"/>
    <w:rsid w:val="00D42CDB"/>
    <w:rsid w:val="00D531AD"/>
    <w:rsid w:val="00D536FE"/>
    <w:rsid w:val="00D54279"/>
    <w:rsid w:val="00D54331"/>
    <w:rsid w:val="00D57B22"/>
    <w:rsid w:val="00D60821"/>
    <w:rsid w:val="00D621C7"/>
    <w:rsid w:val="00D65345"/>
    <w:rsid w:val="00D65F8D"/>
    <w:rsid w:val="00D71748"/>
    <w:rsid w:val="00D723DA"/>
    <w:rsid w:val="00D7485C"/>
    <w:rsid w:val="00D74DB4"/>
    <w:rsid w:val="00D7545F"/>
    <w:rsid w:val="00D761A7"/>
    <w:rsid w:val="00D80065"/>
    <w:rsid w:val="00D93A34"/>
    <w:rsid w:val="00D93F84"/>
    <w:rsid w:val="00D94097"/>
    <w:rsid w:val="00DA111E"/>
    <w:rsid w:val="00DA1444"/>
    <w:rsid w:val="00DA1697"/>
    <w:rsid w:val="00DB225B"/>
    <w:rsid w:val="00DB2E25"/>
    <w:rsid w:val="00DB2FA9"/>
    <w:rsid w:val="00DB531F"/>
    <w:rsid w:val="00DB6B3E"/>
    <w:rsid w:val="00DB6FB4"/>
    <w:rsid w:val="00DB79DF"/>
    <w:rsid w:val="00DC31CB"/>
    <w:rsid w:val="00DC362D"/>
    <w:rsid w:val="00DD5A69"/>
    <w:rsid w:val="00DE1F77"/>
    <w:rsid w:val="00DF5846"/>
    <w:rsid w:val="00E05B6B"/>
    <w:rsid w:val="00E06CA0"/>
    <w:rsid w:val="00E07C14"/>
    <w:rsid w:val="00E1399E"/>
    <w:rsid w:val="00E1436F"/>
    <w:rsid w:val="00E425BF"/>
    <w:rsid w:val="00E43170"/>
    <w:rsid w:val="00E4429B"/>
    <w:rsid w:val="00E44DB8"/>
    <w:rsid w:val="00E45167"/>
    <w:rsid w:val="00E50BAD"/>
    <w:rsid w:val="00E53674"/>
    <w:rsid w:val="00E64492"/>
    <w:rsid w:val="00E646C7"/>
    <w:rsid w:val="00E72383"/>
    <w:rsid w:val="00E80435"/>
    <w:rsid w:val="00E81F6E"/>
    <w:rsid w:val="00E90031"/>
    <w:rsid w:val="00E912C1"/>
    <w:rsid w:val="00E91B73"/>
    <w:rsid w:val="00E93863"/>
    <w:rsid w:val="00E94A7C"/>
    <w:rsid w:val="00E9632C"/>
    <w:rsid w:val="00E97748"/>
    <w:rsid w:val="00EA0E4B"/>
    <w:rsid w:val="00EA3DE4"/>
    <w:rsid w:val="00EA64E5"/>
    <w:rsid w:val="00EB0343"/>
    <w:rsid w:val="00EB1B44"/>
    <w:rsid w:val="00EB276D"/>
    <w:rsid w:val="00EB37DF"/>
    <w:rsid w:val="00EB5C3C"/>
    <w:rsid w:val="00EB66F9"/>
    <w:rsid w:val="00ED2612"/>
    <w:rsid w:val="00ED59A9"/>
    <w:rsid w:val="00ED79FD"/>
    <w:rsid w:val="00EE2755"/>
    <w:rsid w:val="00EE2F04"/>
    <w:rsid w:val="00EE534A"/>
    <w:rsid w:val="00EE6433"/>
    <w:rsid w:val="00EF0B57"/>
    <w:rsid w:val="00EF433C"/>
    <w:rsid w:val="00F02376"/>
    <w:rsid w:val="00F03030"/>
    <w:rsid w:val="00F04927"/>
    <w:rsid w:val="00F108CE"/>
    <w:rsid w:val="00F1139E"/>
    <w:rsid w:val="00F11CC7"/>
    <w:rsid w:val="00F13FCB"/>
    <w:rsid w:val="00F155F6"/>
    <w:rsid w:val="00F176C5"/>
    <w:rsid w:val="00F22B7B"/>
    <w:rsid w:val="00F257D5"/>
    <w:rsid w:val="00F25DDC"/>
    <w:rsid w:val="00F302C7"/>
    <w:rsid w:val="00F36E48"/>
    <w:rsid w:val="00F436CF"/>
    <w:rsid w:val="00F44383"/>
    <w:rsid w:val="00F45274"/>
    <w:rsid w:val="00F4643D"/>
    <w:rsid w:val="00F471F0"/>
    <w:rsid w:val="00F515EE"/>
    <w:rsid w:val="00F54B37"/>
    <w:rsid w:val="00F5606B"/>
    <w:rsid w:val="00F56A73"/>
    <w:rsid w:val="00F613DF"/>
    <w:rsid w:val="00F62AD1"/>
    <w:rsid w:val="00F63768"/>
    <w:rsid w:val="00F64D2F"/>
    <w:rsid w:val="00F665BE"/>
    <w:rsid w:val="00F677DB"/>
    <w:rsid w:val="00F7001F"/>
    <w:rsid w:val="00F70A24"/>
    <w:rsid w:val="00F84055"/>
    <w:rsid w:val="00F86017"/>
    <w:rsid w:val="00F91296"/>
    <w:rsid w:val="00F93D0A"/>
    <w:rsid w:val="00F97BA6"/>
    <w:rsid w:val="00F97D83"/>
    <w:rsid w:val="00FA0D9A"/>
    <w:rsid w:val="00FA59D5"/>
    <w:rsid w:val="00FA760C"/>
    <w:rsid w:val="00FB147C"/>
    <w:rsid w:val="00FB2709"/>
    <w:rsid w:val="00FB2AF4"/>
    <w:rsid w:val="00FC117C"/>
    <w:rsid w:val="00FC4261"/>
    <w:rsid w:val="00FC4FD8"/>
    <w:rsid w:val="00FE240F"/>
    <w:rsid w:val="00FE3EBE"/>
    <w:rsid w:val="00FE570B"/>
    <w:rsid w:val="00FE7746"/>
    <w:rsid w:val="00FF1901"/>
    <w:rsid w:val="00FF1A7E"/>
    <w:rsid w:val="00FF49EA"/>
    <w:rsid w:val="00FF4F27"/>
    <w:rsid w:val="00FF765A"/>
    <w:rsid w:val="010358B2"/>
    <w:rsid w:val="010567D9"/>
    <w:rsid w:val="01091E16"/>
    <w:rsid w:val="01175B60"/>
    <w:rsid w:val="012D5F79"/>
    <w:rsid w:val="0157700C"/>
    <w:rsid w:val="016B4241"/>
    <w:rsid w:val="017C44D1"/>
    <w:rsid w:val="017D09F2"/>
    <w:rsid w:val="017E06D8"/>
    <w:rsid w:val="01885065"/>
    <w:rsid w:val="01BD5DF4"/>
    <w:rsid w:val="01CF0B92"/>
    <w:rsid w:val="01D4735D"/>
    <w:rsid w:val="01DE7FC8"/>
    <w:rsid w:val="01F46D56"/>
    <w:rsid w:val="020B0CA3"/>
    <w:rsid w:val="021D0FFE"/>
    <w:rsid w:val="02200ABF"/>
    <w:rsid w:val="023907B0"/>
    <w:rsid w:val="023C0C98"/>
    <w:rsid w:val="023F4E02"/>
    <w:rsid w:val="026B1ED6"/>
    <w:rsid w:val="02725D02"/>
    <w:rsid w:val="027B4718"/>
    <w:rsid w:val="028D1EB9"/>
    <w:rsid w:val="029C7EFD"/>
    <w:rsid w:val="02A733A2"/>
    <w:rsid w:val="02AC0C4D"/>
    <w:rsid w:val="02B14CA8"/>
    <w:rsid w:val="02CD27A8"/>
    <w:rsid w:val="02E1031D"/>
    <w:rsid w:val="02FC5869"/>
    <w:rsid w:val="0317511F"/>
    <w:rsid w:val="0329678E"/>
    <w:rsid w:val="03475AAF"/>
    <w:rsid w:val="0395440F"/>
    <w:rsid w:val="039A6230"/>
    <w:rsid w:val="03A56875"/>
    <w:rsid w:val="03A74FDF"/>
    <w:rsid w:val="03CA638C"/>
    <w:rsid w:val="03D96BFE"/>
    <w:rsid w:val="03E20C37"/>
    <w:rsid w:val="03E24D50"/>
    <w:rsid w:val="04034076"/>
    <w:rsid w:val="041B3550"/>
    <w:rsid w:val="041C2AD0"/>
    <w:rsid w:val="04210014"/>
    <w:rsid w:val="043A21D4"/>
    <w:rsid w:val="04403C62"/>
    <w:rsid w:val="045062B8"/>
    <w:rsid w:val="04656C99"/>
    <w:rsid w:val="04717777"/>
    <w:rsid w:val="04756A6F"/>
    <w:rsid w:val="04764CCF"/>
    <w:rsid w:val="047E006C"/>
    <w:rsid w:val="047E7038"/>
    <w:rsid w:val="048059D5"/>
    <w:rsid w:val="048E76C4"/>
    <w:rsid w:val="048F78C6"/>
    <w:rsid w:val="04911AC8"/>
    <w:rsid w:val="04981AFF"/>
    <w:rsid w:val="04A21A2A"/>
    <w:rsid w:val="04B45A7F"/>
    <w:rsid w:val="04D87656"/>
    <w:rsid w:val="04DA46E1"/>
    <w:rsid w:val="04E20DD1"/>
    <w:rsid w:val="04E90BD6"/>
    <w:rsid w:val="04F063E1"/>
    <w:rsid w:val="04F6192B"/>
    <w:rsid w:val="05045DBE"/>
    <w:rsid w:val="051545F8"/>
    <w:rsid w:val="05196FE8"/>
    <w:rsid w:val="05477BB0"/>
    <w:rsid w:val="054E53C3"/>
    <w:rsid w:val="05597DA3"/>
    <w:rsid w:val="055F7B18"/>
    <w:rsid w:val="05636AC3"/>
    <w:rsid w:val="056F114B"/>
    <w:rsid w:val="05712B42"/>
    <w:rsid w:val="05A339C0"/>
    <w:rsid w:val="05A95A39"/>
    <w:rsid w:val="05AE6AD5"/>
    <w:rsid w:val="05B96B4E"/>
    <w:rsid w:val="05C57383"/>
    <w:rsid w:val="05C86F55"/>
    <w:rsid w:val="05FF216B"/>
    <w:rsid w:val="060906FD"/>
    <w:rsid w:val="06222982"/>
    <w:rsid w:val="066862EC"/>
    <w:rsid w:val="068347D0"/>
    <w:rsid w:val="06B8290A"/>
    <w:rsid w:val="06C455CF"/>
    <w:rsid w:val="06CB0CBF"/>
    <w:rsid w:val="06D01323"/>
    <w:rsid w:val="06DC2E8B"/>
    <w:rsid w:val="06E53B1D"/>
    <w:rsid w:val="06FA1EB8"/>
    <w:rsid w:val="07055BE6"/>
    <w:rsid w:val="072036B4"/>
    <w:rsid w:val="073716DD"/>
    <w:rsid w:val="07432799"/>
    <w:rsid w:val="07474359"/>
    <w:rsid w:val="07490DD6"/>
    <w:rsid w:val="074A5C00"/>
    <w:rsid w:val="074B78AB"/>
    <w:rsid w:val="07616D6D"/>
    <w:rsid w:val="07621172"/>
    <w:rsid w:val="07956263"/>
    <w:rsid w:val="079647B5"/>
    <w:rsid w:val="07B739FA"/>
    <w:rsid w:val="07B926C2"/>
    <w:rsid w:val="07C3377E"/>
    <w:rsid w:val="07CC2C74"/>
    <w:rsid w:val="07E0043C"/>
    <w:rsid w:val="07E06F57"/>
    <w:rsid w:val="08025233"/>
    <w:rsid w:val="080800F3"/>
    <w:rsid w:val="082647B8"/>
    <w:rsid w:val="08265CF0"/>
    <w:rsid w:val="08327FE6"/>
    <w:rsid w:val="083D1619"/>
    <w:rsid w:val="08784B6C"/>
    <w:rsid w:val="08821A9C"/>
    <w:rsid w:val="0897712C"/>
    <w:rsid w:val="08AA2000"/>
    <w:rsid w:val="08B30107"/>
    <w:rsid w:val="08C01D56"/>
    <w:rsid w:val="08DB073E"/>
    <w:rsid w:val="08DE3553"/>
    <w:rsid w:val="08F278B8"/>
    <w:rsid w:val="08F80725"/>
    <w:rsid w:val="092C6907"/>
    <w:rsid w:val="093843DD"/>
    <w:rsid w:val="09545063"/>
    <w:rsid w:val="095E0E59"/>
    <w:rsid w:val="09687168"/>
    <w:rsid w:val="09732B03"/>
    <w:rsid w:val="097F065A"/>
    <w:rsid w:val="097F3EBB"/>
    <w:rsid w:val="09891CE5"/>
    <w:rsid w:val="099E5015"/>
    <w:rsid w:val="09A34878"/>
    <w:rsid w:val="09CE7975"/>
    <w:rsid w:val="09D333AB"/>
    <w:rsid w:val="09D83C8A"/>
    <w:rsid w:val="09FE2009"/>
    <w:rsid w:val="0A0215CA"/>
    <w:rsid w:val="0A140F7A"/>
    <w:rsid w:val="0A1E22DE"/>
    <w:rsid w:val="0A2A2BC5"/>
    <w:rsid w:val="0A5A3BD5"/>
    <w:rsid w:val="0A5B65A1"/>
    <w:rsid w:val="0A5E0A8D"/>
    <w:rsid w:val="0A7D3976"/>
    <w:rsid w:val="0A9D0885"/>
    <w:rsid w:val="0A9E7973"/>
    <w:rsid w:val="0AA756FD"/>
    <w:rsid w:val="0AB03E53"/>
    <w:rsid w:val="0AC14C9F"/>
    <w:rsid w:val="0AEE405A"/>
    <w:rsid w:val="0AF20EBA"/>
    <w:rsid w:val="0AFA304B"/>
    <w:rsid w:val="0B003C93"/>
    <w:rsid w:val="0B147891"/>
    <w:rsid w:val="0B384045"/>
    <w:rsid w:val="0B3D7760"/>
    <w:rsid w:val="0B4238D1"/>
    <w:rsid w:val="0B4E7FAF"/>
    <w:rsid w:val="0B4F5D7A"/>
    <w:rsid w:val="0B57147F"/>
    <w:rsid w:val="0B59526D"/>
    <w:rsid w:val="0B8217A7"/>
    <w:rsid w:val="0B982CEB"/>
    <w:rsid w:val="0B9A0DF3"/>
    <w:rsid w:val="0BBE6C5C"/>
    <w:rsid w:val="0BC40B3A"/>
    <w:rsid w:val="0BC56356"/>
    <w:rsid w:val="0BCA072B"/>
    <w:rsid w:val="0BE24160"/>
    <w:rsid w:val="0BEA7A78"/>
    <w:rsid w:val="0BEF6B49"/>
    <w:rsid w:val="0BF07E05"/>
    <w:rsid w:val="0C0C154F"/>
    <w:rsid w:val="0C152E54"/>
    <w:rsid w:val="0C2869AF"/>
    <w:rsid w:val="0C4D0EE7"/>
    <w:rsid w:val="0C5C1EF2"/>
    <w:rsid w:val="0C695FEE"/>
    <w:rsid w:val="0C756849"/>
    <w:rsid w:val="0C7E5800"/>
    <w:rsid w:val="0C7F1085"/>
    <w:rsid w:val="0C8E76FA"/>
    <w:rsid w:val="0C9621A1"/>
    <w:rsid w:val="0C9E1388"/>
    <w:rsid w:val="0CAB1A37"/>
    <w:rsid w:val="0CBE44D6"/>
    <w:rsid w:val="0CC03EC0"/>
    <w:rsid w:val="0CC44639"/>
    <w:rsid w:val="0CCB3AAA"/>
    <w:rsid w:val="0CD81E57"/>
    <w:rsid w:val="0CDB5E31"/>
    <w:rsid w:val="0D07357E"/>
    <w:rsid w:val="0D0A1882"/>
    <w:rsid w:val="0D1622D8"/>
    <w:rsid w:val="0D1E5593"/>
    <w:rsid w:val="0D397769"/>
    <w:rsid w:val="0D617CD2"/>
    <w:rsid w:val="0D625363"/>
    <w:rsid w:val="0D6F1E77"/>
    <w:rsid w:val="0D852A8F"/>
    <w:rsid w:val="0DAD4096"/>
    <w:rsid w:val="0DBA1EA2"/>
    <w:rsid w:val="0DBF5D40"/>
    <w:rsid w:val="0DC734B7"/>
    <w:rsid w:val="0DD513A6"/>
    <w:rsid w:val="0DE61DEE"/>
    <w:rsid w:val="0DEF2B92"/>
    <w:rsid w:val="0E074F17"/>
    <w:rsid w:val="0E1A09FC"/>
    <w:rsid w:val="0E3715AD"/>
    <w:rsid w:val="0E444F68"/>
    <w:rsid w:val="0E5669CC"/>
    <w:rsid w:val="0E605813"/>
    <w:rsid w:val="0E653FC6"/>
    <w:rsid w:val="0EA27FF1"/>
    <w:rsid w:val="0EB77F16"/>
    <w:rsid w:val="0ED50D56"/>
    <w:rsid w:val="0ED92793"/>
    <w:rsid w:val="0EDA67FD"/>
    <w:rsid w:val="0EEA3DF6"/>
    <w:rsid w:val="0F133A4D"/>
    <w:rsid w:val="0F167E67"/>
    <w:rsid w:val="0F32642B"/>
    <w:rsid w:val="0F3869C6"/>
    <w:rsid w:val="0F6D36B6"/>
    <w:rsid w:val="0F6E2139"/>
    <w:rsid w:val="0F8D3247"/>
    <w:rsid w:val="0F8F6310"/>
    <w:rsid w:val="0F9173D2"/>
    <w:rsid w:val="0F983C03"/>
    <w:rsid w:val="0FB74B05"/>
    <w:rsid w:val="0FD45FF9"/>
    <w:rsid w:val="0FD61B7B"/>
    <w:rsid w:val="0FDF5ACE"/>
    <w:rsid w:val="0FF653EE"/>
    <w:rsid w:val="0FFA3053"/>
    <w:rsid w:val="0FFC4455"/>
    <w:rsid w:val="100E0BE0"/>
    <w:rsid w:val="101E4A41"/>
    <w:rsid w:val="102061FE"/>
    <w:rsid w:val="10250CA7"/>
    <w:rsid w:val="10345232"/>
    <w:rsid w:val="103B0DDF"/>
    <w:rsid w:val="1050726A"/>
    <w:rsid w:val="10631DE9"/>
    <w:rsid w:val="10726E9B"/>
    <w:rsid w:val="108F632F"/>
    <w:rsid w:val="10933284"/>
    <w:rsid w:val="10975474"/>
    <w:rsid w:val="10A42C36"/>
    <w:rsid w:val="10A90C42"/>
    <w:rsid w:val="10AE47E3"/>
    <w:rsid w:val="10BA46D9"/>
    <w:rsid w:val="10C3357D"/>
    <w:rsid w:val="10C42C5F"/>
    <w:rsid w:val="10CC018F"/>
    <w:rsid w:val="10CE4DB3"/>
    <w:rsid w:val="10CF132C"/>
    <w:rsid w:val="10CF3CC2"/>
    <w:rsid w:val="10D636D4"/>
    <w:rsid w:val="10E16C1F"/>
    <w:rsid w:val="110075DA"/>
    <w:rsid w:val="110D5292"/>
    <w:rsid w:val="11162911"/>
    <w:rsid w:val="11220546"/>
    <w:rsid w:val="11276FA8"/>
    <w:rsid w:val="113D4A90"/>
    <w:rsid w:val="11426CB3"/>
    <w:rsid w:val="11551FE1"/>
    <w:rsid w:val="116A6EE2"/>
    <w:rsid w:val="116B5BF0"/>
    <w:rsid w:val="117117D4"/>
    <w:rsid w:val="11756128"/>
    <w:rsid w:val="1178778B"/>
    <w:rsid w:val="117A65BF"/>
    <w:rsid w:val="119871F7"/>
    <w:rsid w:val="119E78CE"/>
    <w:rsid w:val="11B2460D"/>
    <w:rsid w:val="11BB6D82"/>
    <w:rsid w:val="11C86E94"/>
    <w:rsid w:val="11DA68AB"/>
    <w:rsid w:val="11DD3DE9"/>
    <w:rsid w:val="11FC63D9"/>
    <w:rsid w:val="120B26DD"/>
    <w:rsid w:val="120D2384"/>
    <w:rsid w:val="120E5B94"/>
    <w:rsid w:val="12136A07"/>
    <w:rsid w:val="1232579A"/>
    <w:rsid w:val="123B001A"/>
    <w:rsid w:val="124D4262"/>
    <w:rsid w:val="12625C18"/>
    <w:rsid w:val="1274275D"/>
    <w:rsid w:val="12790BF9"/>
    <w:rsid w:val="128E2ED3"/>
    <w:rsid w:val="129B1CEC"/>
    <w:rsid w:val="12AB71DF"/>
    <w:rsid w:val="12CD086E"/>
    <w:rsid w:val="12F8010A"/>
    <w:rsid w:val="12F81635"/>
    <w:rsid w:val="13236607"/>
    <w:rsid w:val="1331578D"/>
    <w:rsid w:val="13364A6F"/>
    <w:rsid w:val="134C0C79"/>
    <w:rsid w:val="134E56D5"/>
    <w:rsid w:val="134E6D34"/>
    <w:rsid w:val="13534B8D"/>
    <w:rsid w:val="1360319F"/>
    <w:rsid w:val="1364430D"/>
    <w:rsid w:val="13701C9F"/>
    <w:rsid w:val="13721605"/>
    <w:rsid w:val="13933070"/>
    <w:rsid w:val="13960AA4"/>
    <w:rsid w:val="13C95863"/>
    <w:rsid w:val="13E919C2"/>
    <w:rsid w:val="13EB76E8"/>
    <w:rsid w:val="14052040"/>
    <w:rsid w:val="14314BE4"/>
    <w:rsid w:val="14423CF0"/>
    <w:rsid w:val="14570DBC"/>
    <w:rsid w:val="1467242C"/>
    <w:rsid w:val="14743081"/>
    <w:rsid w:val="14806DFA"/>
    <w:rsid w:val="148E1F0E"/>
    <w:rsid w:val="14911435"/>
    <w:rsid w:val="14B013C1"/>
    <w:rsid w:val="14C065AD"/>
    <w:rsid w:val="14C44E9C"/>
    <w:rsid w:val="14C46042"/>
    <w:rsid w:val="14DC065D"/>
    <w:rsid w:val="14F672E5"/>
    <w:rsid w:val="150C33B0"/>
    <w:rsid w:val="15265AB9"/>
    <w:rsid w:val="1549623A"/>
    <w:rsid w:val="155F7D2F"/>
    <w:rsid w:val="15612949"/>
    <w:rsid w:val="15646BFB"/>
    <w:rsid w:val="156F653B"/>
    <w:rsid w:val="15967CB1"/>
    <w:rsid w:val="159B2C9C"/>
    <w:rsid w:val="15AE392C"/>
    <w:rsid w:val="15B02D02"/>
    <w:rsid w:val="15C710C8"/>
    <w:rsid w:val="15D15ACC"/>
    <w:rsid w:val="15D8645B"/>
    <w:rsid w:val="15DD2AA0"/>
    <w:rsid w:val="15ED09F8"/>
    <w:rsid w:val="15FB1677"/>
    <w:rsid w:val="16082D2D"/>
    <w:rsid w:val="161C01F9"/>
    <w:rsid w:val="161F49A1"/>
    <w:rsid w:val="16410BAF"/>
    <w:rsid w:val="16520B2D"/>
    <w:rsid w:val="16692461"/>
    <w:rsid w:val="16832E47"/>
    <w:rsid w:val="16951A38"/>
    <w:rsid w:val="16A05393"/>
    <w:rsid w:val="16A529A5"/>
    <w:rsid w:val="16E15A24"/>
    <w:rsid w:val="170E1E3C"/>
    <w:rsid w:val="171343D3"/>
    <w:rsid w:val="17135EB5"/>
    <w:rsid w:val="172005F8"/>
    <w:rsid w:val="1732642E"/>
    <w:rsid w:val="1741209D"/>
    <w:rsid w:val="17492C16"/>
    <w:rsid w:val="174A6B51"/>
    <w:rsid w:val="175D2523"/>
    <w:rsid w:val="17733477"/>
    <w:rsid w:val="17734833"/>
    <w:rsid w:val="1785591F"/>
    <w:rsid w:val="178640B0"/>
    <w:rsid w:val="179F6AC6"/>
    <w:rsid w:val="17BF58E1"/>
    <w:rsid w:val="17C20386"/>
    <w:rsid w:val="17CA50B8"/>
    <w:rsid w:val="17D63DED"/>
    <w:rsid w:val="17DA5EDB"/>
    <w:rsid w:val="1817029E"/>
    <w:rsid w:val="181C26CE"/>
    <w:rsid w:val="182C1626"/>
    <w:rsid w:val="1832394E"/>
    <w:rsid w:val="1850071C"/>
    <w:rsid w:val="18530C97"/>
    <w:rsid w:val="1854505C"/>
    <w:rsid w:val="18606084"/>
    <w:rsid w:val="18727ABB"/>
    <w:rsid w:val="187B5FA3"/>
    <w:rsid w:val="188C4E86"/>
    <w:rsid w:val="189C3B46"/>
    <w:rsid w:val="189D20A8"/>
    <w:rsid w:val="18A66D40"/>
    <w:rsid w:val="18A870BD"/>
    <w:rsid w:val="18AE7089"/>
    <w:rsid w:val="18B27D7E"/>
    <w:rsid w:val="18C224D9"/>
    <w:rsid w:val="18C61D92"/>
    <w:rsid w:val="18CC5838"/>
    <w:rsid w:val="18F12AFC"/>
    <w:rsid w:val="18F1676E"/>
    <w:rsid w:val="18FA4ADE"/>
    <w:rsid w:val="191724BE"/>
    <w:rsid w:val="19194D13"/>
    <w:rsid w:val="19272616"/>
    <w:rsid w:val="193733CD"/>
    <w:rsid w:val="19482447"/>
    <w:rsid w:val="19504D0E"/>
    <w:rsid w:val="199B1FB6"/>
    <w:rsid w:val="19A32800"/>
    <w:rsid w:val="19A63505"/>
    <w:rsid w:val="19A805F0"/>
    <w:rsid w:val="19AF35F4"/>
    <w:rsid w:val="19B35367"/>
    <w:rsid w:val="19F91C20"/>
    <w:rsid w:val="1A07319C"/>
    <w:rsid w:val="1A0A6EFC"/>
    <w:rsid w:val="1A182C39"/>
    <w:rsid w:val="1A1D658C"/>
    <w:rsid w:val="1A446399"/>
    <w:rsid w:val="1A496165"/>
    <w:rsid w:val="1A587471"/>
    <w:rsid w:val="1A5A3ECB"/>
    <w:rsid w:val="1A657865"/>
    <w:rsid w:val="1A6735DD"/>
    <w:rsid w:val="1A743B7B"/>
    <w:rsid w:val="1A7C1E4F"/>
    <w:rsid w:val="1AAA245C"/>
    <w:rsid w:val="1AC82087"/>
    <w:rsid w:val="1AC9749B"/>
    <w:rsid w:val="1ACF4287"/>
    <w:rsid w:val="1ADE22D4"/>
    <w:rsid w:val="1AE14473"/>
    <w:rsid w:val="1AE46E04"/>
    <w:rsid w:val="1AEF1FDB"/>
    <w:rsid w:val="1AF747AA"/>
    <w:rsid w:val="1B0118C8"/>
    <w:rsid w:val="1B6E66FB"/>
    <w:rsid w:val="1B726903"/>
    <w:rsid w:val="1B8141B9"/>
    <w:rsid w:val="1BB64420"/>
    <w:rsid w:val="1BC87008"/>
    <w:rsid w:val="1BD30113"/>
    <w:rsid w:val="1BDF4295"/>
    <w:rsid w:val="1BE20B18"/>
    <w:rsid w:val="1BE903CE"/>
    <w:rsid w:val="1BFC55E9"/>
    <w:rsid w:val="1C0164EF"/>
    <w:rsid w:val="1C1B2BDB"/>
    <w:rsid w:val="1C1E137E"/>
    <w:rsid w:val="1C2B20AB"/>
    <w:rsid w:val="1C3C1FC3"/>
    <w:rsid w:val="1C574D14"/>
    <w:rsid w:val="1C5F17BF"/>
    <w:rsid w:val="1C621AE3"/>
    <w:rsid w:val="1C6C76D3"/>
    <w:rsid w:val="1C9B4FA4"/>
    <w:rsid w:val="1C9E783F"/>
    <w:rsid w:val="1C9F2C50"/>
    <w:rsid w:val="1C9F2FBD"/>
    <w:rsid w:val="1CB15565"/>
    <w:rsid w:val="1CCF5699"/>
    <w:rsid w:val="1CD77F55"/>
    <w:rsid w:val="1CDF26CD"/>
    <w:rsid w:val="1CEB38FB"/>
    <w:rsid w:val="1D0760A4"/>
    <w:rsid w:val="1D4012A6"/>
    <w:rsid w:val="1D4051C2"/>
    <w:rsid w:val="1D40656F"/>
    <w:rsid w:val="1D621BDF"/>
    <w:rsid w:val="1D86134C"/>
    <w:rsid w:val="1D991E18"/>
    <w:rsid w:val="1DA653E3"/>
    <w:rsid w:val="1DB72FCD"/>
    <w:rsid w:val="1DC5113B"/>
    <w:rsid w:val="1DC762C3"/>
    <w:rsid w:val="1DCD3513"/>
    <w:rsid w:val="1E1E1068"/>
    <w:rsid w:val="1E2C702C"/>
    <w:rsid w:val="1E461AD7"/>
    <w:rsid w:val="1E4B4A8F"/>
    <w:rsid w:val="1E6961B3"/>
    <w:rsid w:val="1E6A50EC"/>
    <w:rsid w:val="1E8451CC"/>
    <w:rsid w:val="1E880834"/>
    <w:rsid w:val="1EA8390E"/>
    <w:rsid w:val="1EAD251D"/>
    <w:rsid w:val="1EB27541"/>
    <w:rsid w:val="1EC074D7"/>
    <w:rsid w:val="1ED37FC8"/>
    <w:rsid w:val="1EDF38F9"/>
    <w:rsid w:val="1EFB17B1"/>
    <w:rsid w:val="1F006B63"/>
    <w:rsid w:val="1F145F98"/>
    <w:rsid w:val="1F1D1ACD"/>
    <w:rsid w:val="1F2A58EE"/>
    <w:rsid w:val="1F2D0E29"/>
    <w:rsid w:val="1F565A45"/>
    <w:rsid w:val="1F8337AA"/>
    <w:rsid w:val="1F837642"/>
    <w:rsid w:val="1F8F254F"/>
    <w:rsid w:val="1FA235C6"/>
    <w:rsid w:val="1FB24525"/>
    <w:rsid w:val="1FCC3DF9"/>
    <w:rsid w:val="1FD54A52"/>
    <w:rsid w:val="1FDB474F"/>
    <w:rsid w:val="1FDDC3D2"/>
    <w:rsid w:val="1FE7CD76"/>
    <w:rsid w:val="1FEB4B59"/>
    <w:rsid w:val="1FFA5275"/>
    <w:rsid w:val="1FFC6DF9"/>
    <w:rsid w:val="20063966"/>
    <w:rsid w:val="200E322C"/>
    <w:rsid w:val="201E3372"/>
    <w:rsid w:val="20204A58"/>
    <w:rsid w:val="2023593B"/>
    <w:rsid w:val="20400323"/>
    <w:rsid w:val="204A2D08"/>
    <w:rsid w:val="20523CE5"/>
    <w:rsid w:val="20584D29"/>
    <w:rsid w:val="206440F3"/>
    <w:rsid w:val="207E7767"/>
    <w:rsid w:val="20943C05"/>
    <w:rsid w:val="20954B49"/>
    <w:rsid w:val="209B6169"/>
    <w:rsid w:val="20A9366B"/>
    <w:rsid w:val="20C773EE"/>
    <w:rsid w:val="20CF1167"/>
    <w:rsid w:val="20D65565"/>
    <w:rsid w:val="20F05948"/>
    <w:rsid w:val="20FA45A8"/>
    <w:rsid w:val="21007088"/>
    <w:rsid w:val="210322B3"/>
    <w:rsid w:val="210D42CD"/>
    <w:rsid w:val="211E735D"/>
    <w:rsid w:val="212277EE"/>
    <w:rsid w:val="212B6839"/>
    <w:rsid w:val="2131389E"/>
    <w:rsid w:val="2132558F"/>
    <w:rsid w:val="21334238"/>
    <w:rsid w:val="213C2123"/>
    <w:rsid w:val="213D6177"/>
    <w:rsid w:val="21460A7A"/>
    <w:rsid w:val="219F63CB"/>
    <w:rsid w:val="21A93913"/>
    <w:rsid w:val="21CF569A"/>
    <w:rsid w:val="21DA5274"/>
    <w:rsid w:val="21DA6607"/>
    <w:rsid w:val="21DE1E52"/>
    <w:rsid w:val="21F45F36"/>
    <w:rsid w:val="221E351F"/>
    <w:rsid w:val="22203528"/>
    <w:rsid w:val="22253423"/>
    <w:rsid w:val="22315968"/>
    <w:rsid w:val="22321B7F"/>
    <w:rsid w:val="22395DB5"/>
    <w:rsid w:val="223E4AD4"/>
    <w:rsid w:val="22412D39"/>
    <w:rsid w:val="22424B65"/>
    <w:rsid w:val="22525AD8"/>
    <w:rsid w:val="227A2C39"/>
    <w:rsid w:val="227E7C1C"/>
    <w:rsid w:val="228A1E97"/>
    <w:rsid w:val="228C2592"/>
    <w:rsid w:val="229226CF"/>
    <w:rsid w:val="22CA6772"/>
    <w:rsid w:val="22E92B9D"/>
    <w:rsid w:val="22EB630E"/>
    <w:rsid w:val="22F1555F"/>
    <w:rsid w:val="2305446B"/>
    <w:rsid w:val="23085E7A"/>
    <w:rsid w:val="232031B5"/>
    <w:rsid w:val="23366EF6"/>
    <w:rsid w:val="23375895"/>
    <w:rsid w:val="23430D00"/>
    <w:rsid w:val="234D6DF0"/>
    <w:rsid w:val="235C493E"/>
    <w:rsid w:val="236073AE"/>
    <w:rsid w:val="23650BEE"/>
    <w:rsid w:val="23703BE3"/>
    <w:rsid w:val="237B2E39"/>
    <w:rsid w:val="23A6588F"/>
    <w:rsid w:val="23AF3A46"/>
    <w:rsid w:val="23C6713C"/>
    <w:rsid w:val="23D17183"/>
    <w:rsid w:val="23D20D30"/>
    <w:rsid w:val="23D93622"/>
    <w:rsid w:val="23DA4DAE"/>
    <w:rsid w:val="23F2088A"/>
    <w:rsid w:val="24004C88"/>
    <w:rsid w:val="242048C0"/>
    <w:rsid w:val="24216055"/>
    <w:rsid w:val="243E0993"/>
    <w:rsid w:val="24685543"/>
    <w:rsid w:val="246E48B7"/>
    <w:rsid w:val="247C0775"/>
    <w:rsid w:val="247C3476"/>
    <w:rsid w:val="24922C19"/>
    <w:rsid w:val="249704D4"/>
    <w:rsid w:val="249D6663"/>
    <w:rsid w:val="24A372E3"/>
    <w:rsid w:val="24A90FA8"/>
    <w:rsid w:val="24CB7953"/>
    <w:rsid w:val="24D469A0"/>
    <w:rsid w:val="24D853AB"/>
    <w:rsid w:val="24E559AD"/>
    <w:rsid w:val="24E62DC3"/>
    <w:rsid w:val="24F03B63"/>
    <w:rsid w:val="250B4BC8"/>
    <w:rsid w:val="251C5810"/>
    <w:rsid w:val="255C4A1C"/>
    <w:rsid w:val="255D517E"/>
    <w:rsid w:val="256C760C"/>
    <w:rsid w:val="256D0C8D"/>
    <w:rsid w:val="257A5BF5"/>
    <w:rsid w:val="25B327FD"/>
    <w:rsid w:val="25D2119D"/>
    <w:rsid w:val="25DE5A41"/>
    <w:rsid w:val="25FA69BB"/>
    <w:rsid w:val="25FF3B3B"/>
    <w:rsid w:val="261C4271"/>
    <w:rsid w:val="26402A59"/>
    <w:rsid w:val="264231C7"/>
    <w:rsid w:val="26630B20"/>
    <w:rsid w:val="2668630C"/>
    <w:rsid w:val="26763C60"/>
    <w:rsid w:val="268D5A9A"/>
    <w:rsid w:val="26B045B9"/>
    <w:rsid w:val="26B24900"/>
    <w:rsid w:val="26B61FCA"/>
    <w:rsid w:val="26BC1808"/>
    <w:rsid w:val="26C34E03"/>
    <w:rsid w:val="26C962B7"/>
    <w:rsid w:val="26D65933"/>
    <w:rsid w:val="26D87F81"/>
    <w:rsid w:val="26F41682"/>
    <w:rsid w:val="26FC4953"/>
    <w:rsid w:val="27122DA5"/>
    <w:rsid w:val="27130AA0"/>
    <w:rsid w:val="271C2262"/>
    <w:rsid w:val="273C031C"/>
    <w:rsid w:val="274715F4"/>
    <w:rsid w:val="2757675D"/>
    <w:rsid w:val="276F3B71"/>
    <w:rsid w:val="27724941"/>
    <w:rsid w:val="278716DE"/>
    <w:rsid w:val="27923F94"/>
    <w:rsid w:val="279D2AD8"/>
    <w:rsid w:val="27AB5011"/>
    <w:rsid w:val="27AC5D46"/>
    <w:rsid w:val="27DD2993"/>
    <w:rsid w:val="27E9369C"/>
    <w:rsid w:val="27EC0259"/>
    <w:rsid w:val="280130B4"/>
    <w:rsid w:val="28167F1C"/>
    <w:rsid w:val="28736E3E"/>
    <w:rsid w:val="28756563"/>
    <w:rsid w:val="287B51DB"/>
    <w:rsid w:val="28893904"/>
    <w:rsid w:val="28CB3C22"/>
    <w:rsid w:val="28EB7E47"/>
    <w:rsid w:val="29123D91"/>
    <w:rsid w:val="291304FE"/>
    <w:rsid w:val="292D27EF"/>
    <w:rsid w:val="29420724"/>
    <w:rsid w:val="2964004E"/>
    <w:rsid w:val="29811ECA"/>
    <w:rsid w:val="298D547C"/>
    <w:rsid w:val="299701CA"/>
    <w:rsid w:val="299E3473"/>
    <w:rsid w:val="29B33C83"/>
    <w:rsid w:val="29B36366"/>
    <w:rsid w:val="29D23100"/>
    <w:rsid w:val="29DA7A8C"/>
    <w:rsid w:val="29E36EB3"/>
    <w:rsid w:val="29E90789"/>
    <w:rsid w:val="29FA3B73"/>
    <w:rsid w:val="29FB2774"/>
    <w:rsid w:val="2A043654"/>
    <w:rsid w:val="2A1426EE"/>
    <w:rsid w:val="2A2256C4"/>
    <w:rsid w:val="2A355C12"/>
    <w:rsid w:val="2A366D80"/>
    <w:rsid w:val="2A413D08"/>
    <w:rsid w:val="2A483C14"/>
    <w:rsid w:val="2A53196C"/>
    <w:rsid w:val="2A567C56"/>
    <w:rsid w:val="2A655E1F"/>
    <w:rsid w:val="2A6D00A2"/>
    <w:rsid w:val="2A9066BE"/>
    <w:rsid w:val="2AA07601"/>
    <w:rsid w:val="2ADC4C02"/>
    <w:rsid w:val="2ADF1512"/>
    <w:rsid w:val="2B0A2964"/>
    <w:rsid w:val="2B104BFD"/>
    <w:rsid w:val="2B195029"/>
    <w:rsid w:val="2B3F4693"/>
    <w:rsid w:val="2B415723"/>
    <w:rsid w:val="2B573697"/>
    <w:rsid w:val="2B6C08F1"/>
    <w:rsid w:val="2B8839C6"/>
    <w:rsid w:val="2B9D5D2C"/>
    <w:rsid w:val="2BB04B58"/>
    <w:rsid w:val="2BC20F86"/>
    <w:rsid w:val="2BDD263A"/>
    <w:rsid w:val="2BDE7011"/>
    <w:rsid w:val="2BE146E3"/>
    <w:rsid w:val="2BED4B66"/>
    <w:rsid w:val="2BF553DA"/>
    <w:rsid w:val="2C364107"/>
    <w:rsid w:val="2C377F84"/>
    <w:rsid w:val="2C494869"/>
    <w:rsid w:val="2C496C09"/>
    <w:rsid w:val="2C513616"/>
    <w:rsid w:val="2C5B0751"/>
    <w:rsid w:val="2C7C4025"/>
    <w:rsid w:val="2C9A7FAD"/>
    <w:rsid w:val="2C9C0D0D"/>
    <w:rsid w:val="2C9C6AC1"/>
    <w:rsid w:val="2C9D28A6"/>
    <w:rsid w:val="2CC8747F"/>
    <w:rsid w:val="2CCF77CC"/>
    <w:rsid w:val="2CD446B6"/>
    <w:rsid w:val="2CEA7598"/>
    <w:rsid w:val="2CF2580F"/>
    <w:rsid w:val="2D001EEA"/>
    <w:rsid w:val="2D1472A9"/>
    <w:rsid w:val="2D1D52AA"/>
    <w:rsid w:val="2D403CB9"/>
    <w:rsid w:val="2D492E0B"/>
    <w:rsid w:val="2D555CDA"/>
    <w:rsid w:val="2D5B47E4"/>
    <w:rsid w:val="2D603BC2"/>
    <w:rsid w:val="2D6C6F17"/>
    <w:rsid w:val="2D6E06E4"/>
    <w:rsid w:val="2D760376"/>
    <w:rsid w:val="2D8A6EEC"/>
    <w:rsid w:val="2D8F1735"/>
    <w:rsid w:val="2D8F21B8"/>
    <w:rsid w:val="2D9938D7"/>
    <w:rsid w:val="2DA17971"/>
    <w:rsid w:val="2DA9619F"/>
    <w:rsid w:val="2DAC0D8C"/>
    <w:rsid w:val="2DD55161"/>
    <w:rsid w:val="2DDA1C3C"/>
    <w:rsid w:val="2DE35491"/>
    <w:rsid w:val="2E03632D"/>
    <w:rsid w:val="2E037175"/>
    <w:rsid w:val="2E1B50A3"/>
    <w:rsid w:val="2E3A56E5"/>
    <w:rsid w:val="2E3F1ED5"/>
    <w:rsid w:val="2E54519C"/>
    <w:rsid w:val="2E732FD3"/>
    <w:rsid w:val="2E7C3283"/>
    <w:rsid w:val="2EB2380A"/>
    <w:rsid w:val="2EC629DC"/>
    <w:rsid w:val="2EC76E3E"/>
    <w:rsid w:val="2EF97CF9"/>
    <w:rsid w:val="2F0970CB"/>
    <w:rsid w:val="2F2378CC"/>
    <w:rsid w:val="2F2F608B"/>
    <w:rsid w:val="2F3A3BFA"/>
    <w:rsid w:val="2F480717"/>
    <w:rsid w:val="2F500F5A"/>
    <w:rsid w:val="2F561530"/>
    <w:rsid w:val="2F762FFE"/>
    <w:rsid w:val="2F785750"/>
    <w:rsid w:val="2F8340AB"/>
    <w:rsid w:val="2F882060"/>
    <w:rsid w:val="2F895376"/>
    <w:rsid w:val="2FA74BCE"/>
    <w:rsid w:val="2FA849C0"/>
    <w:rsid w:val="2FB6282A"/>
    <w:rsid w:val="2FD071AB"/>
    <w:rsid w:val="2FDA51EB"/>
    <w:rsid w:val="2FE05C5E"/>
    <w:rsid w:val="2FF105A6"/>
    <w:rsid w:val="2FFD6B2F"/>
    <w:rsid w:val="30113016"/>
    <w:rsid w:val="301A6461"/>
    <w:rsid w:val="302A4246"/>
    <w:rsid w:val="3049725E"/>
    <w:rsid w:val="30692676"/>
    <w:rsid w:val="307D76A6"/>
    <w:rsid w:val="308372A9"/>
    <w:rsid w:val="30D2708D"/>
    <w:rsid w:val="30D32235"/>
    <w:rsid w:val="310304F4"/>
    <w:rsid w:val="311814E9"/>
    <w:rsid w:val="311D5D23"/>
    <w:rsid w:val="311E4F11"/>
    <w:rsid w:val="314016ED"/>
    <w:rsid w:val="3142493F"/>
    <w:rsid w:val="3155448F"/>
    <w:rsid w:val="315826E0"/>
    <w:rsid w:val="31631424"/>
    <w:rsid w:val="316D434C"/>
    <w:rsid w:val="3173406A"/>
    <w:rsid w:val="31766EAD"/>
    <w:rsid w:val="318F30FF"/>
    <w:rsid w:val="31A85B5D"/>
    <w:rsid w:val="31B04F3F"/>
    <w:rsid w:val="31BE4FA2"/>
    <w:rsid w:val="31C316CD"/>
    <w:rsid w:val="31C81E83"/>
    <w:rsid w:val="31DE40A8"/>
    <w:rsid w:val="31EF301E"/>
    <w:rsid w:val="31FC3B22"/>
    <w:rsid w:val="320222A1"/>
    <w:rsid w:val="32082D46"/>
    <w:rsid w:val="32173750"/>
    <w:rsid w:val="321B4AC7"/>
    <w:rsid w:val="322018E0"/>
    <w:rsid w:val="32226777"/>
    <w:rsid w:val="322C14FF"/>
    <w:rsid w:val="32360B21"/>
    <w:rsid w:val="324241DC"/>
    <w:rsid w:val="326478A0"/>
    <w:rsid w:val="326A5D43"/>
    <w:rsid w:val="32737A48"/>
    <w:rsid w:val="328B4D00"/>
    <w:rsid w:val="329B31E3"/>
    <w:rsid w:val="329D43FE"/>
    <w:rsid w:val="32A06F53"/>
    <w:rsid w:val="32A12544"/>
    <w:rsid w:val="32BC444F"/>
    <w:rsid w:val="32BE0A52"/>
    <w:rsid w:val="32CC5715"/>
    <w:rsid w:val="32D13830"/>
    <w:rsid w:val="32D53A63"/>
    <w:rsid w:val="32DC1E34"/>
    <w:rsid w:val="331918C7"/>
    <w:rsid w:val="331F536E"/>
    <w:rsid w:val="33286C25"/>
    <w:rsid w:val="332F5418"/>
    <w:rsid w:val="33514F7D"/>
    <w:rsid w:val="33597117"/>
    <w:rsid w:val="335A27AC"/>
    <w:rsid w:val="336A6EE7"/>
    <w:rsid w:val="336C22BB"/>
    <w:rsid w:val="336D4ED9"/>
    <w:rsid w:val="33930462"/>
    <w:rsid w:val="339D4973"/>
    <w:rsid w:val="339F1CED"/>
    <w:rsid w:val="33A11A0E"/>
    <w:rsid w:val="33A30306"/>
    <w:rsid w:val="33AC40D0"/>
    <w:rsid w:val="33B53DED"/>
    <w:rsid w:val="33C70744"/>
    <w:rsid w:val="33C9004E"/>
    <w:rsid w:val="33D6421E"/>
    <w:rsid w:val="33DC2463"/>
    <w:rsid w:val="34245B22"/>
    <w:rsid w:val="34423930"/>
    <w:rsid w:val="34454ACD"/>
    <w:rsid w:val="347B0AA2"/>
    <w:rsid w:val="347E32C6"/>
    <w:rsid w:val="349264B3"/>
    <w:rsid w:val="349A6D90"/>
    <w:rsid w:val="34A840E3"/>
    <w:rsid w:val="34A922C0"/>
    <w:rsid w:val="34C9499B"/>
    <w:rsid w:val="34CD0E40"/>
    <w:rsid w:val="34E41274"/>
    <w:rsid w:val="34F766C1"/>
    <w:rsid w:val="35032B8B"/>
    <w:rsid w:val="351140DB"/>
    <w:rsid w:val="356120F5"/>
    <w:rsid w:val="35775354"/>
    <w:rsid w:val="357C1067"/>
    <w:rsid w:val="35964198"/>
    <w:rsid w:val="35977B84"/>
    <w:rsid w:val="35A2666A"/>
    <w:rsid w:val="35B064FE"/>
    <w:rsid w:val="35D02EC2"/>
    <w:rsid w:val="35D23BE4"/>
    <w:rsid w:val="35FD4A7A"/>
    <w:rsid w:val="360842FC"/>
    <w:rsid w:val="360A38BC"/>
    <w:rsid w:val="36136AED"/>
    <w:rsid w:val="361A4919"/>
    <w:rsid w:val="36383AF5"/>
    <w:rsid w:val="364E2191"/>
    <w:rsid w:val="366603F9"/>
    <w:rsid w:val="367162D2"/>
    <w:rsid w:val="368E447C"/>
    <w:rsid w:val="369A636C"/>
    <w:rsid w:val="36A0119A"/>
    <w:rsid w:val="36B9674B"/>
    <w:rsid w:val="36DC4E20"/>
    <w:rsid w:val="36E21039"/>
    <w:rsid w:val="37050D0E"/>
    <w:rsid w:val="370A7CBE"/>
    <w:rsid w:val="371F2DEE"/>
    <w:rsid w:val="373B1EFE"/>
    <w:rsid w:val="37490D0C"/>
    <w:rsid w:val="37535DB2"/>
    <w:rsid w:val="376949C4"/>
    <w:rsid w:val="37745F5A"/>
    <w:rsid w:val="378A3358"/>
    <w:rsid w:val="378F2FC2"/>
    <w:rsid w:val="37935D65"/>
    <w:rsid w:val="37B76890"/>
    <w:rsid w:val="37C962C7"/>
    <w:rsid w:val="37D33628"/>
    <w:rsid w:val="37E7E8DD"/>
    <w:rsid w:val="37F94C38"/>
    <w:rsid w:val="380E53F4"/>
    <w:rsid w:val="3814783E"/>
    <w:rsid w:val="38242EEC"/>
    <w:rsid w:val="382F775F"/>
    <w:rsid w:val="3844097C"/>
    <w:rsid w:val="38562DED"/>
    <w:rsid w:val="38600AE1"/>
    <w:rsid w:val="388062FE"/>
    <w:rsid w:val="38944D63"/>
    <w:rsid w:val="389E394D"/>
    <w:rsid w:val="38A05990"/>
    <w:rsid w:val="38B40276"/>
    <w:rsid w:val="38DB0A4E"/>
    <w:rsid w:val="38FE12FA"/>
    <w:rsid w:val="39212136"/>
    <w:rsid w:val="3934576A"/>
    <w:rsid w:val="39420B52"/>
    <w:rsid w:val="39526175"/>
    <w:rsid w:val="39566549"/>
    <w:rsid w:val="39740084"/>
    <w:rsid w:val="397411E3"/>
    <w:rsid w:val="397825DA"/>
    <w:rsid w:val="397B2943"/>
    <w:rsid w:val="39BD6642"/>
    <w:rsid w:val="39EC7CEC"/>
    <w:rsid w:val="3A0D5A0A"/>
    <w:rsid w:val="3A16348E"/>
    <w:rsid w:val="3A1A5E8C"/>
    <w:rsid w:val="3A255373"/>
    <w:rsid w:val="3A4B39F9"/>
    <w:rsid w:val="3A4C3ED0"/>
    <w:rsid w:val="3A712129"/>
    <w:rsid w:val="3AA1530A"/>
    <w:rsid w:val="3AA34992"/>
    <w:rsid w:val="3AB5335B"/>
    <w:rsid w:val="3ABFA669"/>
    <w:rsid w:val="3AC95137"/>
    <w:rsid w:val="3AD568FB"/>
    <w:rsid w:val="3AD64514"/>
    <w:rsid w:val="3AF1517E"/>
    <w:rsid w:val="3AFE3042"/>
    <w:rsid w:val="3B1D588C"/>
    <w:rsid w:val="3B1E0D3F"/>
    <w:rsid w:val="3B2A23B9"/>
    <w:rsid w:val="3B450D16"/>
    <w:rsid w:val="3B465F7A"/>
    <w:rsid w:val="3B4A5299"/>
    <w:rsid w:val="3B4A6737"/>
    <w:rsid w:val="3B7D30F0"/>
    <w:rsid w:val="3B7D782A"/>
    <w:rsid w:val="3B8360A3"/>
    <w:rsid w:val="3B853672"/>
    <w:rsid w:val="3B964474"/>
    <w:rsid w:val="3BB707CD"/>
    <w:rsid w:val="3BCE3FAB"/>
    <w:rsid w:val="3BD369CC"/>
    <w:rsid w:val="3C0969F8"/>
    <w:rsid w:val="3C0C15C8"/>
    <w:rsid w:val="3C164E8D"/>
    <w:rsid w:val="3C3535D5"/>
    <w:rsid w:val="3C5627E9"/>
    <w:rsid w:val="3C6C6F0F"/>
    <w:rsid w:val="3C814EDA"/>
    <w:rsid w:val="3C860145"/>
    <w:rsid w:val="3CE55B68"/>
    <w:rsid w:val="3CED72B1"/>
    <w:rsid w:val="3CFD16B1"/>
    <w:rsid w:val="3CFF7A0D"/>
    <w:rsid w:val="3D02646D"/>
    <w:rsid w:val="3D05498C"/>
    <w:rsid w:val="3D1B36C6"/>
    <w:rsid w:val="3D225082"/>
    <w:rsid w:val="3D2C3303"/>
    <w:rsid w:val="3D361B44"/>
    <w:rsid w:val="3D41171D"/>
    <w:rsid w:val="3D4C330A"/>
    <w:rsid w:val="3D507B20"/>
    <w:rsid w:val="3D6932D9"/>
    <w:rsid w:val="3D8D3EB6"/>
    <w:rsid w:val="3DA541E3"/>
    <w:rsid w:val="3DC05AC1"/>
    <w:rsid w:val="3DDF47D5"/>
    <w:rsid w:val="3DEB0DE3"/>
    <w:rsid w:val="3DEE1483"/>
    <w:rsid w:val="3DF27455"/>
    <w:rsid w:val="3E01494A"/>
    <w:rsid w:val="3E1A5F07"/>
    <w:rsid w:val="3E1B6376"/>
    <w:rsid w:val="3E1C6B21"/>
    <w:rsid w:val="3E52772C"/>
    <w:rsid w:val="3E7B3595"/>
    <w:rsid w:val="3E89749E"/>
    <w:rsid w:val="3E8A2155"/>
    <w:rsid w:val="3E9178E2"/>
    <w:rsid w:val="3E9717A1"/>
    <w:rsid w:val="3E9A0263"/>
    <w:rsid w:val="3E9C385C"/>
    <w:rsid w:val="3EAC23DB"/>
    <w:rsid w:val="3EC07A8D"/>
    <w:rsid w:val="3EFC69CE"/>
    <w:rsid w:val="3F0D69A3"/>
    <w:rsid w:val="3F0E7AB0"/>
    <w:rsid w:val="3F1159C7"/>
    <w:rsid w:val="3F336599"/>
    <w:rsid w:val="3F354F3E"/>
    <w:rsid w:val="3F3670F3"/>
    <w:rsid w:val="3F405545"/>
    <w:rsid w:val="3F4806CA"/>
    <w:rsid w:val="3F4E36F9"/>
    <w:rsid w:val="3F50760E"/>
    <w:rsid w:val="3F554E5A"/>
    <w:rsid w:val="3F590957"/>
    <w:rsid w:val="3F5B0157"/>
    <w:rsid w:val="3F7D11A4"/>
    <w:rsid w:val="3F851852"/>
    <w:rsid w:val="3F9A148C"/>
    <w:rsid w:val="3FA43C9B"/>
    <w:rsid w:val="3FC622A9"/>
    <w:rsid w:val="3FCD3C5F"/>
    <w:rsid w:val="40095B1B"/>
    <w:rsid w:val="402F29E9"/>
    <w:rsid w:val="40306144"/>
    <w:rsid w:val="4038677B"/>
    <w:rsid w:val="403C6F8F"/>
    <w:rsid w:val="405F613D"/>
    <w:rsid w:val="40725A2B"/>
    <w:rsid w:val="4079014A"/>
    <w:rsid w:val="40860FCF"/>
    <w:rsid w:val="40936CE9"/>
    <w:rsid w:val="409670AC"/>
    <w:rsid w:val="40B13025"/>
    <w:rsid w:val="40B90F2F"/>
    <w:rsid w:val="40C508D9"/>
    <w:rsid w:val="40D248CF"/>
    <w:rsid w:val="40D91865"/>
    <w:rsid w:val="40E153CB"/>
    <w:rsid w:val="40E824C6"/>
    <w:rsid w:val="40EA4EAB"/>
    <w:rsid w:val="41040C86"/>
    <w:rsid w:val="41320DD0"/>
    <w:rsid w:val="41451C25"/>
    <w:rsid w:val="415B6CDD"/>
    <w:rsid w:val="417D29E9"/>
    <w:rsid w:val="417E4C67"/>
    <w:rsid w:val="41852F36"/>
    <w:rsid w:val="419A4264"/>
    <w:rsid w:val="41A03729"/>
    <w:rsid w:val="41EC2334"/>
    <w:rsid w:val="42066AC6"/>
    <w:rsid w:val="4213531D"/>
    <w:rsid w:val="422C3B1C"/>
    <w:rsid w:val="42370605"/>
    <w:rsid w:val="423A28D5"/>
    <w:rsid w:val="424356A4"/>
    <w:rsid w:val="4254425B"/>
    <w:rsid w:val="4265772B"/>
    <w:rsid w:val="428A3756"/>
    <w:rsid w:val="428D5E68"/>
    <w:rsid w:val="428E671D"/>
    <w:rsid w:val="429B03D3"/>
    <w:rsid w:val="42BB2B79"/>
    <w:rsid w:val="42D97DE5"/>
    <w:rsid w:val="42F704B0"/>
    <w:rsid w:val="431C531B"/>
    <w:rsid w:val="435363AD"/>
    <w:rsid w:val="435A13B9"/>
    <w:rsid w:val="435F61CD"/>
    <w:rsid w:val="4362227A"/>
    <w:rsid w:val="43797205"/>
    <w:rsid w:val="437D5891"/>
    <w:rsid w:val="43927042"/>
    <w:rsid w:val="43970160"/>
    <w:rsid w:val="43972F43"/>
    <w:rsid w:val="439B6448"/>
    <w:rsid w:val="439E770F"/>
    <w:rsid w:val="43A34A1C"/>
    <w:rsid w:val="43B22172"/>
    <w:rsid w:val="43C770CB"/>
    <w:rsid w:val="43D5669B"/>
    <w:rsid w:val="43F41095"/>
    <w:rsid w:val="441D2DB5"/>
    <w:rsid w:val="44271D62"/>
    <w:rsid w:val="442A43F9"/>
    <w:rsid w:val="442C3166"/>
    <w:rsid w:val="44312FB0"/>
    <w:rsid w:val="443D12C7"/>
    <w:rsid w:val="44442CC9"/>
    <w:rsid w:val="4449434E"/>
    <w:rsid w:val="4465146E"/>
    <w:rsid w:val="448E384C"/>
    <w:rsid w:val="449214C5"/>
    <w:rsid w:val="44981229"/>
    <w:rsid w:val="449A36E2"/>
    <w:rsid w:val="449D5AB7"/>
    <w:rsid w:val="44A70920"/>
    <w:rsid w:val="44CA673A"/>
    <w:rsid w:val="44EC333A"/>
    <w:rsid w:val="44F17D7C"/>
    <w:rsid w:val="44F93EA2"/>
    <w:rsid w:val="451A6DA2"/>
    <w:rsid w:val="452E6047"/>
    <w:rsid w:val="453B0017"/>
    <w:rsid w:val="45430561"/>
    <w:rsid w:val="45582EB4"/>
    <w:rsid w:val="455C1D3F"/>
    <w:rsid w:val="458C031D"/>
    <w:rsid w:val="459D34A1"/>
    <w:rsid w:val="45A32C75"/>
    <w:rsid w:val="45AF74EC"/>
    <w:rsid w:val="45C946F4"/>
    <w:rsid w:val="45F05E73"/>
    <w:rsid w:val="45F506D2"/>
    <w:rsid w:val="46041CF1"/>
    <w:rsid w:val="46051892"/>
    <w:rsid w:val="460A43EF"/>
    <w:rsid w:val="460E7377"/>
    <w:rsid w:val="460F08E9"/>
    <w:rsid w:val="4610740B"/>
    <w:rsid w:val="46156A65"/>
    <w:rsid w:val="462D17C4"/>
    <w:rsid w:val="464C0669"/>
    <w:rsid w:val="465264D7"/>
    <w:rsid w:val="46543C0A"/>
    <w:rsid w:val="4655752D"/>
    <w:rsid w:val="466A606E"/>
    <w:rsid w:val="46D2288A"/>
    <w:rsid w:val="46DC1D1C"/>
    <w:rsid w:val="46E55D03"/>
    <w:rsid w:val="46F915B9"/>
    <w:rsid w:val="46F91E7C"/>
    <w:rsid w:val="47112069"/>
    <w:rsid w:val="47197160"/>
    <w:rsid w:val="471D2EE3"/>
    <w:rsid w:val="472440B3"/>
    <w:rsid w:val="47291641"/>
    <w:rsid w:val="475E0497"/>
    <w:rsid w:val="475E5912"/>
    <w:rsid w:val="47602B25"/>
    <w:rsid w:val="47764D9A"/>
    <w:rsid w:val="478E6966"/>
    <w:rsid w:val="47BA4703"/>
    <w:rsid w:val="47C02951"/>
    <w:rsid w:val="47C345FE"/>
    <w:rsid w:val="47D420CF"/>
    <w:rsid w:val="47D9748A"/>
    <w:rsid w:val="47DD1D99"/>
    <w:rsid w:val="47DE5C63"/>
    <w:rsid w:val="47EA5CA7"/>
    <w:rsid w:val="47EB2EA8"/>
    <w:rsid w:val="47F4536A"/>
    <w:rsid w:val="48025C96"/>
    <w:rsid w:val="48131775"/>
    <w:rsid w:val="48212873"/>
    <w:rsid w:val="482F4D30"/>
    <w:rsid w:val="48392E5E"/>
    <w:rsid w:val="483977D4"/>
    <w:rsid w:val="48475B82"/>
    <w:rsid w:val="48934F3E"/>
    <w:rsid w:val="48962A8D"/>
    <w:rsid w:val="48C43B53"/>
    <w:rsid w:val="49061378"/>
    <w:rsid w:val="49076D17"/>
    <w:rsid w:val="491E642F"/>
    <w:rsid w:val="492542FE"/>
    <w:rsid w:val="493273D3"/>
    <w:rsid w:val="494F6E1F"/>
    <w:rsid w:val="4950416C"/>
    <w:rsid w:val="49593C1B"/>
    <w:rsid w:val="495C0C54"/>
    <w:rsid w:val="496E4326"/>
    <w:rsid w:val="496E78D5"/>
    <w:rsid w:val="49734514"/>
    <w:rsid w:val="49933E48"/>
    <w:rsid w:val="49941ECF"/>
    <w:rsid w:val="499D2F0A"/>
    <w:rsid w:val="49F13D87"/>
    <w:rsid w:val="49F367CD"/>
    <w:rsid w:val="4A390573"/>
    <w:rsid w:val="4A48601B"/>
    <w:rsid w:val="4A4A134B"/>
    <w:rsid w:val="4A7A76B7"/>
    <w:rsid w:val="4AAA3B0C"/>
    <w:rsid w:val="4AB76757"/>
    <w:rsid w:val="4AD1525E"/>
    <w:rsid w:val="4AF611BE"/>
    <w:rsid w:val="4AFB20A0"/>
    <w:rsid w:val="4B0137A3"/>
    <w:rsid w:val="4B174B35"/>
    <w:rsid w:val="4B183C5E"/>
    <w:rsid w:val="4B324793"/>
    <w:rsid w:val="4B7931DE"/>
    <w:rsid w:val="4B7F0B1A"/>
    <w:rsid w:val="4B861BF5"/>
    <w:rsid w:val="4B8E205E"/>
    <w:rsid w:val="4B9631DB"/>
    <w:rsid w:val="4BAA0E85"/>
    <w:rsid w:val="4BAB7403"/>
    <w:rsid w:val="4BB850AE"/>
    <w:rsid w:val="4BC02BE8"/>
    <w:rsid w:val="4BDC5E8E"/>
    <w:rsid w:val="4BE60E59"/>
    <w:rsid w:val="4C2E6ED7"/>
    <w:rsid w:val="4C351555"/>
    <w:rsid w:val="4C411E59"/>
    <w:rsid w:val="4C595B87"/>
    <w:rsid w:val="4C5A4CAA"/>
    <w:rsid w:val="4C8A0111"/>
    <w:rsid w:val="4C8A7E4A"/>
    <w:rsid w:val="4C9A6225"/>
    <w:rsid w:val="4CAA2BD4"/>
    <w:rsid w:val="4CC42800"/>
    <w:rsid w:val="4CC94B7D"/>
    <w:rsid w:val="4CDA5A82"/>
    <w:rsid w:val="4CF15DE2"/>
    <w:rsid w:val="4CF61AEF"/>
    <w:rsid w:val="4D0F0D50"/>
    <w:rsid w:val="4D317C1C"/>
    <w:rsid w:val="4D3E2185"/>
    <w:rsid w:val="4D7439B5"/>
    <w:rsid w:val="4D765D77"/>
    <w:rsid w:val="4D7F287B"/>
    <w:rsid w:val="4D892D59"/>
    <w:rsid w:val="4D9D774C"/>
    <w:rsid w:val="4D9D7AFB"/>
    <w:rsid w:val="4DA264AF"/>
    <w:rsid w:val="4DA31193"/>
    <w:rsid w:val="4DA32BDF"/>
    <w:rsid w:val="4DB12E32"/>
    <w:rsid w:val="4DC83CFC"/>
    <w:rsid w:val="4DC83D33"/>
    <w:rsid w:val="4DD433B5"/>
    <w:rsid w:val="4DE7567F"/>
    <w:rsid w:val="4DEF41A5"/>
    <w:rsid w:val="4DF16424"/>
    <w:rsid w:val="4DFA5A95"/>
    <w:rsid w:val="4E0B5936"/>
    <w:rsid w:val="4E265CE0"/>
    <w:rsid w:val="4E26732B"/>
    <w:rsid w:val="4E4335C3"/>
    <w:rsid w:val="4E4D3421"/>
    <w:rsid w:val="4E4F657E"/>
    <w:rsid w:val="4E577798"/>
    <w:rsid w:val="4E5A4550"/>
    <w:rsid w:val="4E8250A2"/>
    <w:rsid w:val="4E971674"/>
    <w:rsid w:val="4E9E1641"/>
    <w:rsid w:val="4EAA2540"/>
    <w:rsid w:val="4EB11CF9"/>
    <w:rsid w:val="4EB149DC"/>
    <w:rsid w:val="4EDA6584"/>
    <w:rsid w:val="4EF76AB4"/>
    <w:rsid w:val="4F0C1EE3"/>
    <w:rsid w:val="4F1345D6"/>
    <w:rsid w:val="4F147739"/>
    <w:rsid w:val="4F194FB8"/>
    <w:rsid w:val="4F1A0045"/>
    <w:rsid w:val="4F3C1D68"/>
    <w:rsid w:val="4F49075D"/>
    <w:rsid w:val="4F6D6AEA"/>
    <w:rsid w:val="4F744C71"/>
    <w:rsid w:val="4F89087E"/>
    <w:rsid w:val="4F9B55C4"/>
    <w:rsid w:val="4FA470EF"/>
    <w:rsid w:val="4FB6598A"/>
    <w:rsid w:val="4FBB2D2A"/>
    <w:rsid w:val="4FBB5297"/>
    <w:rsid w:val="4FC123C9"/>
    <w:rsid w:val="4FC6376F"/>
    <w:rsid w:val="4FD416FE"/>
    <w:rsid w:val="4FF00335"/>
    <w:rsid w:val="50022C13"/>
    <w:rsid w:val="50075397"/>
    <w:rsid w:val="50165960"/>
    <w:rsid w:val="50397491"/>
    <w:rsid w:val="50467B7C"/>
    <w:rsid w:val="504D65C1"/>
    <w:rsid w:val="50557432"/>
    <w:rsid w:val="506960C0"/>
    <w:rsid w:val="508A07F1"/>
    <w:rsid w:val="5096236A"/>
    <w:rsid w:val="50D06595"/>
    <w:rsid w:val="50E12ECD"/>
    <w:rsid w:val="50F43800"/>
    <w:rsid w:val="50F667D8"/>
    <w:rsid w:val="50F92CDA"/>
    <w:rsid w:val="512469DE"/>
    <w:rsid w:val="512B38A0"/>
    <w:rsid w:val="5140549F"/>
    <w:rsid w:val="514310A8"/>
    <w:rsid w:val="51436FB6"/>
    <w:rsid w:val="51485323"/>
    <w:rsid w:val="516F61E9"/>
    <w:rsid w:val="51713814"/>
    <w:rsid w:val="5172550C"/>
    <w:rsid w:val="517936F9"/>
    <w:rsid w:val="51800DFD"/>
    <w:rsid w:val="51966B10"/>
    <w:rsid w:val="519A0DFE"/>
    <w:rsid w:val="519E4905"/>
    <w:rsid w:val="51A002CB"/>
    <w:rsid w:val="51B36109"/>
    <w:rsid w:val="51C23A52"/>
    <w:rsid w:val="51C42B39"/>
    <w:rsid w:val="51C867B5"/>
    <w:rsid w:val="51D63059"/>
    <w:rsid w:val="51E93DDF"/>
    <w:rsid w:val="51EB3674"/>
    <w:rsid w:val="51FD3E66"/>
    <w:rsid w:val="5208229C"/>
    <w:rsid w:val="521E77B3"/>
    <w:rsid w:val="52592D94"/>
    <w:rsid w:val="5299003C"/>
    <w:rsid w:val="52A43285"/>
    <w:rsid w:val="52A66305"/>
    <w:rsid w:val="52C53598"/>
    <w:rsid w:val="52D917FA"/>
    <w:rsid w:val="52DE1EA4"/>
    <w:rsid w:val="52E23452"/>
    <w:rsid w:val="52E3271D"/>
    <w:rsid w:val="52EF20BB"/>
    <w:rsid w:val="530857BB"/>
    <w:rsid w:val="530C1F4C"/>
    <w:rsid w:val="531A773F"/>
    <w:rsid w:val="531F3765"/>
    <w:rsid w:val="532028A6"/>
    <w:rsid w:val="532D20D5"/>
    <w:rsid w:val="53390EFD"/>
    <w:rsid w:val="533A7BF4"/>
    <w:rsid w:val="53494C2B"/>
    <w:rsid w:val="534D658E"/>
    <w:rsid w:val="5366583F"/>
    <w:rsid w:val="5382138E"/>
    <w:rsid w:val="539E4AF8"/>
    <w:rsid w:val="53C502A5"/>
    <w:rsid w:val="53C53A91"/>
    <w:rsid w:val="53F1305A"/>
    <w:rsid w:val="54017B52"/>
    <w:rsid w:val="54155E60"/>
    <w:rsid w:val="54195C61"/>
    <w:rsid w:val="54236014"/>
    <w:rsid w:val="542900FC"/>
    <w:rsid w:val="542F134D"/>
    <w:rsid w:val="54300382"/>
    <w:rsid w:val="5453599A"/>
    <w:rsid w:val="54566F12"/>
    <w:rsid w:val="546769A5"/>
    <w:rsid w:val="546D0CC7"/>
    <w:rsid w:val="54834174"/>
    <w:rsid w:val="548D662B"/>
    <w:rsid w:val="54955D76"/>
    <w:rsid w:val="54A54F4D"/>
    <w:rsid w:val="54AB54D8"/>
    <w:rsid w:val="54AE3F73"/>
    <w:rsid w:val="54B83735"/>
    <w:rsid w:val="54BE7B25"/>
    <w:rsid w:val="54CE3BAE"/>
    <w:rsid w:val="54D51955"/>
    <w:rsid w:val="54F92AF1"/>
    <w:rsid w:val="55114060"/>
    <w:rsid w:val="5511466B"/>
    <w:rsid w:val="5523634B"/>
    <w:rsid w:val="55310A9E"/>
    <w:rsid w:val="553C7F35"/>
    <w:rsid w:val="5545763E"/>
    <w:rsid w:val="554747DA"/>
    <w:rsid w:val="555255DA"/>
    <w:rsid w:val="555A0E2E"/>
    <w:rsid w:val="55674AF0"/>
    <w:rsid w:val="55714164"/>
    <w:rsid w:val="55785C90"/>
    <w:rsid w:val="558459CE"/>
    <w:rsid w:val="558801D8"/>
    <w:rsid w:val="55883D82"/>
    <w:rsid w:val="55912164"/>
    <w:rsid w:val="5595073D"/>
    <w:rsid w:val="559D3806"/>
    <w:rsid w:val="55A04466"/>
    <w:rsid w:val="55A2255B"/>
    <w:rsid w:val="55A91556"/>
    <w:rsid w:val="55AF67D0"/>
    <w:rsid w:val="55E14617"/>
    <w:rsid w:val="55EA548B"/>
    <w:rsid w:val="55FF72C8"/>
    <w:rsid w:val="56011339"/>
    <w:rsid w:val="56183B10"/>
    <w:rsid w:val="56331871"/>
    <w:rsid w:val="563E2964"/>
    <w:rsid w:val="563E6C41"/>
    <w:rsid w:val="56536732"/>
    <w:rsid w:val="56642F0D"/>
    <w:rsid w:val="566C1F01"/>
    <w:rsid w:val="566F66C9"/>
    <w:rsid w:val="569A049E"/>
    <w:rsid w:val="569A1D27"/>
    <w:rsid w:val="569B7D8D"/>
    <w:rsid w:val="569E2E1E"/>
    <w:rsid w:val="56A21D8E"/>
    <w:rsid w:val="56BE4025"/>
    <w:rsid w:val="56F45553"/>
    <w:rsid w:val="56F9086D"/>
    <w:rsid w:val="570574FD"/>
    <w:rsid w:val="571118F2"/>
    <w:rsid w:val="57162417"/>
    <w:rsid w:val="57224254"/>
    <w:rsid w:val="57463D40"/>
    <w:rsid w:val="57536DED"/>
    <w:rsid w:val="57614753"/>
    <w:rsid w:val="576B494B"/>
    <w:rsid w:val="57701837"/>
    <w:rsid w:val="577035F8"/>
    <w:rsid w:val="578B5B8D"/>
    <w:rsid w:val="57900883"/>
    <w:rsid w:val="579E531F"/>
    <w:rsid w:val="57A87E9D"/>
    <w:rsid w:val="57B9556F"/>
    <w:rsid w:val="57C03C59"/>
    <w:rsid w:val="57D64FC7"/>
    <w:rsid w:val="57E478EF"/>
    <w:rsid w:val="57E57C72"/>
    <w:rsid w:val="57F364FD"/>
    <w:rsid w:val="57FD5517"/>
    <w:rsid w:val="57FFEBB3"/>
    <w:rsid w:val="580A4C1C"/>
    <w:rsid w:val="58211C44"/>
    <w:rsid w:val="584D1023"/>
    <w:rsid w:val="584F5065"/>
    <w:rsid w:val="58661530"/>
    <w:rsid w:val="586A2464"/>
    <w:rsid w:val="58786C76"/>
    <w:rsid w:val="58835315"/>
    <w:rsid w:val="5892765F"/>
    <w:rsid w:val="58997C2B"/>
    <w:rsid w:val="58A606E3"/>
    <w:rsid w:val="58BA6A0F"/>
    <w:rsid w:val="58C35012"/>
    <w:rsid w:val="58C840BD"/>
    <w:rsid w:val="58E652F7"/>
    <w:rsid w:val="58ED41A5"/>
    <w:rsid w:val="58F02455"/>
    <w:rsid w:val="58F830AB"/>
    <w:rsid w:val="58FD0973"/>
    <w:rsid w:val="59376EDF"/>
    <w:rsid w:val="593A1458"/>
    <w:rsid w:val="595C55B1"/>
    <w:rsid w:val="5967194E"/>
    <w:rsid w:val="5969631D"/>
    <w:rsid w:val="59775B3F"/>
    <w:rsid w:val="5988770A"/>
    <w:rsid w:val="598A0F87"/>
    <w:rsid w:val="598F39A7"/>
    <w:rsid w:val="59C60AC7"/>
    <w:rsid w:val="59E328B4"/>
    <w:rsid w:val="59EC1C7E"/>
    <w:rsid w:val="59F55F3A"/>
    <w:rsid w:val="59FF3279"/>
    <w:rsid w:val="5A027E8B"/>
    <w:rsid w:val="5A0C0177"/>
    <w:rsid w:val="5A264814"/>
    <w:rsid w:val="5A2F7B9F"/>
    <w:rsid w:val="5A310739"/>
    <w:rsid w:val="5A520B68"/>
    <w:rsid w:val="5A5D4916"/>
    <w:rsid w:val="5A6460D7"/>
    <w:rsid w:val="5A6D039C"/>
    <w:rsid w:val="5A7E7141"/>
    <w:rsid w:val="5A807748"/>
    <w:rsid w:val="5A8D3BD3"/>
    <w:rsid w:val="5A974263"/>
    <w:rsid w:val="5AB86B0D"/>
    <w:rsid w:val="5AC304A7"/>
    <w:rsid w:val="5AC57206"/>
    <w:rsid w:val="5AC828B1"/>
    <w:rsid w:val="5ACE2005"/>
    <w:rsid w:val="5AD826CF"/>
    <w:rsid w:val="5B066265"/>
    <w:rsid w:val="5B0C5D86"/>
    <w:rsid w:val="5B25751A"/>
    <w:rsid w:val="5B3A1A5D"/>
    <w:rsid w:val="5B3D3ED3"/>
    <w:rsid w:val="5B3F1CF9"/>
    <w:rsid w:val="5B682B4C"/>
    <w:rsid w:val="5B7604D4"/>
    <w:rsid w:val="5B8B10A8"/>
    <w:rsid w:val="5B984419"/>
    <w:rsid w:val="5BA1011B"/>
    <w:rsid w:val="5BEA3702"/>
    <w:rsid w:val="5BED00F8"/>
    <w:rsid w:val="5BF04EF2"/>
    <w:rsid w:val="5BF20158"/>
    <w:rsid w:val="5BF46DE5"/>
    <w:rsid w:val="5BFF40A7"/>
    <w:rsid w:val="5C401075"/>
    <w:rsid w:val="5C681846"/>
    <w:rsid w:val="5C751DA6"/>
    <w:rsid w:val="5CB92018"/>
    <w:rsid w:val="5CC45222"/>
    <w:rsid w:val="5CC532CD"/>
    <w:rsid w:val="5CCB397C"/>
    <w:rsid w:val="5CD20825"/>
    <w:rsid w:val="5CD63E11"/>
    <w:rsid w:val="5CD9275C"/>
    <w:rsid w:val="5CE060F2"/>
    <w:rsid w:val="5CEC62BA"/>
    <w:rsid w:val="5CF40D75"/>
    <w:rsid w:val="5CFA1BB9"/>
    <w:rsid w:val="5CFE363F"/>
    <w:rsid w:val="5D031FF7"/>
    <w:rsid w:val="5D1F2875"/>
    <w:rsid w:val="5D403368"/>
    <w:rsid w:val="5D4553D8"/>
    <w:rsid w:val="5D536001"/>
    <w:rsid w:val="5D6F407F"/>
    <w:rsid w:val="5D771705"/>
    <w:rsid w:val="5D881D40"/>
    <w:rsid w:val="5DA318E1"/>
    <w:rsid w:val="5DB97149"/>
    <w:rsid w:val="5DC47ABF"/>
    <w:rsid w:val="5DCB6E46"/>
    <w:rsid w:val="5DD7FB3F"/>
    <w:rsid w:val="5DF9205E"/>
    <w:rsid w:val="5DFC7D19"/>
    <w:rsid w:val="5DFD6A81"/>
    <w:rsid w:val="5DFE6280"/>
    <w:rsid w:val="5E020DC1"/>
    <w:rsid w:val="5E143650"/>
    <w:rsid w:val="5E16138B"/>
    <w:rsid w:val="5E1A1BB4"/>
    <w:rsid w:val="5E2320EB"/>
    <w:rsid w:val="5E512FB1"/>
    <w:rsid w:val="5E55204D"/>
    <w:rsid w:val="5E850907"/>
    <w:rsid w:val="5E967FCE"/>
    <w:rsid w:val="5EC04F4C"/>
    <w:rsid w:val="5ECE1DC4"/>
    <w:rsid w:val="5ED502E4"/>
    <w:rsid w:val="5EDB21F9"/>
    <w:rsid w:val="5F14329E"/>
    <w:rsid w:val="5F2B62D7"/>
    <w:rsid w:val="5F4B4FCC"/>
    <w:rsid w:val="5F5C4891"/>
    <w:rsid w:val="5F644A2B"/>
    <w:rsid w:val="5F8758FC"/>
    <w:rsid w:val="5F9D7B89"/>
    <w:rsid w:val="5FAB269C"/>
    <w:rsid w:val="5FB05FDB"/>
    <w:rsid w:val="5FBE1A13"/>
    <w:rsid w:val="5FEA371C"/>
    <w:rsid w:val="60093533"/>
    <w:rsid w:val="602D7738"/>
    <w:rsid w:val="605B628E"/>
    <w:rsid w:val="605F2135"/>
    <w:rsid w:val="609B459D"/>
    <w:rsid w:val="60BC29B3"/>
    <w:rsid w:val="60CB1201"/>
    <w:rsid w:val="60D57674"/>
    <w:rsid w:val="60EC3CB3"/>
    <w:rsid w:val="60FB2E14"/>
    <w:rsid w:val="610A46D2"/>
    <w:rsid w:val="61645DDA"/>
    <w:rsid w:val="617043CA"/>
    <w:rsid w:val="617B6360"/>
    <w:rsid w:val="61A85DC7"/>
    <w:rsid w:val="61BE38B3"/>
    <w:rsid w:val="61C575C2"/>
    <w:rsid w:val="61C84D1C"/>
    <w:rsid w:val="61D60EE1"/>
    <w:rsid w:val="61E26933"/>
    <w:rsid w:val="61F35F8E"/>
    <w:rsid w:val="621F7F2A"/>
    <w:rsid w:val="622125BB"/>
    <w:rsid w:val="62224E46"/>
    <w:rsid w:val="62342C01"/>
    <w:rsid w:val="62371E44"/>
    <w:rsid w:val="623B3B21"/>
    <w:rsid w:val="624006F4"/>
    <w:rsid w:val="62462C32"/>
    <w:rsid w:val="627D641B"/>
    <w:rsid w:val="6282344D"/>
    <w:rsid w:val="62A600FE"/>
    <w:rsid w:val="62BE639E"/>
    <w:rsid w:val="62C14884"/>
    <w:rsid w:val="62DC677B"/>
    <w:rsid w:val="63143347"/>
    <w:rsid w:val="63283E2E"/>
    <w:rsid w:val="633E6985"/>
    <w:rsid w:val="63462E11"/>
    <w:rsid w:val="63493EEF"/>
    <w:rsid w:val="63585E5B"/>
    <w:rsid w:val="63653EEF"/>
    <w:rsid w:val="63672760"/>
    <w:rsid w:val="63795A49"/>
    <w:rsid w:val="637C7EE7"/>
    <w:rsid w:val="63854E93"/>
    <w:rsid w:val="638815B3"/>
    <w:rsid w:val="639E4E11"/>
    <w:rsid w:val="63A87FCC"/>
    <w:rsid w:val="63AC2B70"/>
    <w:rsid w:val="63B178D8"/>
    <w:rsid w:val="63D755FD"/>
    <w:rsid w:val="64053E74"/>
    <w:rsid w:val="64083E82"/>
    <w:rsid w:val="640F2D52"/>
    <w:rsid w:val="64111F1C"/>
    <w:rsid w:val="6413620B"/>
    <w:rsid w:val="641B1E04"/>
    <w:rsid w:val="641D1A3E"/>
    <w:rsid w:val="642366AE"/>
    <w:rsid w:val="64342E0C"/>
    <w:rsid w:val="64642B4F"/>
    <w:rsid w:val="64730788"/>
    <w:rsid w:val="64733E7D"/>
    <w:rsid w:val="64803649"/>
    <w:rsid w:val="649B5764"/>
    <w:rsid w:val="64D00547"/>
    <w:rsid w:val="64E95451"/>
    <w:rsid w:val="64F36F9D"/>
    <w:rsid w:val="64F46A76"/>
    <w:rsid w:val="650156AA"/>
    <w:rsid w:val="65351D4D"/>
    <w:rsid w:val="6541028B"/>
    <w:rsid w:val="6544001C"/>
    <w:rsid w:val="655119E4"/>
    <w:rsid w:val="659325BB"/>
    <w:rsid w:val="65C3703C"/>
    <w:rsid w:val="65CC158F"/>
    <w:rsid w:val="65CD1C2F"/>
    <w:rsid w:val="65E03FA0"/>
    <w:rsid w:val="661C16CE"/>
    <w:rsid w:val="6625055C"/>
    <w:rsid w:val="6629329F"/>
    <w:rsid w:val="662967CB"/>
    <w:rsid w:val="662F62E2"/>
    <w:rsid w:val="66645100"/>
    <w:rsid w:val="666D6658"/>
    <w:rsid w:val="667F57F4"/>
    <w:rsid w:val="668A714C"/>
    <w:rsid w:val="66A07CE1"/>
    <w:rsid w:val="66B41777"/>
    <w:rsid w:val="66B750F9"/>
    <w:rsid w:val="66F50CE7"/>
    <w:rsid w:val="67113F6B"/>
    <w:rsid w:val="67122D16"/>
    <w:rsid w:val="6720772C"/>
    <w:rsid w:val="6733082F"/>
    <w:rsid w:val="674863A9"/>
    <w:rsid w:val="67545C2F"/>
    <w:rsid w:val="67576231"/>
    <w:rsid w:val="675B0931"/>
    <w:rsid w:val="67727122"/>
    <w:rsid w:val="678407D8"/>
    <w:rsid w:val="679930A9"/>
    <w:rsid w:val="67AB1C24"/>
    <w:rsid w:val="67AD5E70"/>
    <w:rsid w:val="67AE1A89"/>
    <w:rsid w:val="67AF2A2D"/>
    <w:rsid w:val="67B7080D"/>
    <w:rsid w:val="67B87D01"/>
    <w:rsid w:val="67BE445D"/>
    <w:rsid w:val="67DC7568"/>
    <w:rsid w:val="67E74FA3"/>
    <w:rsid w:val="67EE08E0"/>
    <w:rsid w:val="67EF09C8"/>
    <w:rsid w:val="67F10303"/>
    <w:rsid w:val="67F13B6E"/>
    <w:rsid w:val="67FA4137"/>
    <w:rsid w:val="682A7B15"/>
    <w:rsid w:val="682C1A38"/>
    <w:rsid w:val="682E1879"/>
    <w:rsid w:val="68465AD9"/>
    <w:rsid w:val="684B52E3"/>
    <w:rsid w:val="68592455"/>
    <w:rsid w:val="686D22A4"/>
    <w:rsid w:val="687F24BE"/>
    <w:rsid w:val="68866E94"/>
    <w:rsid w:val="68967D88"/>
    <w:rsid w:val="689D4855"/>
    <w:rsid w:val="68A75245"/>
    <w:rsid w:val="68AE6DA2"/>
    <w:rsid w:val="68B7623C"/>
    <w:rsid w:val="68BE4D9A"/>
    <w:rsid w:val="68C61492"/>
    <w:rsid w:val="68EBA675"/>
    <w:rsid w:val="690957CE"/>
    <w:rsid w:val="69157C32"/>
    <w:rsid w:val="69224249"/>
    <w:rsid w:val="692F1E98"/>
    <w:rsid w:val="693E191B"/>
    <w:rsid w:val="695210A4"/>
    <w:rsid w:val="695F1CF3"/>
    <w:rsid w:val="69681BF2"/>
    <w:rsid w:val="697F39F5"/>
    <w:rsid w:val="699F67E0"/>
    <w:rsid w:val="69BC1581"/>
    <w:rsid w:val="69CD2BC3"/>
    <w:rsid w:val="6A026726"/>
    <w:rsid w:val="6A133A87"/>
    <w:rsid w:val="6A1978E3"/>
    <w:rsid w:val="6A2656ED"/>
    <w:rsid w:val="6A275408"/>
    <w:rsid w:val="6A336DDD"/>
    <w:rsid w:val="6A5741EF"/>
    <w:rsid w:val="6A7D5437"/>
    <w:rsid w:val="6A8F6033"/>
    <w:rsid w:val="6A941566"/>
    <w:rsid w:val="6AAB3C17"/>
    <w:rsid w:val="6AD351DF"/>
    <w:rsid w:val="6AEE2655"/>
    <w:rsid w:val="6B103335"/>
    <w:rsid w:val="6B13589C"/>
    <w:rsid w:val="6B1B1053"/>
    <w:rsid w:val="6B2D753A"/>
    <w:rsid w:val="6B4F98EE"/>
    <w:rsid w:val="6B934A8C"/>
    <w:rsid w:val="6BB273DD"/>
    <w:rsid w:val="6BC3019F"/>
    <w:rsid w:val="6BDA643D"/>
    <w:rsid w:val="6BFF78F4"/>
    <w:rsid w:val="6C147768"/>
    <w:rsid w:val="6C283323"/>
    <w:rsid w:val="6C593079"/>
    <w:rsid w:val="6C5C0236"/>
    <w:rsid w:val="6C5E073E"/>
    <w:rsid w:val="6C62765B"/>
    <w:rsid w:val="6C8525C9"/>
    <w:rsid w:val="6C8C56EC"/>
    <w:rsid w:val="6C91265D"/>
    <w:rsid w:val="6C9730A3"/>
    <w:rsid w:val="6C9E7630"/>
    <w:rsid w:val="6CB03ECB"/>
    <w:rsid w:val="6CF56477"/>
    <w:rsid w:val="6D0324A9"/>
    <w:rsid w:val="6D21354E"/>
    <w:rsid w:val="6D32368B"/>
    <w:rsid w:val="6D393A02"/>
    <w:rsid w:val="6D3C3797"/>
    <w:rsid w:val="6D3C3DDA"/>
    <w:rsid w:val="6D814423"/>
    <w:rsid w:val="6D981DAA"/>
    <w:rsid w:val="6D9B2125"/>
    <w:rsid w:val="6DBB7283"/>
    <w:rsid w:val="6DBF3DB3"/>
    <w:rsid w:val="6DC1522F"/>
    <w:rsid w:val="6DC367F1"/>
    <w:rsid w:val="6DCE0682"/>
    <w:rsid w:val="6DD079A1"/>
    <w:rsid w:val="6DE45083"/>
    <w:rsid w:val="6DE61A00"/>
    <w:rsid w:val="6DEC52E3"/>
    <w:rsid w:val="6E125087"/>
    <w:rsid w:val="6E2B03EE"/>
    <w:rsid w:val="6E535F76"/>
    <w:rsid w:val="6E6332C2"/>
    <w:rsid w:val="6E771241"/>
    <w:rsid w:val="6E7A00E5"/>
    <w:rsid w:val="6E916434"/>
    <w:rsid w:val="6E9678DF"/>
    <w:rsid w:val="6E991E88"/>
    <w:rsid w:val="6EA92FA6"/>
    <w:rsid w:val="6EB34FFD"/>
    <w:rsid w:val="6EBA1C6E"/>
    <w:rsid w:val="6EBB7899"/>
    <w:rsid w:val="6EC247CF"/>
    <w:rsid w:val="6ECB3B59"/>
    <w:rsid w:val="6EDE7944"/>
    <w:rsid w:val="6EDF81DF"/>
    <w:rsid w:val="6EFD4D54"/>
    <w:rsid w:val="6F052629"/>
    <w:rsid w:val="6F0F078B"/>
    <w:rsid w:val="6F103E64"/>
    <w:rsid w:val="6F301D80"/>
    <w:rsid w:val="6F395DBE"/>
    <w:rsid w:val="6F4F1897"/>
    <w:rsid w:val="6F5C3423"/>
    <w:rsid w:val="6F6365B5"/>
    <w:rsid w:val="6F6405CC"/>
    <w:rsid w:val="6F6E56A9"/>
    <w:rsid w:val="6F7E02EE"/>
    <w:rsid w:val="6F80468A"/>
    <w:rsid w:val="6F8D7759"/>
    <w:rsid w:val="6FA8129B"/>
    <w:rsid w:val="6FB43F80"/>
    <w:rsid w:val="6FC65C18"/>
    <w:rsid w:val="6FC771A9"/>
    <w:rsid w:val="700A2EA4"/>
    <w:rsid w:val="700F0699"/>
    <w:rsid w:val="701143E5"/>
    <w:rsid w:val="701C3068"/>
    <w:rsid w:val="70263280"/>
    <w:rsid w:val="70296149"/>
    <w:rsid w:val="70371E59"/>
    <w:rsid w:val="703B2038"/>
    <w:rsid w:val="704A3F52"/>
    <w:rsid w:val="70725518"/>
    <w:rsid w:val="707D0EA3"/>
    <w:rsid w:val="708169A5"/>
    <w:rsid w:val="7083460A"/>
    <w:rsid w:val="708375CB"/>
    <w:rsid w:val="708900D5"/>
    <w:rsid w:val="708964CF"/>
    <w:rsid w:val="709031AF"/>
    <w:rsid w:val="70964278"/>
    <w:rsid w:val="70970DF1"/>
    <w:rsid w:val="70987728"/>
    <w:rsid w:val="70A233F8"/>
    <w:rsid w:val="70A55756"/>
    <w:rsid w:val="70B85801"/>
    <w:rsid w:val="70C66B9E"/>
    <w:rsid w:val="70CF0E95"/>
    <w:rsid w:val="70DE1C34"/>
    <w:rsid w:val="70F57B4D"/>
    <w:rsid w:val="710D3ED8"/>
    <w:rsid w:val="711104D1"/>
    <w:rsid w:val="71131BDB"/>
    <w:rsid w:val="711517B6"/>
    <w:rsid w:val="7131433F"/>
    <w:rsid w:val="71374B1F"/>
    <w:rsid w:val="71456678"/>
    <w:rsid w:val="715C6396"/>
    <w:rsid w:val="7160626D"/>
    <w:rsid w:val="717DD559"/>
    <w:rsid w:val="718627B2"/>
    <w:rsid w:val="71881A13"/>
    <w:rsid w:val="71982D1A"/>
    <w:rsid w:val="719B26AB"/>
    <w:rsid w:val="71B95256"/>
    <w:rsid w:val="71C66478"/>
    <w:rsid w:val="71E15DA2"/>
    <w:rsid w:val="71E32E0E"/>
    <w:rsid w:val="71E8649F"/>
    <w:rsid w:val="71EE7630"/>
    <w:rsid w:val="71EF04AC"/>
    <w:rsid w:val="72176A8A"/>
    <w:rsid w:val="722253BF"/>
    <w:rsid w:val="7228359B"/>
    <w:rsid w:val="722B63A9"/>
    <w:rsid w:val="722F5586"/>
    <w:rsid w:val="72583823"/>
    <w:rsid w:val="72641F16"/>
    <w:rsid w:val="726707D6"/>
    <w:rsid w:val="726A024D"/>
    <w:rsid w:val="726A1C2B"/>
    <w:rsid w:val="72771882"/>
    <w:rsid w:val="728D094F"/>
    <w:rsid w:val="7299177D"/>
    <w:rsid w:val="72A21D33"/>
    <w:rsid w:val="72BE0CF1"/>
    <w:rsid w:val="72CD62BE"/>
    <w:rsid w:val="72CF1270"/>
    <w:rsid w:val="72CF187A"/>
    <w:rsid w:val="72DA40B4"/>
    <w:rsid w:val="72DE3D67"/>
    <w:rsid w:val="72EF2AAE"/>
    <w:rsid w:val="72F0545A"/>
    <w:rsid w:val="72FB186C"/>
    <w:rsid w:val="73035F99"/>
    <w:rsid w:val="730F68B5"/>
    <w:rsid w:val="731F3094"/>
    <w:rsid w:val="7341740A"/>
    <w:rsid w:val="7345347A"/>
    <w:rsid w:val="734B53CF"/>
    <w:rsid w:val="73604448"/>
    <w:rsid w:val="737E1F6C"/>
    <w:rsid w:val="739473AD"/>
    <w:rsid w:val="73EB002E"/>
    <w:rsid w:val="73FC43F9"/>
    <w:rsid w:val="744F5B4E"/>
    <w:rsid w:val="7461285B"/>
    <w:rsid w:val="74634844"/>
    <w:rsid w:val="74831A59"/>
    <w:rsid w:val="74892CE1"/>
    <w:rsid w:val="74C644FB"/>
    <w:rsid w:val="74E34A0B"/>
    <w:rsid w:val="74E50B2D"/>
    <w:rsid w:val="74E56506"/>
    <w:rsid w:val="74E60481"/>
    <w:rsid w:val="74F86579"/>
    <w:rsid w:val="75041831"/>
    <w:rsid w:val="750B6D52"/>
    <w:rsid w:val="7529240C"/>
    <w:rsid w:val="75435E03"/>
    <w:rsid w:val="754805E1"/>
    <w:rsid w:val="755A19BF"/>
    <w:rsid w:val="756767CE"/>
    <w:rsid w:val="7593416B"/>
    <w:rsid w:val="75BF0691"/>
    <w:rsid w:val="75D0152E"/>
    <w:rsid w:val="75D24F76"/>
    <w:rsid w:val="75D271B4"/>
    <w:rsid w:val="75DA74A8"/>
    <w:rsid w:val="75DC1169"/>
    <w:rsid w:val="75DD4043"/>
    <w:rsid w:val="75E30267"/>
    <w:rsid w:val="75E85BBF"/>
    <w:rsid w:val="75F16F54"/>
    <w:rsid w:val="75FB2FEB"/>
    <w:rsid w:val="760C26C4"/>
    <w:rsid w:val="762D68CD"/>
    <w:rsid w:val="764B3915"/>
    <w:rsid w:val="764B5E65"/>
    <w:rsid w:val="765A0489"/>
    <w:rsid w:val="767E338E"/>
    <w:rsid w:val="768D5151"/>
    <w:rsid w:val="76A70971"/>
    <w:rsid w:val="76AA78EF"/>
    <w:rsid w:val="76AD4B67"/>
    <w:rsid w:val="76C851CB"/>
    <w:rsid w:val="76CC12F2"/>
    <w:rsid w:val="76CD2884"/>
    <w:rsid w:val="76CD7B51"/>
    <w:rsid w:val="76E14A9D"/>
    <w:rsid w:val="76F0486F"/>
    <w:rsid w:val="770C0231"/>
    <w:rsid w:val="77110A98"/>
    <w:rsid w:val="774002E8"/>
    <w:rsid w:val="774A3D73"/>
    <w:rsid w:val="776D52BC"/>
    <w:rsid w:val="777210A1"/>
    <w:rsid w:val="77812384"/>
    <w:rsid w:val="77997FAE"/>
    <w:rsid w:val="77B3984B"/>
    <w:rsid w:val="77B53533"/>
    <w:rsid w:val="77C501D3"/>
    <w:rsid w:val="77D0347D"/>
    <w:rsid w:val="77D5266A"/>
    <w:rsid w:val="77EE474B"/>
    <w:rsid w:val="77FD5BC2"/>
    <w:rsid w:val="78031B76"/>
    <w:rsid w:val="781D4E67"/>
    <w:rsid w:val="78203257"/>
    <w:rsid w:val="7824290B"/>
    <w:rsid w:val="78257986"/>
    <w:rsid w:val="78267588"/>
    <w:rsid w:val="782C2358"/>
    <w:rsid w:val="782C366B"/>
    <w:rsid w:val="783C3342"/>
    <w:rsid w:val="784421C5"/>
    <w:rsid w:val="784A68F0"/>
    <w:rsid w:val="784C0BA1"/>
    <w:rsid w:val="78520B3C"/>
    <w:rsid w:val="78735371"/>
    <w:rsid w:val="78745397"/>
    <w:rsid w:val="7889663B"/>
    <w:rsid w:val="788F3E02"/>
    <w:rsid w:val="7891058B"/>
    <w:rsid w:val="7896737C"/>
    <w:rsid w:val="789D2761"/>
    <w:rsid w:val="78AB6A45"/>
    <w:rsid w:val="78AC0DD1"/>
    <w:rsid w:val="78AC12FD"/>
    <w:rsid w:val="78BD168A"/>
    <w:rsid w:val="78BF0522"/>
    <w:rsid w:val="78C1191B"/>
    <w:rsid w:val="78D34FF0"/>
    <w:rsid w:val="78F140C6"/>
    <w:rsid w:val="79047BAF"/>
    <w:rsid w:val="791D4788"/>
    <w:rsid w:val="792E031F"/>
    <w:rsid w:val="7931468D"/>
    <w:rsid w:val="7982266B"/>
    <w:rsid w:val="79837372"/>
    <w:rsid w:val="798529CF"/>
    <w:rsid w:val="79A409BC"/>
    <w:rsid w:val="79A72EC3"/>
    <w:rsid w:val="79AD6B15"/>
    <w:rsid w:val="79AF0EA1"/>
    <w:rsid w:val="79BB1485"/>
    <w:rsid w:val="79C83ABA"/>
    <w:rsid w:val="79EC45E4"/>
    <w:rsid w:val="7A1C4566"/>
    <w:rsid w:val="7A3D3AE6"/>
    <w:rsid w:val="7A432B05"/>
    <w:rsid w:val="7A4E5416"/>
    <w:rsid w:val="7A59383E"/>
    <w:rsid w:val="7A7A22D9"/>
    <w:rsid w:val="7A8B73C8"/>
    <w:rsid w:val="7AAB1446"/>
    <w:rsid w:val="7AB00D41"/>
    <w:rsid w:val="7AB025B1"/>
    <w:rsid w:val="7AB15E5B"/>
    <w:rsid w:val="7ABB607F"/>
    <w:rsid w:val="7AC0177D"/>
    <w:rsid w:val="7AC41100"/>
    <w:rsid w:val="7AC742C0"/>
    <w:rsid w:val="7AD54D9B"/>
    <w:rsid w:val="7ADD540F"/>
    <w:rsid w:val="7AE023E7"/>
    <w:rsid w:val="7AE05F13"/>
    <w:rsid w:val="7AEB0948"/>
    <w:rsid w:val="7B082BF2"/>
    <w:rsid w:val="7B0A0D1D"/>
    <w:rsid w:val="7B17215D"/>
    <w:rsid w:val="7B1C7766"/>
    <w:rsid w:val="7B406D51"/>
    <w:rsid w:val="7B4247BE"/>
    <w:rsid w:val="7B5E270C"/>
    <w:rsid w:val="7B68606B"/>
    <w:rsid w:val="7B691FDB"/>
    <w:rsid w:val="7B7D00BB"/>
    <w:rsid w:val="7B8E1B14"/>
    <w:rsid w:val="7BA943AA"/>
    <w:rsid w:val="7BAC200F"/>
    <w:rsid w:val="7BAF1ED2"/>
    <w:rsid w:val="7BB07624"/>
    <w:rsid w:val="7BB4043B"/>
    <w:rsid w:val="7BBE598F"/>
    <w:rsid w:val="7BC02CAC"/>
    <w:rsid w:val="7BE35B48"/>
    <w:rsid w:val="7BEA3EFD"/>
    <w:rsid w:val="7BF27659"/>
    <w:rsid w:val="7C09020B"/>
    <w:rsid w:val="7C1068C7"/>
    <w:rsid w:val="7C1B715E"/>
    <w:rsid w:val="7C3035D9"/>
    <w:rsid w:val="7C3B6E2A"/>
    <w:rsid w:val="7C503815"/>
    <w:rsid w:val="7C5947BE"/>
    <w:rsid w:val="7C7B47D3"/>
    <w:rsid w:val="7C7B5572"/>
    <w:rsid w:val="7C8C3AD0"/>
    <w:rsid w:val="7CAA6D71"/>
    <w:rsid w:val="7CC20A97"/>
    <w:rsid w:val="7CD5375A"/>
    <w:rsid w:val="7CE224A0"/>
    <w:rsid w:val="7CF6735A"/>
    <w:rsid w:val="7D0C3B89"/>
    <w:rsid w:val="7D2522BB"/>
    <w:rsid w:val="7D2D661D"/>
    <w:rsid w:val="7D3013A9"/>
    <w:rsid w:val="7D352B6E"/>
    <w:rsid w:val="7D473D3A"/>
    <w:rsid w:val="7D572DEF"/>
    <w:rsid w:val="7D623C10"/>
    <w:rsid w:val="7D6264DA"/>
    <w:rsid w:val="7D861C5F"/>
    <w:rsid w:val="7DA40693"/>
    <w:rsid w:val="7DAB754D"/>
    <w:rsid w:val="7DBA63B2"/>
    <w:rsid w:val="7DBB4B94"/>
    <w:rsid w:val="7DC078F2"/>
    <w:rsid w:val="7DD7663C"/>
    <w:rsid w:val="7DE11855"/>
    <w:rsid w:val="7DE24131"/>
    <w:rsid w:val="7DF7DEE4"/>
    <w:rsid w:val="7DFA43BD"/>
    <w:rsid w:val="7E1FCD44"/>
    <w:rsid w:val="7E22038B"/>
    <w:rsid w:val="7E27166B"/>
    <w:rsid w:val="7E2F32BC"/>
    <w:rsid w:val="7E3157F2"/>
    <w:rsid w:val="7E3361BC"/>
    <w:rsid w:val="7E464279"/>
    <w:rsid w:val="7E561A7E"/>
    <w:rsid w:val="7E5E5081"/>
    <w:rsid w:val="7E605FBB"/>
    <w:rsid w:val="7E68313E"/>
    <w:rsid w:val="7E694877"/>
    <w:rsid w:val="7E734458"/>
    <w:rsid w:val="7E7A63D5"/>
    <w:rsid w:val="7EA3256F"/>
    <w:rsid w:val="7EA972BD"/>
    <w:rsid w:val="7EC628EC"/>
    <w:rsid w:val="7EC82BEF"/>
    <w:rsid w:val="7ED16168"/>
    <w:rsid w:val="7ED30312"/>
    <w:rsid w:val="7ED86E26"/>
    <w:rsid w:val="7EDA239B"/>
    <w:rsid w:val="7EEA29C5"/>
    <w:rsid w:val="7EFF8C0A"/>
    <w:rsid w:val="7F0B754E"/>
    <w:rsid w:val="7F235A83"/>
    <w:rsid w:val="7F392E88"/>
    <w:rsid w:val="7F3975B8"/>
    <w:rsid w:val="7F3F4874"/>
    <w:rsid w:val="7F4B5FC3"/>
    <w:rsid w:val="7F4F6393"/>
    <w:rsid w:val="7F5D0052"/>
    <w:rsid w:val="7F6D30BF"/>
    <w:rsid w:val="7F736A10"/>
    <w:rsid w:val="7F8F2FAD"/>
    <w:rsid w:val="7F9F0427"/>
    <w:rsid w:val="7FA30646"/>
    <w:rsid w:val="7FA66236"/>
    <w:rsid w:val="7FAFCDB5"/>
    <w:rsid w:val="7FB3BF48"/>
    <w:rsid w:val="7FEC731A"/>
    <w:rsid w:val="7FFD6901"/>
    <w:rsid w:val="9DCF0645"/>
    <w:rsid w:val="9FBF2D6E"/>
    <w:rsid w:val="A39A83BF"/>
    <w:rsid w:val="AECDE3AA"/>
    <w:rsid w:val="B7FF5D07"/>
    <w:rsid w:val="BCFDD2D5"/>
    <w:rsid w:val="BF7D3C9E"/>
    <w:rsid w:val="D7EFB365"/>
    <w:rsid w:val="DFEFB0E8"/>
    <w:rsid w:val="E7B2B6F6"/>
    <w:rsid w:val="EB5FAF19"/>
    <w:rsid w:val="EBCBDD60"/>
    <w:rsid w:val="EDFF7E7B"/>
    <w:rsid w:val="EF053594"/>
    <w:rsid w:val="EFBD8A2C"/>
    <w:rsid w:val="EFEF46C3"/>
    <w:rsid w:val="EFFF1C35"/>
    <w:rsid w:val="F3F6E9D2"/>
    <w:rsid w:val="F51F0BD1"/>
    <w:rsid w:val="F67F2C43"/>
    <w:rsid w:val="F6E7D0BA"/>
    <w:rsid w:val="FBCE4473"/>
    <w:rsid w:val="FC3F0665"/>
    <w:rsid w:val="FFF579FC"/>
    <w:rsid w:val="FFFDB52A"/>
    <w:rsid w:val="FFFDC2B7"/>
    <w:rsid w:val="FFFF2F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semiHidden="0" w:name="heading 5"/>
    <w:lsdException w:qFormat="1"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0" w:name="index 1"/>
    <w:lsdException w:qFormat="1" w:uiPriority="0" w:name="index 2"/>
    <w:lsdException w:qFormat="1" w:uiPriority="0" w:name="index 3"/>
    <w:lsdException w:qFormat="1" w:uiPriority="0" w:name="index 4"/>
    <w:lsdException w:qFormat="1" w:uiPriority="0" w:name="index 5"/>
    <w:lsdException w:qFormat="1" w:uiPriority="0" w:name="index 6"/>
    <w:lsdException w:qFormat="1" w:uiPriority="0" w:name="index 7"/>
    <w:lsdException w:qFormat="1" w:uiPriority="0" w:name="index 8"/>
    <w:lsdException w:qFormat="1" w:uiPriority="0"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iPriority="99" w:semiHidden="0" w:name="Normal Indent"/>
    <w:lsdException w:qFormat="1" w:uiPriority="0" w:name="footnote text"/>
    <w:lsdException w:qFormat="1" w:uiPriority="99" w:semiHidden="0" w:name="annotation text"/>
    <w:lsdException w:qFormat="1" w:uiPriority="99" w:semiHidden="0" w:name="header"/>
    <w:lsdException w:qFormat="1" w:uiPriority="99" w:semiHidden="0" w:name="footer"/>
    <w:lsdException w:qFormat="1" w:uiPriority="0" w:name="index heading"/>
    <w:lsdException w:qFormat="1" w:uiPriority="9" w:name="caption"/>
    <w:lsdException w:qFormat="1" w:uiPriority="0" w:name="table of figures"/>
    <w:lsdException w:qFormat="1" w:uiPriority="0" w:name="envelope address"/>
    <w:lsdException w:qFormat="1" w:uiPriority="0" w:name="envelope return"/>
    <w:lsdException w:qFormat="1" w:uiPriority="0" w:name="footnote reference"/>
    <w:lsdException w:qFormat="1" w:uiPriority="99" w:semiHidden="0" w:name="annotation reference"/>
    <w:lsdException w:uiPriority="0" w:name="line number"/>
    <w:lsdException w:qFormat="1" w:uiPriority="0" w:name="page number"/>
    <w:lsdException w:qFormat="1" w:uiPriority="0" w:name="endnote reference"/>
    <w:lsdException w:qFormat="1" w:uiPriority="0" w:name="endnote text"/>
    <w:lsdException w:qFormat="1" w:uiPriority="0" w:name="table of authorities"/>
    <w:lsdException w:qFormat="1" w:uiPriority="0" w:name="macro"/>
    <w:lsdException w:qFormat="1" w:uiPriority="0" w:name="toa heading"/>
    <w:lsdException w:qFormat="1" w:uiPriority="0" w:name="List"/>
    <w:lsdException w:qFormat="1" w:uiPriority="0" w:name="List Bullet"/>
    <w:lsdException w:qFormat="1" w:unhideWhenUsed="0" w:uiPriority="0" w:semiHidden="0" w:name="List Number"/>
    <w:lsdException w:qFormat="1" w:uiPriority="0" w:name="List 2"/>
    <w:lsdException w:qFormat="1" w:uiPriority="0" w:name="List 3"/>
    <w:lsdException w:qFormat="1" w:unhideWhenUsed="0" w:uiPriority="0" w:semiHidden="0" w:name="List 4"/>
    <w:lsdException w:qFormat="1" w:unhideWhenUsed="0" w:uiPriority="0" w:semiHidden="0" w:name="List 5"/>
    <w:lsdException w:qFormat="1" w:uiPriority="0" w:name="List Bullet 2"/>
    <w:lsdException w:qFormat="1" w:uiPriority="0" w:name="List Bullet 3"/>
    <w:lsdException w:qFormat="1" w:uiPriority="0" w:name="List Bullet 4"/>
    <w:lsdException w:qFormat="1" w:uiPriority="0" w:name="List Bullet 5"/>
    <w:lsdException w:qFormat="1" w:uiPriority="99" w:name="List Number 2"/>
    <w:lsdException w:qFormat="1" w:uiPriority="0" w:name="List Number 3"/>
    <w:lsdException w:qFormat="1" w:uiPriority="0" w:name="List Number 4"/>
    <w:lsdException w:qFormat="1" w:uiPriority="0" w:name="List Number 5"/>
    <w:lsdException w:qFormat="1" w:unhideWhenUsed="0" w:uiPriority="10" w:semiHidden="0" w:name="Title"/>
    <w:lsdException w:qFormat="1" w:uiPriority="0" w:name="Closing"/>
    <w:lsdException w:qFormat="1" w:uiPriority="0" w:name="Signature"/>
    <w:lsdException w:qFormat="1" w:uiPriority="1" w:semiHidden="0" w:name="Default Paragraph Font"/>
    <w:lsdException w:qFormat="1" w:uiPriority="99" w:semiHidden="0" w:name="Body Text"/>
    <w:lsdException w:qFormat="1"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iPriority="0" w:name="Message Header"/>
    <w:lsdException w:qFormat="1" w:unhideWhenUsed="0" w:uiPriority="39"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qFormat="1" w:uiPriority="0" w:name="Note Heading"/>
    <w:lsdException w:qFormat="1" w:uiPriority="99" w:name="Body Text 2"/>
    <w:lsdException w:qFormat="1" w:uiPriority="0" w:name="Body Text 3"/>
    <w:lsdException w:qFormat="1" w:uiPriority="0" w:name="Body Text Indent 2"/>
    <w:lsdException w:qFormat="1" w:uiPriority="0" w:name="Body Text Indent 3"/>
    <w:lsdException w:qFormat="1" w:uiPriority="0"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iPriority="99" w:name="Plain Text"/>
    <w:lsdException w:qFormat="1" w:uiPriority="0" w:name="E-mail Signature"/>
    <w:lsdException w:qFormat="1" w:uiPriority="99" w:name="Normal (Web)"/>
    <w:lsdException w:uiPriority="0" w:name="HTML Acronym"/>
    <w:lsdException w:qFormat="1" w:uiPriority="0" w:name="HTML Address"/>
    <w:lsdException w:qFormat="1" w:uiPriority="0" w:name="HTML Cite"/>
    <w:lsdException w:qFormat="1" w:uiPriority="0" w:name="HTML Code"/>
    <w:lsdException w:uiPriority="0" w:name="HTML Definition"/>
    <w:lsdException w:uiPriority="0" w:name="HTML Keyboard"/>
    <w:lsdException w:qFormat="1" w:uiPriority="99" w:name="HTML Preformatted"/>
    <w:lsdException w:uiPriority="0" w:name="HTML Sample"/>
    <w:lsdException w:uiPriority="0" w:name="HTML Typewriter"/>
    <w:lsdException w:uiPriority="0" w:name="HTML Variable"/>
    <w:lsdException w:qFormat="1" w:uiPriority="99" w:semiHidden="0"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qFormat="1" w:uiPriority="99" w:name="Table Contemporary"/>
    <w:lsdException w:qFormat="1" w:uiPriority="0" w:name="Table Elegant"/>
    <w:lsdException w:qFormat="1"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eastAsia="宋体" w:hAnsiTheme="minorHAnsi" w:cstheme="minorBidi"/>
      <w:kern w:val="2"/>
      <w:sz w:val="24"/>
      <w:szCs w:val="22"/>
      <w:lang w:val="en-US" w:eastAsia="zh-CN" w:bidi="ar-SA"/>
    </w:rPr>
  </w:style>
  <w:style w:type="paragraph" w:styleId="4">
    <w:name w:val="heading 1"/>
    <w:basedOn w:val="1"/>
    <w:next w:val="1"/>
    <w:link w:val="30"/>
    <w:qFormat/>
    <w:uiPriority w:val="0"/>
    <w:pPr>
      <w:keepNext/>
      <w:keepLines/>
      <w:numPr>
        <w:ilvl w:val="0"/>
        <w:numId w:val="1"/>
      </w:numPr>
      <w:outlineLvl w:val="0"/>
    </w:pPr>
    <w:rPr>
      <w:b/>
      <w:bCs/>
      <w:kern w:val="24"/>
      <w:sz w:val="32"/>
    </w:rPr>
  </w:style>
  <w:style w:type="paragraph" w:styleId="5">
    <w:name w:val="heading 2"/>
    <w:basedOn w:val="1"/>
    <w:next w:val="1"/>
    <w:link w:val="31"/>
    <w:qFormat/>
    <w:uiPriority w:val="0"/>
    <w:pPr>
      <w:keepNext/>
      <w:keepLines/>
      <w:numPr>
        <w:ilvl w:val="1"/>
        <w:numId w:val="1"/>
      </w:numPr>
      <w:pBdr>
        <w:top w:val="none" w:color="auto" w:sz="0" w:space="1"/>
        <w:left w:val="none" w:color="auto" w:sz="0" w:space="4"/>
        <w:bottom w:val="none" w:color="auto" w:sz="0" w:space="1"/>
        <w:right w:val="none" w:color="auto" w:sz="0" w:space="4"/>
      </w:pBdr>
      <w:outlineLvl w:val="1"/>
    </w:pPr>
    <w:rPr>
      <w:rFonts w:cs="宋体" w:hAnsiTheme="minorEastAsia"/>
      <w:b/>
      <w:bCs/>
      <w:sz w:val="30"/>
      <w:szCs w:val="28"/>
    </w:rPr>
  </w:style>
  <w:style w:type="paragraph" w:styleId="6">
    <w:name w:val="heading 3"/>
    <w:basedOn w:val="1"/>
    <w:next w:val="1"/>
    <w:link w:val="32"/>
    <w:qFormat/>
    <w:uiPriority w:val="9"/>
    <w:pPr>
      <w:keepNext/>
      <w:keepLines/>
      <w:numPr>
        <w:ilvl w:val="2"/>
        <w:numId w:val="1"/>
      </w:numPr>
      <w:tabs>
        <w:tab w:val="left" w:pos="709"/>
      </w:tabs>
      <w:outlineLvl w:val="2"/>
    </w:pPr>
    <w:rPr>
      <w:rFonts w:hAnsi="宋体" w:cs="宋体"/>
      <w:b/>
      <w:bCs/>
      <w:sz w:val="28"/>
      <w:szCs w:val="32"/>
    </w:rPr>
  </w:style>
  <w:style w:type="paragraph" w:styleId="7">
    <w:name w:val="heading 4"/>
    <w:basedOn w:val="1"/>
    <w:next w:val="1"/>
    <w:link w:val="33"/>
    <w:qFormat/>
    <w:uiPriority w:val="0"/>
    <w:pPr>
      <w:keepNext/>
      <w:keepLines/>
      <w:numPr>
        <w:ilvl w:val="3"/>
        <w:numId w:val="1"/>
      </w:numPr>
      <w:tabs>
        <w:tab w:val="left" w:pos="0"/>
      </w:tabs>
      <w:outlineLvl w:val="3"/>
    </w:pPr>
    <w:rPr>
      <w:rFonts w:cs="宋体" w:hAnsiTheme="minorEastAsia"/>
      <w:b/>
      <w:bCs/>
    </w:rPr>
  </w:style>
  <w:style w:type="paragraph" w:styleId="8">
    <w:name w:val="heading 5"/>
    <w:basedOn w:val="1"/>
    <w:next w:val="1"/>
    <w:link w:val="34"/>
    <w:unhideWhenUsed/>
    <w:qFormat/>
    <w:uiPriority w:val="0"/>
    <w:pPr>
      <w:keepNext/>
      <w:keepLines/>
      <w:numPr>
        <w:ilvl w:val="4"/>
        <w:numId w:val="1"/>
      </w:numPr>
      <w:tabs>
        <w:tab w:val="left" w:pos="0"/>
      </w:tabs>
      <w:spacing w:before="50" w:beforeLines="50" w:after="50" w:afterLines="50"/>
      <w:ind w:left="0"/>
      <w:outlineLvl w:val="4"/>
    </w:pPr>
    <w:rPr>
      <w:rFonts w:cs="宋体" w:hAnsiTheme="minorEastAsia"/>
      <w:b/>
      <w:bCs/>
    </w:rPr>
  </w:style>
  <w:style w:type="paragraph" w:styleId="9">
    <w:name w:val="heading 6"/>
    <w:basedOn w:val="1"/>
    <w:next w:val="1"/>
    <w:link w:val="35"/>
    <w:unhideWhenUsed/>
    <w:qFormat/>
    <w:uiPriority w:val="0"/>
    <w:pPr>
      <w:numPr>
        <w:ilvl w:val="5"/>
        <w:numId w:val="1"/>
      </w:numPr>
      <w:spacing w:before="163" w:beforeLines="50" w:after="163" w:afterLines="50"/>
      <w:outlineLvl w:val="5"/>
    </w:pPr>
    <w:rPr>
      <w:rFonts w:hAnsiTheme="minorEastAsia"/>
      <w:b/>
      <w:bCs/>
    </w:rPr>
  </w:style>
  <w:style w:type="paragraph" w:styleId="10">
    <w:name w:val="heading 7"/>
    <w:basedOn w:val="1"/>
    <w:next w:val="1"/>
    <w:link w:val="36"/>
    <w:qFormat/>
    <w:uiPriority w:val="9"/>
    <w:pPr>
      <w:keepNext/>
      <w:keepLines/>
      <w:numPr>
        <w:ilvl w:val="6"/>
        <w:numId w:val="1"/>
      </w:numPr>
      <w:tabs>
        <w:tab w:val="left" w:pos="432"/>
        <w:tab w:val="left" w:pos="1296"/>
      </w:tabs>
      <w:spacing w:before="156" w:beforeLines="50" w:after="156" w:afterLines="50"/>
      <w:outlineLvl w:val="6"/>
    </w:pPr>
    <w:rPr>
      <w:rFonts w:hAnsiTheme="minorEastAsia"/>
      <w:b/>
      <w:bCs/>
    </w:rPr>
  </w:style>
  <w:style w:type="paragraph" w:styleId="11">
    <w:name w:val="heading 8"/>
    <w:basedOn w:val="1"/>
    <w:next w:val="1"/>
    <w:link w:val="37"/>
    <w:qFormat/>
    <w:uiPriority w:val="9"/>
    <w:pPr>
      <w:numPr>
        <w:ilvl w:val="7"/>
        <w:numId w:val="1"/>
      </w:numPr>
      <w:spacing w:before="156" w:beforeLines="50" w:after="156" w:afterLines="50"/>
      <w:outlineLvl w:val="7"/>
    </w:pPr>
    <w:rPr>
      <w:rFonts w:hAnsiTheme="minorEastAsia"/>
    </w:rPr>
  </w:style>
  <w:style w:type="paragraph" w:styleId="12">
    <w:name w:val="heading 9"/>
    <w:basedOn w:val="1"/>
    <w:next w:val="1"/>
    <w:link w:val="38"/>
    <w:qFormat/>
    <w:uiPriority w:val="9"/>
    <w:pPr>
      <w:numPr>
        <w:ilvl w:val="8"/>
        <w:numId w:val="1"/>
      </w:numPr>
      <w:spacing w:before="156" w:beforeLines="50" w:after="156" w:afterLines="50"/>
      <w:outlineLvl w:val="8"/>
    </w:pPr>
    <w:rPr>
      <w:rFonts w:hAnsiTheme="minorEastAsia"/>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41"/>
    <w:unhideWhenUsed/>
    <w:qFormat/>
    <w:uiPriority w:val="99"/>
    <w:pPr>
      <w:spacing w:after="120"/>
    </w:pPr>
  </w:style>
  <w:style w:type="paragraph" w:styleId="3">
    <w:name w:val="Title"/>
    <w:basedOn w:val="1"/>
    <w:next w:val="1"/>
    <w:qFormat/>
    <w:uiPriority w:val="10"/>
    <w:pPr>
      <w:pBdr>
        <w:bottom w:val="single" w:color="4F81BD" w:sz="8" w:space="4"/>
      </w:pBdr>
      <w:spacing w:after="300"/>
      <w:contextualSpacing/>
    </w:pPr>
    <w:rPr>
      <w:rFonts w:ascii="Cambria" w:hAnsi="Cambria"/>
      <w:color w:val="17365D"/>
      <w:spacing w:val="5"/>
      <w:kern w:val="28"/>
      <w:sz w:val="52"/>
      <w:szCs w:val="52"/>
    </w:rPr>
  </w:style>
  <w:style w:type="paragraph" w:styleId="13">
    <w:name w:val="Normal Indent"/>
    <w:basedOn w:val="1"/>
    <w:next w:val="1"/>
    <w:unhideWhenUsed/>
    <w:qFormat/>
    <w:uiPriority w:val="99"/>
    <w:pPr>
      <w:spacing w:before="100" w:beforeAutospacing="1" w:afterLines="50"/>
      <w:ind w:firstLine="200" w:firstLineChars="200"/>
    </w:pPr>
    <w:rPr>
      <w:i/>
    </w:rPr>
  </w:style>
  <w:style w:type="paragraph" w:styleId="14">
    <w:name w:val="annotation text"/>
    <w:basedOn w:val="1"/>
    <w:link w:val="54"/>
    <w:unhideWhenUsed/>
    <w:qFormat/>
    <w:uiPriority w:val="99"/>
    <w:pPr>
      <w:jc w:val="left"/>
    </w:pPr>
  </w:style>
  <w:style w:type="paragraph" w:styleId="15">
    <w:name w:val="toc 3"/>
    <w:basedOn w:val="1"/>
    <w:next w:val="1"/>
    <w:unhideWhenUsed/>
    <w:qFormat/>
    <w:uiPriority w:val="39"/>
    <w:pPr>
      <w:ind w:left="840" w:leftChars="400"/>
    </w:pPr>
  </w:style>
  <w:style w:type="paragraph" w:styleId="16">
    <w:name w:val="Balloon Text"/>
    <w:basedOn w:val="1"/>
    <w:link w:val="56"/>
    <w:unhideWhenUsed/>
    <w:qFormat/>
    <w:uiPriority w:val="99"/>
    <w:pPr>
      <w:spacing w:line="240" w:lineRule="auto"/>
    </w:pPr>
    <w:rPr>
      <w:sz w:val="18"/>
      <w:szCs w:val="18"/>
    </w:rPr>
  </w:style>
  <w:style w:type="paragraph" w:styleId="17">
    <w:name w:val="footer"/>
    <w:basedOn w:val="1"/>
    <w:link w:val="39"/>
    <w:unhideWhenUsed/>
    <w:qFormat/>
    <w:uiPriority w:val="99"/>
    <w:pPr>
      <w:tabs>
        <w:tab w:val="center" w:pos="4153"/>
        <w:tab w:val="right" w:pos="8306"/>
      </w:tabs>
      <w:snapToGrid w:val="0"/>
      <w:jc w:val="left"/>
    </w:pPr>
    <w:rPr>
      <w:sz w:val="18"/>
      <w:szCs w:val="18"/>
    </w:rPr>
  </w:style>
  <w:style w:type="paragraph" w:styleId="18">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paragraph" w:styleId="2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2">
    <w:name w:val="annotation subject"/>
    <w:basedOn w:val="14"/>
    <w:next w:val="14"/>
    <w:link w:val="55"/>
    <w:unhideWhenUsed/>
    <w:qFormat/>
    <w:uiPriority w:val="99"/>
    <w:rPr>
      <w:b/>
      <w:bCs/>
    </w:rPr>
  </w:style>
  <w:style w:type="paragraph" w:styleId="23">
    <w:name w:val="Body Text First Indent"/>
    <w:basedOn w:val="2"/>
    <w:link w:val="42"/>
    <w:qFormat/>
    <w:uiPriority w:val="0"/>
    <w:pPr>
      <w:ind w:firstLine="200" w:firstLineChars="200"/>
    </w:pPr>
  </w:style>
  <w:style w:type="table" w:styleId="25">
    <w:name w:val="Table Grid"/>
    <w:basedOn w:val="2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Hyperlink"/>
    <w:basedOn w:val="26"/>
    <w:unhideWhenUsed/>
    <w:qFormat/>
    <w:uiPriority w:val="99"/>
    <w:rPr>
      <w:color w:val="0000FF" w:themeColor="hyperlink"/>
      <w:u w:val="single"/>
      <w14:textFill>
        <w14:solidFill>
          <w14:schemeClr w14:val="hlink"/>
        </w14:solidFill>
      </w14:textFill>
    </w:rPr>
  </w:style>
  <w:style w:type="character" w:styleId="29">
    <w:name w:val="annotation reference"/>
    <w:basedOn w:val="26"/>
    <w:unhideWhenUsed/>
    <w:qFormat/>
    <w:uiPriority w:val="99"/>
    <w:rPr>
      <w:sz w:val="21"/>
      <w:szCs w:val="21"/>
    </w:rPr>
  </w:style>
  <w:style w:type="character" w:customStyle="1" w:styleId="30">
    <w:name w:val="标题 1 字符"/>
    <w:basedOn w:val="26"/>
    <w:link w:val="4"/>
    <w:qFormat/>
    <w:uiPriority w:val="0"/>
    <w:rPr>
      <w:rFonts w:ascii="宋体" w:hAnsiTheme="minorHAnsi" w:cstheme="minorBidi"/>
      <w:b/>
      <w:bCs/>
      <w:kern w:val="24"/>
      <w:sz w:val="32"/>
      <w:szCs w:val="22"/>
    </w:rPr>
  </w:style>
  <w:style w:type="character" w:customStyle="1" w:styleId="31">
    <w:name w:val="标题 2 字符"/>
    <w:link w:val="5"/>
    <w:qFormat/>
    <w:uiPriority w:val="0"/>
    <w:rPr>
      <w:rFonts w:ascii="宋体" w:cs="宋体" w:hAnsiTheme="minorEastAsia"/>
      <w:b/>
      <w:bCs/>
      <w:kern w:val="2"/>
      <w:sz w:val="30"/>
      <w:szCs w:val="28"/>
    </w:rPr>
  </w:style>
  <w:style w:type="character" w:customStyle="1" w:styleId="32">
    <w:name w:val="标题 3 字符"/>
    <w:basedOn w:val="26"/>
    <w:link w:val="6"/>
    <w:qFormat/>
    <w:uiPriority w:val="9"/>
    <w:rPr>
      <w:rFonts w:ascii="宋体" w:hAnsi="宋体" w:cs="宋体"/>
      <w:b/>
      <w:bCs/>
      <w:kern w:val="2"/>
      <w:sz w:val="28"/>
      <w:szCs w:val="32"/>
    </w:rPr>
  </w:style>
  <w:style w:type="character" w:customStyle="1" w:styleId="33">
    <w:name w:val="标题 4 字符"/>
    <w:link w:val="7"/>
    <w:qFormat/>
    <w:uiPriority w:val="0"/>
    <w:rPr>
      <w:rFonts w:ascii="宋体" w:cs="宋体" w:hAnsiTheme="minorEastAsia"/>
      <w:b/>
      <w:bCs/>
      <w:kern w:val="2"/>
      <w:sz w:val="24"/>
      <w:szCs w:val="22"/>
    </w:rPr>
  </w:style>
  <w:style w:type="character" w:customStyle="1" w:styleId="34">
    <w:name w:val="标题 5 字符"/>
    <w:link w:val="8"/>
    <w:qFormat/>
    <w:uiPriority w:val="0"/>
    <w:rPr>
      <w:rFonts w:ascii="宋体" w:cs="宋体" w:hAnsiTheme="minorEastAsia"/>
      <w:b/>
      <w:bCs/>
      <w:kern w:val="2"/>
      <w:sz w:val="24"/>
      <w:szCs w:val="22"/>
    </w:rPr>
  </w:style>
  <w:style w:type="character" w:customStyle="1" w:styleId="35">
    <w:name w:val="标题 6 字符"/>
    <w:basedOn w:val="26"/>
    <w:link w:val="9"/>
    <w:qFormat/>
    <w:uiPriority w:val="0"/>
    <w:rPr>
      <w:rFonts w:ascii="宋体" w:hAnsiTheme="minorEastAsia" w:cstheme="minorBidi"/>
      <w:b/>
      <w:bCs/>
      <w:kern w:val="2"/>
      <w:sz w:val="24"/>
      <w:szCs w:val="22"/>
    </w:rPr>
  </w:style>
  <w:style w:type="character" w:customStyle="1" w:styleId="36">
    <w:name w:val="标题 7 字符"/>
    <w:basedOn w:val="26"/>
    <w:link w:val="10"/>
    <w:qFormat/>
    <w:uiPriority w:val="9"/>
    <w:rPr>
      <w:rFonts w:ascii="宋体" w:hAnsiTheme="minorEastAsia" w:cstheme="minorBidi"/>
      <w:b/>
      <w:bCs/>
      <w:kern w:val="2"/>
      <w:sz w:val="24"/>
      <w:szCs w:val="22"/>
    </w:rPr>
  </w:style>
  <w:style w:type="character" w:customStyle="1" w:styleId="37">
    <w:name w:val="标题 8 字符"/>
    <w:basedOn w:val="26"/>
    <w:link w:val="11"/>
    <w:qFormat/>
    <w:uiPriority w:val="9"/>
    <w:rPr>
      <w:rFonts w:ascii="宋体" w:hAnsiTheme="minorEastAsia" w:cstheme="minorBidi"/>
      <w:kern w:val="2"/>
      <w:sz w:val="24"/>
      <w:szCs w:val="22"/>
    </w:rPr>
  </w:style>
  <w:style w:type="character" w:customStyle="1" w:styleId="38">
    <w:name w:val="标题 9 字符"/>
    <w:basedOn w:val="26"/>
    <w:link w:val="12"/>
    <w:qFormat/>
    <w:uiPriority w:val="9"/>
    <w:rPr>
      <w:rFonts w:ascii="宋体" w:hAnsiTheme="minorEastAsia" w:cstheme="minorBidi"/>
      <w:kern w:val="2"/>
      <w:sz w:val="24"/>
      <w:szCs w:val="22"/>
    </w:rPr>
  </w:style>
  <w:style w:type="character" w:customStyle="1" w:styleId="39">
    <w:name w:val="页脚 字符"/>
    <w:basedOn w:val="26"/>
    <w:link w:val="17"/>
    <w:qFormat/>
    <w:uiPriority w:val="99"/>
    <w:rPr>
      <w:rFonts w:ascii="宋体" w:hAnsiTheme="minorHAnsi" w:cstheme="minorBidi"/>
      <w:kern w:val="2"/>
      <w:sz w:val="18"/>
      <w:szCs w:val="18"/>
    </w:rPr>
  </w:style>
  <w:style w:type="character" w:customStyle="1" w:styleId="40">
    <w:name w:val="页眉 字符"/>
    <w:basedOn w:val="26"/>
    <w:link w:val="18"/>
    <w:qFormat/>
    <w:uiPriority w:val="99"/>
    <w:rPr>
      <w:rFonts w:ascii="宋体" w:hAnsiTheme="minorHAnsi" w:cstheme="minorBidi"/>
      <w:kern w:val="2"/>
      <w:sz w:val="18"/>
      <w:szCs w:val="18"/>
    </w:rPr>
  </w:style>
  <w:style w:type="character" w:customStyle="1" w:styleId="41">
    <w:name w:val="正文文本 字符"/>
    <w:basedOn w:val="26"/>
    <w:link w:val="2"/>
    <w:semiHidden/>
    <w:qFormat/>
    <w:uiPriority w:val="99"/>
    <w:rPr>
      <w:rFonts w:ascii="宋体" w:hAnsiTheme="minorHAnsi" w:cstheme="minorBidi"/>
      <w:kern w:val="2"/>
      <w:sz w:val="24"/>
      <w:szCs w:val="22"/>
    </w:rPr>
  </w:style>
  <w:style w:type="character" w:customStyle="1" w:styleId="42">
    <w:name w:val="正文文本首行缩进 字符"/>
    <w:basedOn w:val="41"/>
    <w:link w:val="23"/>
    <w:qFormat/>
    <w:uiPriority w:val="0"/>
    <w:rPr>
      <w:rFonts w:ascii="宋体" w:hAnsiTheme="minorHAnsi" w:cstheme="minorBidi"/>
      <w:kern w:val="2"/>
      <w:sz w:val="24"/>
      <w:szCs w:val="22"/>
    </w:rPr>
  </w:style>
  <w:style w:type="paragraph" w:customStyle="1" w:styleId="43">
    <w:name w:val="修订1"/>
    <w:hidden/>
    <w:qFormat/>
    <w:uiPriority w:val="99"/>
    <w:rPr>
      <w:rFonts w:ascii="Times New Roman" w:hAnsi="Times New Roman" w:eastAsia="宋体" w:cs="Times New Roman"/>
      <w:kern w:val="2"/>
      <w:sz w:val="24"/>
      <w:szCs w:val="24"/>
      <w:lang w:val="en-US" w:eastAsia="zh-CN" w:bidi="ar-SA"/>
    </w:rPr>
  </w:style>
  <w:style w:type="paragraph" w:customStyle="1" w:styleId="44">
    <w:name w:val="修订2"/>
    <w:hidden/>
    <w:qFormat/>
    <w:uiPriority w:val="99"/>
    <w:rPr>
      <w:rFonts w:ascii="Times New Roman" w:hAnsi="Times New Roman" w:eastAsia="宋体" w:cs="Times New Roman"/>
      <w:kern w:val="2"/>
      <w:sz w:val="24"/>
      <w:szCs w:val="24"/>
      <w:lang w:val="en-US" w:eastAsia="zh-CN" w:bidi="ar-SA"/>
    </w:rPr>
  </w:style>
  <w:style w:type="paragraph" w:customStyle="1" w:styleId="45">
    <w:name w:val="修订21"/>
    <w:hidden/>
    <w:qFormat/>
    <w:uiPriority w:val="99"/>
    <w:pPr>
      <w:spacing w:line="360" w:lineRule="auto"/>
      <w:jc w:val="both"/>
    </w:pPr>
    <w:rPr>
      <w:rFonts w:ascii="Times New Roman" w:hAnsi="Times New Roman" w:eastAsia="宋体" w:cs="Times New Roman"/>
      <w:kern w:val="2"/>
      <w:sz w:val="24"/>
      <w:szCs w:val="24"/>
      <w:lang w:val="en-US" w:eastAsia="zh-CN" w:bidi="ar-SA"/>
    </w:rPr>
  </w:style>
  <w:style w:type="paragraph" w:customStyle="1" w:styleId="46">
    <w:name w:val="修订4"/>
    <w:hidden/>
    <w:semiHidden/>
    <w:qFormat/>
    <w:uiPriority w:val="99"/>
    <w:rPr>
      <w:rFonts w:ascii="宋体" w:hAnsi="宋体" w:eastAsia="宋体" w:cs="宋体"/>
      <w:sz w:val="24"/>
      <w:szCs w:val="24"/>
      <w:lang w:val="en-US" w:eastAsia="zh-CN" w:bidi="ar-SA"/>
    </w:rPr>
  </w:style>
  <w:style w:type="paragraph" w:customStyle="1" w:styleId="47">
    <w:name w:val="修订411"/>
    <w:hidden/>
    <w:semiHidden/>
    <w:qFormat/>
    <w:uiPriority w:val="99"/>
    <w:rPr>
      <w:rFonts w:ascii="宋体" w:hAnsi="宋体" w:eastAsia="宋体" w:cs="宋体"/>
      <w:sz w:val="24"/>
      <w:szCs w:val="24"/>
      <w:lang w:val="en-US" w:eastAsia="zh-CN" w:bidi="ar-SA"/>
    </w:rPr>
  </w:style>
  <w:style w:type="paragraph" w:customStyle="1" w:styleId="48">
    <w:name w:val="修订41"/>
    <w:hidden/>
    <w:semiHidden/>
    <w:qFormat/>
    <w:uiPriority w:val="99"/>
    <w:rPr>
      <w:rFonts w:ascii="宋体" w:hAnsi="宋体" w:eastAsia="宋体" w:cs="宋体"/>
      <w:sz w:val="24"/>
      <w:szCs w:val="24"/>
      <w:lang w:val="en-US" w:eastAsia="zh-CN" w:bidi="ar-SA"/>
    </w:rPr>
  </w:style>
  <w:style w:type="paragraph" w:customStyle="1" w:styleId="49">
    <w:name w:val="修订5"/>
    <w:hidden/>
    <w:semiHidden/>
    <w:qFormat/>
    <w:uiPriority w:val="99"/>
    <w:rPr>
      <w:rFonts w:ascii="宋体" w:hAnsi="宋体" w:eastAsia="宋体" w:cs="宋体"/>
      <w:sz w:val="24"/>
      <w:szCs w:val="24"/>
      <w:lang w:val="en-US" w:eastAsia="zh-CN" w:bidi="ar-SA"/>
    </w:rPr>
  </w:style>
  <w:style w:type="paragraph" w:customStyle="1" w:styleId="50">
    <w:name w:val="修订6"/>
    <w:hidden/>
    <w:semiHidden/>
    <w:qFormat/>
    <w:uiPriority w:val="99"/>
    <w:rPr>
      <w:rFonts w:ascii="宋体" w:hAnsi="宋体" w:eastAsia="宋体" w:cs="宋体"/>
      <w:sz w:val="24"/>
      <w:szCs w:val="24"/>
      <w:lang w:val="en-US" w:eastAsia="zh-CN" w:bidi="ar-SA"/>
    </w:rPr>
  </w:style>
  <w:style w:type="paragraph" w:customStyle="1" w:styleId="51">
    <w:name w:val="修订61"/>
    <w:hidden/>
    <w:semiHidden/>
    <w:qFormat/>
    <w:uiPriority w:val="99"/>
    <w:rPr>
      <w:rFonts w:ascii="宋体" w:hAnsi="宋体" w:eastAsia="宋体" w:cs="宋体"/>
      <w:sz w:val="24"/>
      <w:szCs w:val="24"/>
      <w:lang w:val="en-US" w:eastAsia="zh-CN" w:bidi="ar-SA"/>
    </w:rPr>
  </w:style>
  <w:style w:type="paragraph" w:customStyle="1" w:styleId="52">
    <w:name w:val="修订7"/>
    <w:hidden/>
    <w:semiHidden/>
    <w:qFormat/>
    <w:uiPriority w:val="99"/>
    <w:rPr>
      <w:rFonts w:ascii="宋体" w:hAnsi="宋体" w:eastAsia="宋体" w:cs="宋体"/>
      <w:sz w:val="24"/>
      <w:szCs w:val="24"/>
      <w:lang w:val="en-US" w:eastAsia="zh-CN" w:bidi="ar-SA"/>
    </w:rPr>
  </w:style>
  <w:style w:type="paragraph" w:customStyle="1" w:styleId="53">
    <w:name w:val="修订31"/>
    <w:hidden/>
    <w:unhideWhenUsed/>
    <w:qFormat/>
    <w:uiPriority w:val="99"/>
    <w:rPr>
      <w:rFonts w:ascii="Times New Roman" w:hAnsi="Times New Roman" w:eastAsia="宋体" w:cs="Times New Roman"/>
      <w:kern w:val="2"/>
      <w:sz w:val="24"/>
      <w:szCs w:val="24"/>
      <w:lang w:val="en-US" w:eastAsia="zh-CN" w:bidi="ar-SA"/>
    </w:rPr>
  </w:style>
  <w:style w:type="character" w:customStyle="1" w:styleId="54">
    <w:name w:val="批注文字 字符"/>
    <w:basedOn w:val="26"/>
    <w:link w:val="14"/>
    <w:semiHidden/>
    <w:qFormat/>
    <w:uiPriority w:val="99"/>
    <w:rPr>
      <w:rFonts w:ascii="宋体" w:hAnsiTheme="minorHAnsi" w:cstheme="minorBidi"/>
      <w:kern w:val="2"/>
      <w:sz w:val="24"/>
      <w:szCs w:val="22"/>
    </w:rPr>
  </w:style>
  <w:style w:type="character" w:customStyle="1" w:styleId="55">
    <w:name w:val="批注主题 字符"/>
    <w:basedOn w:val="54"/>
    <w:link w:val="22"/>
    <w:semiHidden/>
    <w:qFormat/>
    <w:uiPriority w:val="99"/>
    <w:rPr>
      <w:rFonts w:ascii="宋体" w:hAnsiTheme="minorHAnsi" w:cstheme="minorBidi"/>
      <w:b/>
      <w:bCs/>
      <w:kern w:val="2"/>
      <w:sz w:val="24"/>
      <w:szCs w:val="22"/>
    </w:rPr>
  </w:style>
  <w:style w:type="character" w:customStyle="1" w:styleId="56">
    <w:name w:val="批注框文本 字符"/>
    <w:basedOn w:val="26"/>
    <w:link w:val="16"/>
    <w:semiHidden/>
    <w:qFormat/>
    <w:uiPriority w:val="99"/>
    <w:rPr>
      <w:rFonts w:ascii="宋体" w:hAnsiTheme="minorHAnsi" w:cstheme="minorBidi"/>
      <w:kern w:val="2"/>
      <w:sz w:val="18"/>
      <w:szCs w:val="18"/>
    </w:rPr>
  </w:style>
  <w:style w:type="paragraph" w:customStyle="1" w:styleId="57">
    <w:name w:val="List Paragraph"/>
    <w:basedOn w:val="1"/>
    <w:unhideWhenUsed/>
    <w:qFormat/>
    <w:uiPriority w:val="99"/>
    <w:pPr>
      <w:ind w:firstLine="420" w:firstLineChars="200"/>
    </w:pPr>
  </w:style>
  <w:style w:type="paragraph" w:customStyle="1" w:styleId="58">
    <w:name w:val="Revision"/>
    <w:hidden/>
    <w:unhideWhenUsed/>
    <w:qFormat/>
    <w:uiPriority w:val="99"/>
    <w:rPr>
      <w:rFonts w:ascii="宋体" w:eastAsia="宋体" w:hAnsiTheme="minorHAnsi"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532</Words>
  <Characters>655</Characters>
  <Lines>42</Lines>
  <Paragraphs>12</Paragraphs>
  <TotalTime>3</TotalTime>
  <ScaleCrop>false</ScaleCrop>
  <LinksUpToDate>false</LinksUpToDate>
  <CharactersWithSpaces>714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2024-04-11T17:29:00Z</dcterms:created>
  <cp:lastPrinted>2026-05-21T08:59:00Z</cp:lastPrinted>
  <dcterms:modified xsi:type="dcterms:W3CDTF">2026-08-05T13:05:56Z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D3D832F6CA115F88462D736AC7F6614A_43</vt:lpwstr>
  </property>
  <property fmtid="{D5CDD505-2E9C-101B-9397-08002B2CF9AE}" pid="4" name="KSOTemplateDocerSaveRecord">
    <vt:lpwstr>eyJoZGlkIjoiNjljYzMyMmY1NDJjNzY4OTYyMGRiNzY4ZDRlOTIyMjIiLCJ1c2VySWQiOiIyMDczMTI5NzQifQ==</vt:lpwstr>
  </property>
  <property fmtid="{D5CDD505-2E9C-101B-9397-08002B2CF9AE}" pid="5" name="WondersoftTag">
    <vt:lpwstr>258804A6-C554-4310-BF78-FF6B953CC695#2#B422F00B-ED564B59-B9DC4A2E-9A4E6E1F##0</vt:lpwstr>
  </property>
</Properties>
</file>