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4"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电缆振荡波局放测试系统</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rPr>
          <w:rFonts w:hint="eastAsia"/>
          <w:b/>
          <w:sz w:val="44"/>
          <w:szCs w:val="44"/>
          <w:highlight w:val="none"/>
        </w:rPr>
      </w:pPr>
      <w:r>
        <w:rPr>
          <w:rFonts w:hint="eastAsia"/>
          <w:b/>
          <w:sz w:val="44"/>
          <w:szCs w:val="44"/>
          <w:highlight w:val="none"/>
        </w:rPr>
        <w:br w:type="page"/>
      </w:r>
    </w:p>
    <w:p>
      <w:pPr>
        <w:pStyle w:val="12"/>
        <w:keepLines w:val="0"/>
        <w:pageBreakBefore w:val="0"/>
        <w:kinsoku/>
        <w:wordWrap/>
        <w:bidi w:val="0"/>
        <w:spacing w:line="500" w:lineRule="exact"/>
        <w:ind w:left="410" w:firstLine="240"/>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134" w:right="1797" w:bottom="567" w:left="1797" w:header="851" w:footer="992" w:gutter="0"/>
          <w:cols w:space="425" w:num="1"/>
          <w:docGrid w:type="lines" w:linePitch="312"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10</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11</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12</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2"/>
        <w:bidi w:val="0"/>
        <w:rPr>
          <w:rFonts w:hint="eastAsia"/>
          <w:highlight w:val="none"/>
        </w:rPr>
        <w:sectPr>
          <w:footerReference r:id="rId11" w:type="default"/>
          <w:pgSz w:w="11906" w:h="16838"/>
          <w:pgMar w:top="1440" w:right="1080" w:bottom="1440" w:left="1080" w:header="737" w:footer="340" w:gutter="0"/>
          <w:pgNumType w:start="1"/>
          <w:cols w:space="425" w:num="1"/>
          <w:docGrid w:type="lines" w:linePitch="326" w:charSpace="0"/>
        </w:sectPr>
      </w:pPr>
      <w:bookmarkStart w:id="1" w:name="_Toc25697"/>
    </w:p>
    <w:p>
      <w:pPr>
        <w:pStyle w:val="2"/>
        <w:bidi w:val="0"/>
        <w:rPr>
          <w:rFonts w:hint="eastAsia"/>
          <w:highlight w:val="none"/>
        </w:rPr>
      </w:pPr>
      <w:r>
        <w:rPr>
          <w:rFonts w:hint="eastAsia"/>
          <w:highlight w:val="none"/>
        </w:rPr>
        <w:t xml:space="preserve">1 </w:t>
      </w:r>
      <w:bookmarkStart w:id="2" w:name="_Toc305941223"/>
      <w:bookmarkStart w:id="3" w:name="_Toc305941518"/>
      <w:bookmarkStart w:id="4" w:name="_Toc397006837"/>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电缆振荡波局放测试系统</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05941519"/>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2221729"/>
      <w:bookmarkStart w:id="9" w:name="_Toc291768528"/>
      <w:bookmarkStart w:id="10" w:name="_Toc397006840"/>
      <w:bookmarkStart w:id="11" w:name="_Toc290652071"/>
      <w:bookmarkStart w:id="12" w:name="_Toc305941225"/>
    </w:p>
    <w:bookmarkEnd w:id="8"/>
    <w:bookmarkEnd w:id="9"/>
    <w:bookmarkEnd w:id="10"/>
    <w:bookmarkEnd w:id="11"/>
    <w:bookmarkEnd w:id="12"/>
    <w:p>
      <w:pPr>
        <w:pStyle w:val="2"/>
        <w:bidi w:val="0"/>
        <w:rPr>
          <w:highlight w:val="none"/>
        </w:rPr>
      </w:pPr>
      <w:bookmarkStart w:id="13" w:name="_Toc3763"/>
      <w:bookmarkStart w:id="14" w:name="_Toc397006842"/>
      <w:bookmarkStart w:id="15" w:name="_Toc305941520"/>
      <w:bookmarkStart w:id="16" w:name="_Toc305941228"/>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电缆振荡波局放测试系统</w:t>
      </w:r>
      <w:r>
        <w:rPr>
          <w:rFonts w:hint="eastAsia"/>
          <w:color w:val="auto"/>
          <w:highlight w:val="none"/>
        </w:rPr>
        <w:t>：</w:t>
      </w:r>
    </w:p>
    <w:p>
      <w:pPr>
        <w:spacing w:line="360" w:lineRule="auto"/>
        <w:ind w:firstLine="600" w:firstLineChars="250"/>
        <w:rPr>
          <w:sz w:val="24"/>
          <w:highlight w:val="none"/>
        </w:rPr>
      </w:pPr>
      <w:bookmarkStart w:id="17" w:name="_Toc305941521"/>
      <w:bookmarkStart w:id="18" w:name="_Toc397006843"/>
      <w:bookmarkStart w:id="19" w:name="_Toc305941229"/>
      <w:bookmarkStart w:id="20" w:name="_Toc13932"/>
      <w:bookmarkStart w:id="21" w:name="_Toc279769035"/>
      <w:r>
        <w:rPr>
          <w:sz w:val="24"/>
          <w:highlight w:val="none"/>
        </w:rPr>
        <w:t>GB3818-83</w:t>
      </w:r>
      <w:r>
        <w:rPr>
          <w:rFonts w:hint="eastAsia"/>
          <w:sz w:val="24"/>
          <w:highlight w:val="none"/>
        </w:rPr>
        <w:t>《公共信息图形符号》</w:t>
      </w:r>
    </w:p>
    <w:p>
      <w:pPr>
        <w:spacing w:line="360" w:lineRule="auto"/>
        <w:ind w:firstLine="600" w:firstLineChars="250"/>
        <w:rPr>
          <w:sz w:val="24"/>
          <w:highlight w:val="none"/>
        </w:rPr>
      </w:pPr>
      <w:r>
        <w:rPr>
          <w:sz w:val="24"/>
          <w:highlight w:val="none"/>
        </w:rPr>
        <w:t xml:space="preserve">GB/T 13702-92 </w:t>
      </w:r>
      <w:r>
        <w:rPr>
          <w:rFonts w:hint="eastAsia"/>
          <w:sz w:val="24"/>
          <w:highlight w:val="none"/>
        </w:rPr>
        <w:t>《计算机软件分类与代码》</w:t>
      </w:r>
    </w:p>
    <w:p>
      <w:pPr>
        <w:spacing w:line="360" w:lineRule="auto"/>
        <w:ind w:firstLine="600" w:firstLineChars="250"/>
        <w:rPr>
          <w:sz w:val="24"/>
          <w:highlight w:val="none"/>
        </w:rPr>
      </w:pPr>
      <w:r>
        <w:rPr>
          <w:sz w:val="24"/>
          <w:highlight w:val="none"/>
        </w:rPr>
        <w:t xml:space="preserve">GB/T 15532-1995 </w:t>
      </w:r>
      <w:r>
        <w:rPr>
          <w:rFonts w:hint="eastAsia"/>
          <w:sz w:val="24"/>
          <w:highlight w:val="none"/>
        </w:rPr>
        <w:t>《计算机软件单元测试》</w:t>
      </w:r>
    </w:p>
    <w:p>
      <w:pPr>
        <w:spacing w:line="360" w:lineRule="auto"/>
        <w:ind w:firstLine="600" w:firstLineChars="250"/>
        <w:rPr>
          <w:sz w:val="24"/>
          <w:highlight w:val="none"/>
        </w:rPr>
      </w:pPr>
      <w:r>
        <w:rPr>
          <w:sz w:val="24"/>
          <w:highlight w:val="none"/>
        </w:rPr>
        <w:t xml:space="preserve">IEC60270 </w:t>
      </w:r>
      <w:r>
        <w:rPr>
          <w:rFonts w:hint="eastAsia"/>
          <w:sz w:val="24"/>
          <w:highlight w:val="none"/>
        </w:rPr>
        <w:t>《高压测试</w:t>
      </w:r>
      <w:r>
        <w:rPr>
          <w:sz w:val="24"/>
          <w:highlight w:val="none"/>
        </w:rPr>
        <w:t>-</w:t>
      </w:r>
      <w:r>
        <w:rPr>
          <w:rFonts w:hint="eastAsia"/>
          <w:sz w:val="24"/>
          <w:highlight w:val="none"/>
        </w:rPr>
        <w:t>局部放电测量》</w:t>
      </w:r>
    </w:p>
    <w:p>
      <w:pPr>
        <w:spacing w:line="360" w:lineRule="auto"/>
        <w:ind w:firstLine="600" w:firstLineChars="250"/>
        <w:rPr>
          <w:sz w:val="24"/>
          <w:highlight w:val="none"/>
        </w:rPr>
      </w:pPr>
      <w:r>
        <w:rPr>
          <w:sz w:val="24"/>
          <w:highlight w:val="none"/>
        </w:rPr>
        <w:t xml:space="preserve">DL/T849.6-2004 </w:t>
      </w:r>
      <w:r>
        <w:rPr>
          <w:rFonts w:hint="eastAsia"/>
          <w:sz w:val="24"/>
          <w:highlight w:val="none"/>
        </w:rPr>
        <w:t>《电力设备专用测试仪器通用技术条件</w:t>
      </w:r>
      <w:r>
        <w:rPr>
          <w:sz w:val="24"/>
          <w:highlight w:val="none"/>
        </w:rPr>
        <w:t xml:space="preserve"> </w:t>
      </w:r>
      <w:r>
        <w:rPr>
          <w:rFonts w:hint="eastAsia"/>
          <w:sz w:val="24"/>
          <w:highlight w:val="none"/>
        </w:rPr>
        <w:t>第</w:t>
      </w:r>
      <w:r>
        <w:rPr>
          <w:sz w:val="24"/>
          <w:highlight w:val="none"/>
        </w:rPr>
        <w:t>6</w:t>
      </w:r>
      <w:r>
        <w:rPr>
          <w:rFonts w:hint="eastAsia"/>
          <w:sz w:val="24"/>
          <w:highlight w:val="none"/>
        </w:rPr>
        <w:t>部分：高压谐振试验装置》</w:t>
      </w:r>
    </w:p>
    <w:p>
      <w:pPr>
        <w:spacing w:line="360" w:lineRule="auto"/>
        <w:ind w:firstLine="600" w:firstLineChars="250"/>
        <w:rPr>
          <w:sz w:val="24"/>
          <w:highlight w:val="none"/>
        </w:rPr>
      </w:pPr>
      <w:r>
        <w:rPr>
          <w:sz w:val="24"/>
          <w:highlight w:val="none"/>
        </w:rPr>
        <w:t xml:space="preserve">DL/T846-2004 </w:t>
      </w:r>
      <w:r>
        <w:rPr>
          <w:rFonts w:hint="eastAsia"/>
          <w:sz w:val="24"/>
          <w:highlight w:val="none"/>
        </w:rPr>
        <w:t>《高电压测试设备通用技术条件》</w:t>
      </w:r>
    </w:p>
    <w:p>
      <w:pPr>
        <w:spacing w:line="360" w:lineRule="auto"/>
        <w:ind w:firstLine="600" w:firstLineChars="250"/>
        <w:rPr>
          <w:rFonts w:hint="eastAsia"/>
          <w:sz w:val="24"/>
          <w:highlight w:val="none"/>
        </w:rPr>
      </w:pPr>
      <w:r>
        <w:rPr>
          <w:sz w:val="24"/>
          <w:highlight w:val="none"/>
        </w:rPr>
        <w:t xml:space="preserve">GB/T16927-1997 </w:t>
      </w:r>
      <w:r>
        <w:rPr>
          <w:rFonts w:hint="eastAsia"/>
          <w:sz w:val="24"/>
          <w:highlight w:val="none"/>
        </w:rPr>
        <w:t>《高电压试验技术》</w:t>
      </w:r>
    </w:p>
    <w:p>
      <w:pPr>
        <w:spacing w:line="360" w:lineRule="auto"/>
        <w:ind w:firstLine="600" w:firstLineChars="250"/>
        <w:rPr>
          <w:rFonts w:hint="eastAsia"/>
          <w:sz w:val="24"/>
          <w:highlight w:val="none"/>
        </w:rPr>
      </w:pPr>
      <w:r>
        <w:rPr>
          <w:rFonts w:hint="eastAsia"/>
          <w:sz w:val="24"/>
          <w:highlight w:val="none"/>
        </w:rPr>
        <w:t>GB 50150-2006 《电气装置安装工程电气设备交接试验标准》</w:t>
      </w:r>
    </w:p>
    <w:p>
      <w:pPr>
        <w:spacing w:line="360" w:lineRule="auto"/>
        <w:ind w:firstLine="600" w:firstLineChars="250"/>
        <w:rPr>
          <w:rFonts w:hint="eastAsia"/>
          <w:sz w:val="24"/>
          <w:highlight w:val="none"/>
        </w:rPr>
      </w:pPr>
      <w:r>
        <w:rPr>
          <w:rFonts w:hint="eastAsia"/>
          <w:sz w:val="24"/>
          <w:highlight w:val="none"/>
        </w:rPr>
        <w:t>GB 50168-2006 《电气装置安装工程电缆线路施工及验收规范》</w:t>
      </w:r>
    </w:p>
    <w:p>
      <w:pPr>
        <w:spacing w:line="360" w:lineRule="auto"/>
        <w:ind w:firstLine="600" w:firstLineChars="250"/>
        <w:rPr>
          <w:rFonts w:hint="eastAsia"/>
          <w:sz w:val="24"/>
          <w:highlight w:val="none"/>
        </w:rPr>
      </w:pPr>
      <w:r>
        <w:rPr>
          <w:rFonts w:hint="eastAsia"/>
          <w:sz w:val="24"/>
          <w:highlight w:val="none"/>
        </w:rPr>
        <w:t>GB 50169-2006 《电气装置安装工程接地装置施工及验收规范》</w:t>
      </w:r>
    </w:p>
    <w:p>
      <w:pPr>
        <w:spacing w:line="360" w:lineRule="auto"/>
        <w:ind w:firstLine="600" w:firstLineChars="250"/>
        <w:rPr>
          <w:rFonts w:hint="eastAsia"/>
          <w:sz w:val="24"/>
          <w:highlight w:val="none"/>
        </w:rPr>
      </w:pPr>
      <w:r>
        <w:rPr>
          <w:rFonts w:hint="eastAsia"/>
          <w:sz w:val="24"/>
          <w:highlight w:val="none"/>
        </w:rPr>
        <w:t>GB 50217-2007 《电力工程电缆设计规范》</w:t>
      </w:r>
    </w:p>
    <w:p>
      <w:pPr>
        <w:spacing w:line="360" w:lineRule="auto"/>
        <w:ind w:firstLine="600" w:firstLineChars="250"/>
        <w:rPr>
          <w:rFonts w:hint="eastAsia"/>
          <w:sz w:val="24"/>
          <w:highlight w:val="none"/>
        </w:rPr>
      </w:pPr>
      <w:r>
        <w:rPr>
          <w:rFonts w:hint="eastAsia"/>
          <w:sz w:val="24"/>
          <w:highlight w:val="none"/>
        </w:rPr>
        <w:t>DL/T 596-2005 《电力设备预防性试验规程》</w:t>
      </w:r>
    </w:p>
    <w:p>
      <w:pPr>
        <w:spacing w:line="360" w:lineRule="auto"/>
        <w:ind w:firstLine="600" w:firstLineChars="250"/>
        <w:rPr>
          <w:rFonts w:hint="eastAsia"/>
          <w:sz w:val="24"/>
          <w:highlight w:val="none"/>
        </w:rPr>
      </w:pPr>
      <w:r>
        <w:rPr>
          <w:rFonts w:hint="eastAsia"/>
          <w:sz w:val="24"/>
          <w:highlight w:val="none"/>
        </w:rPr>
        <w:t>DL/T 401-2002 《高压电缆选用导则》</w:t>
      </w:r>
    </w:p>
    <w:p>
      <w:pPr>
        <w:spacing w:line="360" w:lineRule="auto"/>
        <w:ind w:firstLine="600" w:firstLineChars="250"/>
        <w:rPr>
          <w:sz w:val="24"/>
          <w:highlight w:val="none"/>
        </w:rPr>
      </w:pPr>
      <w:r>
        <w:rPr>
          <w:sz w:val="24"/>
          <w:highlight w:val="none"/>
        </w:rPr>
        <w:t xml:space="preserve">GB4793-1984 </w:t>
      </w:r>
      <w:r>
        <w:rPr>
          <w:rFonts w:hint="eastAsia"/>
          <w:sz w:val="24"/>
          <w:highlight w:val="none"/>
        </w:rPr>
        <w:t>《电子测量仪器安全要求》</w:t>
      </w:r>
    </w:p>
    <w:p>
      <w:pPr>
        <w:spacing w:line="360" w:lineRule="auto"/>
        <w:ind w:firstLine="600" w:firstLineChars="250"/>
        <w:rPr>
          <w:sz w:val="24"/>
          <w:highlight w:val="none"/>
        </w:rPr>
      </w:pPr>
      <w:r>
        <w:rPr>
          <w:sz w:val="24"/>
          <w:highlight w:val="none"/>
        </w:rPr>
        <w:t xml:space="preserve">GB4793.1 </w:t>
      </w:r>
      <w:r>
        <w:rPr>
          <w:rFonts w:hint="eastAsia"/>
          <w:sz w:val="24"/>
          <w:highlight w:val="none"/>
        </w:rPr>
        <w:t>《测量控制和试验室用电气设备的安全要求</w:t>
      </w:r>
      <w:r>
        <w:rPr>
          <w:sz w:val="24"/>
          <w:highlight w:val="none"/>
        </w:rPr>
        <w:t xml:space="preserve"> </w:t>
      </w:r>
      <w:r>
        <w:rPr>
          <w:rFonts w:hint="eastAsia"/>
          <w:sz w:val="24"/>
          <w:highlight w:val="none"/>
        </w:rPr>
        <w:t>第一部分：通用要求》</w:t>
      </w:r>
    </w:p>
    <w:p>
      <w:pPr>
        <w:spacing w:line="360" w:lineRule="auto"/>
        <w:ind w:firstLine="600" w:firstLineChars="250"/>
        <w:rPr>
          <w:sz w:val="24"/>
          <w:highlight w:val="none"/>
        </w:rPr>
      </w:pPr>
      <w:r>
        <w:rPr>
          <w:sz w:val="24"/>
          <w:highlight w:val="none"/>
        </w:rPr>
        <w:t xml:space="preserve">GB6587.1 </w:t>
      </w:r>
      <w:r>
        <w:rPr>
          <w:rFonts w:hint="eastAsia"/>
          <w:sz w:val="24"/>
          <w:highlight w:val="none"/>
        </w:rPr>
        <w:t>《电子测量仪器环境试验总纲》</w:t>
      </w:r>
    </w:p>
    <w:p>
      <w:pPr>
        <w:spacing w:line="360" w:lineRule="auto"/>
        <w:ind w:firstLine="600" w:firstLineChars="250"/>
        <w:rPr>
          <w:sz w:val="24"/>
          <w:highlight w:val="none"/>
        </w:rPr>
      </w:pPr>
      <w:r>
        <w:rPr>
          <w:sz w:val="24"/>
          <w:highlight w:val="none"/>
        </w:rPr>
        <w:t xml:space="preserve">GB6587.3 </w:t>
      </w:r>
      <w:r>
        <w:rPr>
          <w:rFonts w:hint="eastAsia"/>
          <w:sz w:val="24"/>
          <w:highlight w:val="none"/>
        </w:rPr>
        <w:t>《电子测量仪器湿度试验》</w:t>
      </w:r>
    </w:p>
    <w:p>
      <w:pPr>
        <w:spacing w:line="360" w:lineRule="auto"/>
        <w:ind w:firstLine="600" w:firstLineChars="250"/>
        <w:rPr>
          <w:sz w:val="24"/>
          <w:highlight w:val="none"/>
        </w:rPr>
      </w:pPr>
      <w:r>
        <w:rPr>
          <w:sz w:val="24"/>
          <w:highlight w:val="none"/>
        </w:rPr>
        <w:t xml:space="preserve">GB6587.5 </w:t>
      </w:r>
      <w:r>
        <w:rPr>
          <w:rFonts w:hint="eastAsia"/>
          <w:sz w:val="24"/>
          <w:highlight w:val="none"/>
        </w:rPr>
        <w:t>《电子测量仪器冲击试验》</w:t>
      </w:r>
    </w:p>
    <w:p>
      <w:pPr>
        <w:spacing w:line="360" w:lineRule="auto"/>
        <w:ind w:firstLine="600" w:firstLineChars="250"/>
        <w:rPr>
          <w:sz w:val="24"/>
          <w:highlight w:val="none"/>
        </w:rPr>
      </w:pPr>
      <w:r>
        <w:rPr>
          <w:sz w:val="24"/>
          <w:highlight w:val="none"/>
        </w:rPr>
        <w:t xml:space="preserve">GB6587.6 </w:t>
      </w:r>
      <w:r>
        <w:rPr>
          <w:rFonts w:hint="eastAsia"/>
          <w:sz w:val="24"/>
          <w:highlight w:val="none"/>
        </w:rPr>
        <w:t>《电子测量仪器运输试验》</w:t>
      </w:r>
    </w:p>
    <w:p>
      <w:pPr>
        <w:spacing w:line="360" w:lineRule="auto"/>
        <w:ind w:firstLine="600" w:firstLineChars="250"/>
        <w:rPr>
          <w:sz w:val="24"/>
          <w:highlight w:val="none"/>
        </w:rPr>
      </w:pPr>
      <w:r>
        <w:rPr>
          <w:sz w:val="24"/>
          <w:highlight w:val="none"/>
        </w:rPr>
        <w:t xml:space="preserve">GB/T6593-1996 </w:t>
      </w:r>
      <w:r>
        <w:rPr>
          <w:rFonts w:hint="eastAsia"/>
          <w:sz w:val="24"/>
          <w:highlight w:val="none"/>
        </w:rPr>
        <w:t>《电子测量仪器质量检验规则》</w:t>
      </w:r>
    </w:p>
    <w:p>
      <w:pPr>
        <w:spacing w:line="360" w:lineRule="auto"/>
        <w:ind w:firstLine="600" w:firstLineChars="250"/>
        <w:rPr>
          <w:rFonts w:hint="eastAsia"/>
          <w:sz w:val="24"/>
          <w:highlight w:val="none"/>
        </w:rPr>
      </w:pPr>
      <w:r>
        <w:rPr>
          <w:sz w:val="24"/>
          <w:highlight w:val="none"/>
        </w:rPr>
        <w:t>GB191</w:t>
      </w:r>
      <w:r>
        <w:rPr>
          <w:rFonts w:hint="eastAsia"/>
          <w:sz w:val="24"/>
          <w:highlight w:val="none"/>
        </w:rPr>
        <w:t>《包装</w:t>
      </w:r>
      <w:r>
        <w:rPr>
          <w:sz w:val="24"/>
          <w:highlight w:val="none"/>
        </w:rPr>
        <w:t xml:space="preserve"> </w:t>
      </w:r>
      <w:r>
        <w:rPr>
          <w:rFonts w:hint="eastAsia"/>
          <w:sz w:val="24"/>
          <w:highlight w:val="none"/>
        </w:rPr>
        <w:t>储运</w:t>
      </w:r>
      <w:r>
        <w:rPr>
          <w:sz w:val="24"/>
          <w:highlight w:val="none"/>
        </w:rPr>
        <w:t xml:space="preserve"> </w:t>
      </w:r>
      <w:r>
        <w:rPr>
          <w:rFonts w:hint="eastAsia"/>
          <w:sz w:val="24"/>
          <w:highlight w:val="none"/>
        </w:rPr>
        <w:t>图示标志》</w:t>
      </w:r>
    </w:p>
    <w:p>
      <w:pPr>
        <w:pStyle w:val="2"/>
        <w:bidi w:val="0"/>
        <w:rPr>
          <w:highlight w:val="none"/>
        </w:rPr>
      </w:pPr>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电缆振荡波局放测试系统</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05941230"/>
      <w:bookmarkStart w:id="24" w:name="_Toc397006844"/>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numPr>
          <w:ilvl w:val="0"/>
          <w:numId w:val="1"/>
        </w:numPr>
        <w:adjustRightInd w:val="0"/>
        <w:snapToGrid w:val="0"/>
        <w:spacing w:line="312" w:lineRule="exact"/>
        <w:ind w:left="0" w:firstLine="480" w:firstLineChars="200"/>
        <w:rPr>
          <w:rFonts w:hint="eastAsia" w:ascii="宋体" w:hAnsi="宋体"/>
          <w:szCs w:val="21"/>
          <w:highlight w:val="none"/>
        </w:rPr>
      </w:pPr>
      <w:bookmarkStart w:id="30" w:name="_Toc397006845"/>
      <w:r>
        <w:rPr>
          <w:rFonts w:hint="eastAsia" w:ascii="宋体" w:hAnsi="宋体"/>
          <w:szCs w:val="21"/>
          <w:highlight w:val="none"/>
        </w:rPr>
        <w:t xml:space="preserve"> 环境温度：</w:t>
      </w:r>
      <w:r>
        <w:rPr>
          <w:rFonts w:ascii="宋体" w:hAnsi="宋体" w:cs="Arial"/>
          <w:bCs/>
          <w:szCs w:val="21"/>
          <w:highlight w:val="none"/>
        </w:rPr>
        <w:t>-</w:t>
      </w:r>
      <w:r>
        <w:rPr>
          <w:rFonts w:hint="eastAsia" w:ascii="宋体" w:hAnsi="宋体" w:cs="Arial"/>
          <w:bCs/>
          <w:szCs w:val="21"/>
          <w:highlight w:val="none"/>
        </w:rPr>
        <w:t>1</w:t>
      </w:r>
      <w:r>
        <w:rPr>
          <w:rFonts w:ascii="宋体" w:hAnsi="宋体" w:cs="Arial"/>
          <w:bCs/>
          <w:szCs w:val="21"/>
          <w:highlight w:val="none"/>
        </w:rPr>
        <w:t>5℃～+</w:t>
      </w:r>
      <w:r>
        <w:rPr>
          <w:rFonts w:hint="eastAsia" w:ascii="宋体" w:hAnsi="宋体" w:cs="Arial"/>
          <w:bCs/>
          <w:szCs w:val="21"/>
          <w:highlight w:val="none"/>
        </w:rPr>
        <w:t>55</w:t>
      </w:r>
      <w:r>
        <w:rPr>
          <w:rFonts w:ascii="宋体" w:hAnsi="宋体" w:cs="Arial"/>
          <w:bCs/>
          <w:szCs w:val="21"/>
          <w:highlight w:val="none"/>
        </w:rPr>
        <w:t>℃</w:t>
      </w:r>
    </w:p>
    <w:p>
      <w:pPr>
        <w:numPr>
          <w:ilvl w:val="0"/>
          <w:numId w:val="1"/>
        </w:numPr>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 xml:space="preserve"> 相对湿度：</w:t>
      </w:r>
      <w:r>
        <w:rPr>
          <w:rFonts w:ascii="宋体" w:hAnsi="宋体" w:cs="Arial"/>
          <w:bCs/>
          <w:szCs w:val="21"/>
          <w:highlight w:val="none"/>
        </w:rPr>
        <w:t>不大于95%，</w:t>
      </w:r>
      <w:r>
        <w:rPr>
          <w:rFonts w:hint="eastAsia" w:ascii="宋体" w:hAnsi="宋体" w:cs="Arial"/>
          <w:bCs/>
          <w:szCs w:val="21"/>
          <w:highlight w:val="none"/>
        </w:rPr>
        <w:t>无凝露</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电缆振荡波局放测试系统</w:t>
      </w:r>
      <w:r>
        <w:rPr>
          <w:rFonts w:hint="eastAsia"/>
          <w:color w:val="auto"/>
          <w:highlight w:val="none"/>
          <w:shd w:val="clear" w:color="auto" w:fill="FFFFFF"/>
        </w:rPr>
        <w:t>功能</w:t>
      </w:r>
      <w:r>
        <w:rPr>
          <w:rFonts w:hint="eastAsia"/>
          <w:highlight w:val="none"/>
        </w:rPr>
        <w:t>要求</w:t>
      </w:r>
    </w:p>
    <w:p>
      <w:pPr>
        <w:numPr>
          <w:ilvl w:val="0"/>
          <w:numId w:val="2"/>
        </w:numPr>
        <w:tabs>
          <w:tab w:val="clear" w:pos="1997"/>
        </w:tabs>
        <w:adjustRightInd w:val="0"/>
        <w:snapToGrid w:val="0"/>
        <w:spacing w:line="312" w:lineRule="exact"/>
        <w:ind w:left="0" w:firstLine="482" w:firstLineChars="200"/>
        <w:rPr>
          <w:rFonts w:hint="eastAsia" w:ascii="宋体" w:hAnsi="宋体"/>
          <w:szCs w:val="21"/>
          <w:highlight w:val="none"/>
        </w:rPr>
      </w:pPr>
      <w:r>
        <w:rPr>
          <w:rFonts w:hint="eastAsia"/>
          <w:b/>
          <w:bCs/>
          <w:highlight w:val="none"/>
        </w:rPr>
        <w:t>★</w:t>
      </w:r>
      <w:r>
        <w:rPr>
          <w:rFonts w:hint="eastAsia" w:ascii="宋体" w:hAnsi="宋体" w:cs="Arial"/>
          <w:b/>
          <w:bCs/>
          <w:color w:val="auto"/>
          <w:szCs w:val="21"/>
          <w:highlight w:val="none"/>
        </w:rPr>
        <w:t>阻尼振荡波电源最</w:t>
      </w:r>
      <w:r>
        <w:rPr>
          <w:rFonts w:hint="eastAsia" w:ascii="宋体" w:hAnsi="宋体"/>
          <w:b/>
          <w:bCs/>
          <w:color w:val="auto"/>
          <w:szCs w:val="21"/>
          <w:highlight w:val="none"/>
        </w:rPr>
        <w:t>大输出电压：≥60kV(峰值)，≥42kV(有效值)</w:t>
      </w:r>
      <w:r>
        <w:rPr>
          <w:rFonts w:hint="eastAsia" w:ascii="宋体" w:hAnsi="宋体"/>
          <w:szCs w:val="21"/>
          <w:highlight w:val="none"/>
        </w:rPr>
        <w:t>；</w:t>
      </w:r>
    </w:p>
    <w:p>
      <w:pPr>
        <w:numPr>
          <w:ilvl w:val="0"/>
          <w:numId w:val="2"/>
        </w:numPr>
        <w:tabs>
          <w:tab w:val="clear" w:pos="1997"/>
        </w:tabs>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阻尼交流频率范围：20Hz</w:t>
      </w:r>
      <w:r>
        <w:rPr>
          <w:szCs w:val="21"/>
          <w:highlight w:val="none"/>
        </w:rPr>
        <w:t>~</w:t>
      </w:r>
      <w:r>
        <w:rPr>
          <w:rFonts w:hint="eastAsia" w:ascii="宋体" w:hAnsi="宋体"/>
          <w:szCs w:val="21"/>
          <w:highlight w:val="none"/>
        </w:rPr>
        <w:t>1000Hz；</w:t>
      </w:r>
    </w:p>
    <w:p>
      <w:pPr>
        <w:numPr>
          <w:ilvl w:val="0"/>
          <w:numId w:val="2"/>
        </w:numPr>
        <w:tabs>
          <w:tab w:val="clear" w:pos="1997"/>
        </w:tabs>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电感线圈： ≥2.5H；</w:t>
      </w:r>
    </w:p>
    <w:p>
      <w:pPr>
        <w:numPr>
          <w:ilvl w:val="0"/>
          <w:numId w:val="2"/>
        </w:numPr>
        <w:tabs>
          <w:tab w:val="clear" w:pos="1997"/>
        </w:tabs>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电容范围： 0.02uF</w:t>
      </w:r>
      <w:r>
        <w:rPr>
          <w:rFonts w:eastAsia="仿宋_GB2312"/>
          <w:szCs w:val="21"/>
          <w:highlight w:val="none"/>
        </w:rPr>
        <w:t>~</w:t>
      </w:r>
      <w:r>
        <w:rPr>
          <w:rFonts w:hint="eastAsia" w:ascii="宋体" w:hAnsi="宋体" w:eastAsia="仿宋_GB2312"/>
          <w:szCs w:val="21"/>
          <w:highlight w:val="none"/>
        </w:rPr>
        <w:t>5</w:t>
      </w:r>
      <w:r>
        <w:rPr>
          <w:rFonts w:hint="eastAsia" w:ascii="宋体" w:hAnsi="宋体"/>
          <w:szCs w:val="21"/>
          <w:highlight w:val="none"/>
        </w:rPr>
        <w:t>uF；</w:t>
      </w:r>
    </w:p>
    <w:p>
      <w:pPr>
        <w:numPr>
          <w:ilvl w:val="0"/>
          <w:numId w:val="2"/>
        </w:numPr>
        <w:tabs>
          <w:tab w:val="clear" w:pos="1997"/>
        </w:tabs>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局部放电等级测试范围：1pC</w:t>
      </w:r>
      <w:r>
        <w:rPr>
          <w:szCs w:val="21"/>
          <w:highlight w:val="none"/>
        </w:rPr>
        <w:t>~</w:t>
      </w:r>
      <w:r>
        <w:rPr>
          <w:rFonts w:hint="eastAsia" w:ascii="宋体" w:hAnsi="宋体"/>
          <w:szCs w:val="21"/>
          <w:highlight w:val="none"/>
        </w:rPr>
        <w:t>100nC；</w:t>
      </w:r>
    </w:p>
    <w:p>
      <w:pPr>
        <w:numPr>
          <w:ilvl w:val="0"/>
          <w:numId w:val="2"/>
        </w:numPr>
        <w:tabs>
          <w:tab w:val="clear" w:pos="1997"/>
        </w:tabs>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局部放电测量标准：IEC60270；</w:t>
      </w:r>
    </w:p>
    <w:p>
      <w:pPr>
        <w:numPr>
          <w:ilvl w:val="0"/>
          <w:numId w:val="2"/>
        </w:numPr>
        <w:tabs>
          <w:tab w:val="clear" w:pos="1997"/>
        </w:tabs>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局部放电定位带宽：150kHz</w:t>
      </w:r>
      <w:r>
        <w:rPr>
          <w:szCs w:val="21"/>
          <w:highlight w:val="none"/>
        </w:rPr>
        <w:t>~</w:t>
      </w:r>
      <w:r>
        <w:rPr>
          <w:rFonts w:hint="eastAsia" w:ascii="宋体" w:hAnsi="宋体"/>
          <w:szCs w:val="21"/>
          <w:highlight w:val="none"/>
        </w:rPr>
        <w:t>50MHz，根据电缆长度能自动选择带宽；</w:t>
      </w:r>
    </w:p>
    <w:p>
      <w:pPr>
        <w:numPr>
          <w:ilvl w:val="0"/>
          <w:numId w:val="2"/>
        </w:numPr>
        <w:tabs>
          <w:tab w:val="clear" w:pos="1997"/>
        </w:tabs>
        <w:adjustRightInd w:val="0"/>
        <w:snapToGrid w:val="0"/>
        <w:spacing w:line="312" w:lineRule="exact"/>
        <w:ind w:left="0" w:firstLine="480" w:firstLineChars="200"/>
        <w:rPr>
          <w:rFonts w:hint="eastAsia" w:ascii="宋体" w:hAnsi="宋体"/>
          <w:szCs w:val="21"/>
          <w:highlight w:val="none"/>
        </w:rPr>
      </w:pPr>
      <w:r>
        <w:rPr>
          <w:rFonts w:hint="eastAsia" w:ascii="宋体" w:hAnsi="宋体"/>
          <w:szCs w:val="21"/>
          <w:highlight w:val="none"/>
        </w:rPr>
        <w:t>介损测量范围：0.1%</w:t>
      </w:r>
      <w:r>
        <w:rPr>
          <w:szCs w:val="21"/>
          <w:highlight w:val="none"/>
        </w:rPr>
        <w:t>~</w:t>
      </w:r>
      <w:r>
        <w:rPr>
          <w:rFonts w:hint="eastAsia" w:ascii="宋体" w:hAnsi="宋体"/>
          <w:szCs w:val="21"/>
          <w:highlight w:val="none"/>
        </w:rPr>
        <w:t>10.0%；</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具备自动局放校准功能</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符合国际标准的耐压试验功能</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hint="eastAsia" w:ascii="宋体" w:hAnsi="宋体" w:cs="Arial"/>
          <w:szCs w:val="21"/>
          <w:highlight w:val="none"/>
        </w:rPr>
        <w:t>可</w:t>
      </w:r>
      <w:r>
        <w:rPr>
          <w:rFonts w:ascii="宋体" w:hAnsi="宋体" w:cs="Arial"/>
          <w:szCs w:val="21"/>
          <w:highlight w:val="none"/>
        </w:rPr>
        <w:t>描绘耐压试验时局放水平及趋势</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随时修正局放结果</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自动校准电缆长度、接头位置和波速</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同时定位多个局放缺陷的位置</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自动测量电缆电容</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自动测量电缆介损tanδ</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自动和手动两种方式调节频带宽度，方便过滤环境噪声</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根据电缆长度自动调整频带宽度以得到最佳反射波形</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充电时间不超过2秒，测试时间100ms以内，</w:t>
      </w:r>
      <w:r>
        <w:rPr>
          <w:rFonts w:hint="eastAsia" w:ascii="宋体" w:hAnsi="宋体" w:cs="Arial"/>
          <w:szCs w:val="21"/>
          <w:highlight w:val="none"/>
        </w:rPr>
        <w:t>为</w:t>
      </w:r>
      <w:r>
        <w:rPr>
          <w:rFonts w:ascii="宋体" w:hAnsi="宋体" w:cs="Arial"/>
          <w:szCs w:val="21"/>
          <w:highlight w:val="none"/>
        </w:rPr>
        <w:t>无损测试</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具备混合电缆波速误差修正功能</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自动和手动分析功能</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紧急停机功能和安全控制回路</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峰值</w:t>
      </w:r>
      <w:r>
        <w:rPr>
          <w:rFonts w:hint="eastAsia" w:ascii="宋体" w:hAnsi="宋体" w:cs="Arial"/>
          <w:szCs w:val="21"/>
          <w:highlight w:val="none"/>
        </w:rPr>
        <w:t>电压</w:t>
      </w:r>
      <w:r>
        <w:rPr>
          <w:rFonts w:ascii="宋体" w:hAnsi="宋体" w:cs="Arial"/>
          <w:szCs w:val="21"/>
          <w:highlight w:val="none"/>
        </w:rPr>
        <w:t>、相电压</w:t>
      </w:r>
      <w:r>
        <w:rPr>
          <w:rFonts w:hint="eastAsia" w:ascii="宋体" w:hAnsi="宋体" w:cs="Arial"/>
          <w:szCs w:val="21"/>
          <w:highlight w:val="none"/>
        </w:rPr>
        <w:t>倍数</w:t>
      </w:r>
      <w:r>
        <w:rPr>
          <w:rFonts w:ascii="宋体" w:hAnsi="宋体" w:cs="Arial"/>
          <w:szCs w:val="21"/>
          <w:highlight w:val="none"/>
        </w:rPr>
        <w:t>、有效值</w:t>
      </w:r>
      <w:r>
        <w:rPr>
          <w:rFonts w:hint="eastAsia" w:ascii="宋体" w:hAnsi="宋体" w:cs="Arial"/>
          <w:szCs w:val="21"/>
          <w:highlight w:val="none"/>
        </w:rPr>
        <w:t>电压</w:t>
      </w:r>
      <w:r>
        <w:rPr>
          <w:rFonts w:ascii="宋体" w:hAnsi="宋体" w:cs="Arial"/>
          <w:szCs w:val="21"/>
          <w:highlight w:val="none"/>
        </w:rPr>
        <w:t>三种加压模式</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相位、局放谱图显示功能</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自动放电功能</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实时局放水平、位置显示功能</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ascii="宋体" w:hAnsi="宋体" w:cs="Arial"/>
          <w:szCs w:val="21"/>
          <w:highlight w:val="none"/>
        </w:rPr>
        <w:t>局放水平、局放次数切换显示</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hint="eastAsia" w:ascii="宋体" w:hAnsi="宋体" w:cs="Arial"/>
          <w:szCs w:val="21"/>
          <w:highlight w:val="none"/>
        </w:rPr>
        <w:t>信息</w:t>
      </w:r>
      <w:r>
        <w:rPr>
          <w:rFonts w:ascii="宋体" w:hAnsi="宋体" w:cs="Arial"/>
          <w:szCs w:val="21"/>
          <w:highlight w:val="none"/>
        </w:rPr>
        <w:t>自动导入</w:t>
      </w:r>
      <w:r>
        <w:rPr>
          <w:rFonts w:hint="eastAsia" w:ascii="宋体" w:hAnsi="宋体" w:cs="Arial"/>
          <w:szCs w:val="21"/>
          <w:highlight w:val="none"/>
        </w:rPr>
        <w:t>，</w:t>
      </w:r>
      <w:r>
        <w:rPr>
          <w:rFonts w:ascii="宋体" w:hAnsi="宋体" w:cs="Arial"/>
          <w:szCs w:val="21"/>
          <w:highlight w:val="none"/>
        </w:rPr>
        <w:t>与状态</w:t>
      </w:r>
      <w:r>
        <w:rPr>
          <w:rFonts w:hint="eastAsia" w:ascii="宋体" w:hAnsi="宋体" w:cs="Arial"/>
          <w:szCs w:val="21"/>
          <w:highlight w:val="none"/>
        </w:rPr>
        <w:t>检测</w:t>
      </w:r>
      <w:r>
        <w:rPr>
          <w:rFonts w:ascii="宋体" w:hAnsi="宋体" w:cs="Arial"/>
          <w:szCs w:val="21"/>
          <w:highlight w:val="none"/>
        </w:rPr>
        <w:t>平台</w:t>
      </w:r>
      <w:r>
        <w:rPr>
          <w:rFonts w:hint="eastAsia" w:ascii="宋体" w:hAnsi="宋体" w:cs="Arial"/>
          <w:szCs w:val="21"/>
          <w:highlight w:val="none"/>
        </w:rPr>
        <w:t>数据</w:t>
      </w:r>
      <w:r>
        <w:rPr>
          <w:rFonts w:ascii="宋体" w:hAnsi="宋体" w:cs="Arial"/>
          <w:szCs w:val="21"/>
          <w:highlight w:val="none"/>
        </w:rPr>
        <w:t>实现</w:t>
      </w:r>
      <w:r>
        <w:rPr>
          <w:rFonts w:hint="eastAsia" w:ascii="宋体" w:hAnsi="宋体" w:cs="Arial"/>
          <w:szCs w:val="21"/>
          <w:highlight w:val="none"/>
        </w:rPr>
        <w:t>共享；</w:t>
      </w:r>
    </w:p>
    <w:p>
      <w:pPr>
        <w:numPr>
          <w:ilvl w:val="0"/>
          <w:numId w:val="2"/>
        </w:numPr>
        <w:tabs>
          <w:tab w:val="clear" w:pos="1997"/>
        </w:tabs>
        <w:adjustRightInd w:val="0"/>
        <w:snapToGrid w:val="0"/>
        <w:spacing w:line="312" w:lineRule="exact"/>
        <w:ind w:left="0" w:firstLine="480" w:firstLineChars="200"/>
        <w:rPr>
          <w:rFonts w:ascii="宋体" w:hAnsi="宋体" w:cs="Arial"/>
          <w:szCs w:val="21"/>
          <w:highlight w:val="none"/>
        </w:rPr>
      </w:pPr>
      <w:r>
        <w:rPr>
          <w:rFonts w:hint="eastAsia" w:ascii="宋体" w:hAnsi="宋体" w:cs="Arial"/>
          <w:szCs w:val="21"/>
          <w:highlight w:val="none"/>
        </w:rPr>
        <w:t>电缆</w:t>
      </w:r>
      <w:r>
        <w:rPr>
          <w:rFonts w:ascii="宋体" w:hAnsi="宋体" w:cs="Arial"/>
          <w:szCs w:val="21"/>
          <w:highlight w:val="none"/>
        </w:rPr>
        <w:t>局放</w:t>
      </w:r>
      <w:r>
        <w:rPr>
          <w:rFonts w:hint="eastAsia" w:ascii="宋体" w:hAnsi="宋体" w:cs="Arial"/>
          <w:szCs w:val="21"/>
          <w:highlight w:val="none"/>
        </w:rPr>
        <w:t>测试</w:t>
      </w:r>
      <w:r>
        <w:rPr>
          <w:rFonts w:ascii="宋体" w:hAnsi="宋体" w:cs="Arial"/>
          <w:szCs w:val="21"/>
          <w:highlight w:val="none"/>
        </w:rPr>
        <w:t>和定位</w:t>
      </w:r>
      <w:r>
        <w:rPr>
          <w:rFonts w:hint="eastAsia" w:ascii="宋体" w:hAnsi="宋体" w:cs="Arial"/>
          <w:szCs w:val="21"/>
          <w:highlight w:val="none"/>
        </w:rPr>
        <w:t>：</w:t>
      </w:r>
      <w:r>
        <w:rPr>
          <w:rFonts w:ascii="宋体" w:hAnsi="宋体" w:cs="Arial"/>
          <w:szCs w:val="21"/>
          <w:highlight w:val="none"/>
        </w:rPr>
        <w:t>使用</w:t>
      </w:r>
      <w:r>
        <w:rPr>
          <w:rFonts w:hint="eastAsia" w:ascii="宋体" w:hAnsi="宋体" w:cs="Arial"/>
          <w:szCs w:val="21"/>
          <w:highlight w:val="none"/>
        </w:rPr>
        <w:t>低阻尼</w:t>
      </w:r>
      <w:r>
        <w:rPr>
          <w:rFonts w:ascii="宋体" w:hAnsi="宋体" w:cs="Arial"/>
          <w:szCs w:val="21"/>
          <w:highlight w:val="none"/>
        </w:rPr>
        <w:t>振荡波电源进行局放测试</w:t>
      </w:r>
      <w:r>
        <w:rPr>
          <w:rFonts w:hint="eastAsia" w:ascii="宋体" w:hAnsi="宋体" w:cs="Arial"/>
          <w:szCs w:val="21"/>
          <w:highlight w:val="none"/>
        </w:rPr>
        <w:t>；</w:t>
      </w:r>
    </w:p>
    <w:p>
      <w:pPr>
        <w:keepLines w:val="0"/>
        <w:pageBreakBefore w:val="0"/>
        <w:kinsoku/>
        <w:wordWrap/>
        <w:bidi w:val="0"/>
        <w:snapToGrid w:val="0"/>
        <w:spacing w:line="500" w:lineRule="exact"/>
        <w:ind w:firstLine="480" w:firstLineChars="200"/>
        <w:jc w:val="both"/>
        <w:rPr>
          <w:rFonts w:asciiTheme="minorEastAsia" w:hAnsiTheme="minorEastAsia" w:eastAsiaTheme="minorEastAsia"/>
          <w:color w:val="auto"/>
          <w:highlight w:val="none"/>
        </w:rPr>
      </w:pPr>
      <w:r>
        <w:rPr>
          <w:rFonts w:hint="eastAsia" w:ascii="宋体" w:hAnsi="宋体" w:cs="Arial"/>
          <w:szCs w:val="21"/>
          <w:highlight w:val="none"/>
          <w:lang w:val="en-US" w:eastAsia="zh-CN"/>
        </w:rPr>
        <w:t>30）</w:t>
      </w:r>
      <w:r>
        <w:rPr>
          <w:rFonts w:ascii="宋体" w:hAnsi="宋体" w:cs="Arial"/>
          <w:szCs w:val="21"/>
          <w:highlight w:val="none"/>
        </w:rPr>
        <w:t>可测量局放起始电压、局放水平，并准确定位局放缺陷位置</w:t>
      </w:r>
      <w:r>
        <w:rPr>
          <w:rFonts w:hint="eastAsia" w:ascii="宋体" w:hAnsi="宋体" w:cs="Arial"/>
          <w:szCs w:val="21"/>
          <w:highlight w:val="none"/>
        </w:rPr>
        <w:t>；</w:t>
      </w: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电缆振荡波局放测试系统</w:t>
      </w:r>
      <w:r>
        <w:rPr>
          <w:rFonts w:hint="eastAsia"/>
          <w:color w:val="auto"/>
          <w:highlight w:val="none"/>
          <w:shd w:val="clear" w:color="auto" w:fill="FFFFFF"/>
        </w:rPr>
        <w:t>技术指标</w:t>
      </w:r>
    </w:p>
    <w:tbl>
      <w:tblPr>
        <w:tblStyle w:val="13"/>
        <w:tblW w:w="10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905"/>
        <w:gridCol w:w="5310"/>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bookmarkStart w:id="32" w:name="_Toc14198"/>
            <w:r>
              <w:rPr>
                <w:rFonts w:hint="eastAsia"/>
                <w:color w:val="auto"/>
                <w:szCs w:val="20"/>
                <w:highlight w:val="none"/>
              </w:rPr>
              <w:t>序号</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技术指标项</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招标技术要求值</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投标人保证值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rFonts w:hint="eastAsia"/>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产品型号</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eastAsia="宋体"/>
                <w:color w:val="auto"/>
                <w:szCs w:val="20"/>
                <w:highlight w:val="none"/>
                <w:lang w:val="en-US" w:eastAsia="zh-CN"/>
              </w:rPr>
            </w:pPr>
            <w:r>
              <w:rPr>
                <w:rFonts w:hint="eastAsia"/>
                <w:color w:val="auto"/>
                <w:szCs w:val="20"/>
                <w:highlight w:val="none"/>
                <w:lang w:val="en-US" w:eastAsia="zh-CN"/>
              </w:rPr>
              <w:t>/</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最高输出电压</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ascii="宋体" w:hAnsi="宋体"/>
                <w:color w:val="auto"/>
                <w:highlight w:val="none"/>
              </w:rPr>
              <w:t>≥60kV(峰值)，≥42kV(有效值)</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最低输出电压</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1</w:t>
            </w:r>
            <w:r>
              <w:rPr>
                <w:color w:val="auto"/>
                <w:szCs w:val="20"/>
                <w:highlight w:val="none"/>
              </w:rPr>
              <w:t>000V</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恒流升压电流</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color w:val="auto"/>
                <w:szCs w:val="20"/>
                <w:highlight w:val="none"/>
              </w:rPr>
              <w:t>1</w:t>
            </w:r>
            <w:r>
              <w:rPr>
                <w:rFonts w:hint="eastAsia"/>
                <w:color w:val="auto"/>
                <w:szCs w:val="20"/>
                <w:highlight w:val="none"/>
              </w:rPr>
              <w:t>3.5</w:t>
            </w:r>
            <w:r>
              <w:rPr>
                <w:color w:val="auto"/>
                <w:szCs w:val="20"/>
                <w:highlight w:val="none"/>
              </w:rPr>
              <w:t>mA</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输出电源</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低阻尼振荡波电源，激发放电信号</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测试频率范围</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包含</w:t>
            </w:r>
            <w:r>
              <w:rPr>
                <w:rFonts w:eastAsia="PMingLiU"/>
                <w:color w:val="auto"/>
                <w:szCs w:val="20"/>
                <w:highlight w:val="none"/>
                <w:lang w:eastAsia="zh-TW"/>
              </w:rPr>
              <w:t>2</w:t>
            </w:r>
            <w:r>
              <w:rPr>
                <w:color w:val="auto"/>
                <w:szCs w:val="20"/>
                <w:highlight w:val="none"/>
              </w:rPr>
              <w:t xml:space="preserve">0Hz </w:t>
            </w:r>
            <w:r>
              <w:rPr>
                <w:rFonts w:hint="eastAsia"/>
                <w:color w:val="auto"/>
                <w:szCs w:val="20"/>
                <w:highlight w:val="none"/>
              </w:rPr>
              <w:t>–</w:t>
            </w:r>
            <w:r>
              <w:rPr>
                <w:color w:val="auto"/>
                <w:szCs w:val="20"/>
                <w:highlight w:val="none"/>
              </w:rPr>
              <w:t xml:space="preserve"> </w:t>
            </w:r>
            <w:r>
              <w:rPr>
                <w:rFonts w:hint="eastAsia" w:ascii="宋体" w:hAnsi="宋体"/>
                <w:color w:val="auto"/>
                <w:szCs w:val="20"/>
                <w:highlight w:val="none"/>
              </w:rPr>
              <w:t>10</w:t>
            </w:r>
            <w:r>
              <w:rPr>
                <w:color w:val="auto"/>
                <w:szCs w:val="20"/>
                <w:highlight w:val="none"/>
              </w:rPr>
              <w:t>00Hz</w:t>
            </w:r>
            <w:r>
              <w:rPr>
                <w:rFonts w:hint="eastAsia"/>
                <w:color w:val="auto"/>
                <w:szCs w:val="20"/>
                <w:highlight w:val="none"/>
              </w:rPr>
              <w:t>频段</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测量范围</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最高测量容量5</w:t>
            </w:r>
            <w:r>
              <w:rPr>
                <w:color w:val="auto"/>
                <w:szCs w:val="20"/>
                <w:highlight w:val="none"/>
              </w:rPr>
              <w:t>µF</w:t>
            </w:r>
            <w:r>
              <w:rPr>
                <w:rFonts w:hint="eastAsia"/>
                <w:color w:val="auto"/>
                <w:szCs w:val="20"/>
                <w:highlight w:val="none"/>
              </w:rPr>
              <w:t>；最低测试容量</w:t>
            </w:r>
            <w:r>
              <w:rPr>
                <w:color w:val="auto"/>
                <w:szCs w:val="20"/>
                <w:highlight w:val="none"/>
              </w:rPr>
              <w:t>0.02</w:t>
            </w:r>
            <w:r>
              <w:rPr>
                <w:rFonts w:hint="eastAsia"/>
                <w:color w:val="auto"/>
                <w:szCs w:val="20"/>
                <w:highlight w:val="none"/>
              </w:rPr>
              <w:t>5</w:t>
            </w:r>
            <w:r>
              <w:rPr>
                <w:color w:val="auto"/>
                <w:szCs w:val="20"/>
                <w:highlight w:val="none"/>
              </w:rPr>
              <w:t>µF</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局放量测量范围</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包含</w:t>
            </w:r>
            <w:r>
              <w:rPr>
                <w:color w:val="auto"/>
                <w:szCs w:val="20"/>
                <w:highlight w:val="none"/>
              </w:rPr>
              <w:t xml:space="preserve">1pC </w:t>
            </w:r>
            <w:r>
              <w:rPr>
                <w:rFonts w:hint="eastAsia"/>
                <w:color w:val="auto"/>
                <w:szCs w:val="20"/>
                <w:highlight w:val="none"/>
              </w:rPr>
              <w:t>–</w:t>
            </w:r>
            <w:r>
              <w:rPr>
                <w:color w:val="auto"/>
                <w:szCs w:val="20"/>
                <w:highlight w:val="none"/>
              </w:rPr>
              <w:t xml:space="preserve"> </w:t>
            </w:r>
            <w:r>
              <w:rPr>
                <w:rFonts w:hint="eastAsia"/>
                <w:color w:val="auto"/>
                <w:szCs w:val="20"/>
                <w:highlight w:val="none"/>
              </w:rPr>
              <w:t>2</w:t>
            </w:r>
            <w:r>
              <w:rPr>
                <w:color w:val="auto"/>
                <w:szCs w:val="20"/>
                <w:highlight w:val="none"/>
              </w:rPr>
              <w:t>00nC</w:t>
            </w:r>
            <w:r>
              <w:rPr>
                <w:rFonts w:hint="eastAsia"/>
                <w:color w:val="auto"/>
                <w:szCs w:val="20"/>
                <w:highlight w:val="none"/>
              </w:rPr>
              <w:t>的局放强度</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局放定位带宽</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ascii="PMingLiU" w:hAnsi="PMingLiU"/>
                <w:color w:val="auto"/>
                <w:szCs w:val="20"/>
                <w:highlight w:val="none"/>
              </w:rPr>
            </w:pPr>
            <w:r>
              <w:rPr>
                <w:color w:val="auto"/>
                <w:szCs w:val="20"/>
                <w:highlight w:val="none"/>
              </w:rPr>
              <w:t>150kH</w:t>
            </w:r>
            <w:r>
              <w:rPr>
                <w:rFonts w:eastAsia="PMingLiU"/>
                <w:color w:val="auto"/>
                <w:szCs w:val="20"/>
                <w:highlight w:val="none"/>
                <w:lang w:eastAsia="zh-TW"/>
              </w:rPr>
              <w:t>z----</w:t>
            </w:r>
            <w:r>
              <w:rPr>
                <w:rFonts w:hint="eastAsia"/>
                <w:color w:val="auto"/>
                <w:szCs w:val="20"/>
                <w:highlight w:val="none"/>
              </w:rPr>
              <w:t>50</w:t>
            </w:r>
            <w:r>
              <w:rPr>
                <w:color w:val="auto"/>
                <w:szCs w:val="20"/>
                <w:highlight w:val="none"/>
              </w:rPr>
              <w:t>MHz</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rFonts w:hint="eastAsia"/>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b/>
                <w:bCs/>
                <w:highlight w:val="none"/>
              </w:rPr>
              <w:t>★</w:t>
            </w:r>
            <w:r>
              <w:rPr>
                <w:rFonts w:hint="eastAsia"/>
                <w:color w:val="auto"/>
                <w:szCs w:val="20"/>
                <w:highlight w:val="none"/>
              </w:rPr>
              <w:t>测试电缆电压及长度范围</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满足35</w:t>
            </w:r>
            <w:r>
              <w:rPr>
                <w:color w:val="auto"/>
                <w:szCs w:val="20"/>
                <w:highlight w:val="none"/>
              </w:rPr>
              <w:t>kV</w:t>
            </w:r>
            <w:r>
              <w:rPr>
                <w:rFonts w:hint="eastAsia"/>
                <w:color w:val="auto"/>
                <w:szCs w:val="20"/>
                <w:highlight w:val="none"/>
              </w:rPr>
              <w:t>电力电缆测试</w:t>
            </w:r>
            <w:r>
              <w:rPr>
                <w:rFonts w:hint="eastAsia"/>
                <w:color w:val="auto"/>
                <w:szCs w:val="20"/>
                <w:highlight w:val="none"/>
                <w:lang w:eastAsia="zh-CN"/>
              </w:rPr>
              <w:t>。</w:t>
            </w:r>
            <w:r>
              <w:rPr>
                <w:rFonts w:hint="eastAsia"/>
                <w:color w:val="auto"/>
                <w:szCs w:val="20"/>
                <w:highlight w:val="none"/>
              </w:rPr>
              <w:t>满足高原海拔地区电缆升压流程需求</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b/>
                <w:bCs/>
                <w:color w:val="auto"/>
                <w:szCs w:val="20"/>
                <w:highlight w:val="none"/>
              </w:rPr>
            </w:pPr>
            <w:r>
              <w:rPr>
                <w:rFonts w:hint="eastAsia"/>
                <w:b/>
                <w:bCs/>
                <w:color w:val="auto"/>
                <w:szCs w:val="20"/>
                <w:highlight w:val="none"/>
              </w:rPr>
              <w:t>对电缆的最大测试长度</w:t>
            </w:r>
            <w:r>
              <w:rPr>
                <w:b/>
                <w:bCs/>
                <w:color w:val="auto"/>
                <w:szCs w:val="20"/>
                <w:highlight w:val="none"/>
              </w:rPr>
              <w:t>12km</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可扩展具备双端定位功能</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能对10</w:t>
            </w:r>
            <w:r>
              <w:rPr>
                <w:color w:val="auto"/>
                <w:szCs w:val="20"/>
                <w:highlight w:val="none"/>
              </w:rPr>
              <w:t>0m</w:t>
            </w:r>
            <w:r>
              <w:rPr>
                <w:rFonts w:hint="eastAsia"/>
                <w:color w:val="auto"/>
                <w:szCs w:val="20"/>
                <w:highlight w:val="none"/>
              </w:rPr>
              <w:t>以内的电力电缆进行测试</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测试时，能有效对电缆全距离范围上的局部放电信号进行距离定位</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高压开关</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触发方式：激光触发</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导通时间：小于</w:t>
            </w:r>
            <w:r>
              <w:rPr>
                <w:color w:val="auto"/>
                <w:szCs w:val="20"/>
                <w:highlight w:val="none"/>
              </w:rPr>
              <w:t>1µs</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局放测量精度</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color w:val="auto"/>
                <w:szCs w:val="20"/>
                <w:highlight w:val="none"/>
              </w:rPr>
              <w:t>1pC</w:t>
            </w:r>
            <w:r>
              <w:rPr>
                <w:rFonts w:hint="eastAsia"/>
                <w:color w:val="auto"/>
                <w:szCs w:val="20"/>
                <w:highlight w:val="none"/>
              </w:rPr>
              <w:t>，设备自身局放量小于</w:t>
            </w:r>
            <w:r>
              <w:rPr>
                <w:color w:val="auto"/>
                <w:szCs w:val="20"/>
                <w:highlight w:val="none"/>
              </w:rPr>
              <w:t>1pC</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局放采集卡必须为工业级板卡</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局放定位测量精度</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小于</w:t>
            </w:r>
            <w:r>
              <w:rPr>
                <w:color w:val="auto"/>
                <w:szCs w:val="20"/>
                <w:highlight w:val="none"/>
              </w:rPr>
              <w:t>1m</w:t>
            </w:r>
            <w:r>
              <w:rPr>
                <w:rFonts w:hint="eastAsia"/>
                <w:color w:val="auto"/>
                <w:szCs w:val="20"/>
                <w:highlight w:val="none"/>
              </w:rPr>
              <w:t>，数据显示精度分辨率：</w:t>
            </w:r>
            <w:r>
              <w:rPr>
                <w:color w:val="auto"/>
                <w:szCs w:val="20"/>
                <w:highlight w:val="none"/>
              </w:rPr>
              <w:t>0.1m</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介质损耗测量范围</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包含</w:t>
            </w:r>
            <w:r>
              <w:rPr>
                <w:color w:val="auto"/>
                <w:szCs w:val="20"/>
                <w:highlight w:val="none"/>
              </w:rPr>
              <w:t>0.1 %~</w:t>
            </w:r>
            <w:r>
              <w:rPr>
                <w:rFonts w:hint="eastAsia"/>
                <w:color w:val="auto"/>
                <w:szCs w:val="20"/>
                <w:highlight w:val="none"/>
              </w:rPr>
              <w:t>10</w:t>
            </w:r>
            <w:r>
              <w:rPr>
                <w:color w:val="auto"/>
                <w:szCs w:val="20"/>
                <w:highlight w:val="none"/>
              </w:rPr>
              <w:t xml:space="preserve"> %</w:t>
            </w:r>
            <w:r>
              <w:rPr>
                <w:rFonts w:hint="eastAsia"/>
                <w:color w:val="auto"/>
                <w:szCs w:val="20"/>
                <w:highlight w:val="none"/>
              </w:rPr>
              <w:t>的范围</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收集数据频率</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大于</w:t>
            </w:r>
            <w:r>
              <w:rPr>
                <w:color w:val="auto"/>
                <w:szCs w:val="20"/>
                <w:highlight w:val="none"/>
              </w:rPr>
              <w:t>1</w:t>
            </w:r>
            <w:r>
              <w:rPr>
                <w:rFonts w:hint="eastAsia"/>
                <w:color w:val="auto"/>
                <w:szCs w:val="20"/>
                <w:highlight w:val="none"/>
              </w:rPr>
              <w:t>50</w:t>
            </w:r>
            <w:r>
              <w:rPr>
                <w:color w:val="auto"/>
                <w:szCs w:val="20"/>
                <w:highlight w:val="none"/>
              </w:rPr>
              <w:t>MHz</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16</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内嵌系统控制器</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大于</w:t>
            </w:r>
            <w:r>
              <w:rPr>
                <w:color w:val="auto"/>
                <w:szCs w:val="20"/>
                <w:highlight w:val="none"/>
              </w:rPr>
              <w:t>32GB</w:t>
            </w:r>
            <w:r>
              <w:rPr>
                <w:rFonts w:hint="eastAsia"/>
                <w:color w:val="auto"/>
                <w:szCs w:val="20"/>
                <w:highlight w:val="none"/>
              </w:rPr>
              <w:t>的闪存单元</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17</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color w:val="auto"/>
                <w:szCs w:val="20"/>
                <w:highlight w:val="none"/>
              </w:rPr>
              <w:t>RAM</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大于</w:t>
            </w:r>
            <w:r>
              <w:rPr>
                <w:color w:val="auto"/>
                <w:szCs w:val="20"/>
                <w:highlight w:val="none"/>
              </w:rPr>
              <w:t>2GB</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pacing w:line="360" w:lineRule="auto"/>
              <w:ind w:left="0" w:leftChars="0"/>
              <w:jc w:val="center"/>
              <w:textAlignment w:val="center"/>
              <w:rPr>
                <w:color w:val="auto"/>
                <w:szCs w:val="20"/>
                <w:highlight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b/>
                <w:bCs/>
                <w:highlight w:val="none"/>
              </w:rPr>
              <w:t>★</w:t>
            </w:r>
            <w:r>
              <w:rPr>
                <w:rFonts w:hint="eastAsia"/>
                <w:color w:val="auto"/>
                <w:szCs w:val="20"/>
                <w:highlight w:val="none"/>
              </w:rPr>
              <w:t>局放校准（含TDR测距）</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手动</w:t>
            </w:r>
            <w:r>
              <w:rPr>
                <w:color w:val="auto"/>
                <w:szCs w:val="20"/>
                <w:highlight w:val="none"/>
              </w:rPr>
              <w:t>/</w:t>
            </w:r>
            <w:r>
              <w:rPr>
                <w:rFonts w:hint="eastAsia"/>
                <w:color w:val="auto"/>
                <w:szCs w:val="20"/>
                <w:highlight w:val="none"/>
              </w:rPr>
              <w:t>自动模式校准，高动态校正功能，量程</w:t>
            </w:r>
            <w:r>
              <w:rPr>
                <w:color w:val="auto"/>
                <w:szCs w:val="20"/>
                <w:highlight w:val="none"/>
              </w:rPr>
              <w:t>10000/2000/500/100</w:t>
            </w:r>
            <w:r>
              <w:rPr>
                <w:rFonts w:hint="eastAsia"/>
                <w:color w:val="auto"/>
                <w:szCs w:val="20"/>
                <w:highlight w:val="none"/>
              </w:rPr>
              <w:t>/50/20</w:t>
            </w:r>
            <w:r>
              <w:rPr>
                <w:color w:val="auto"/>
                <w:szCs w:val="20"/>
                <w:highlight w:val="none"/>
              </w:rPr>
              <w:t>pC</w:t>
            </w:r>
            <w:r>
              <w:rPr>
                <w:rFonts w:hint="eastAsia"/>
                <w:color w:val="auto"/>
                <w:szCs w:val="20"/>
                <w:highlight w:val="none"/>
              </w:rPr>
              <w:t>既可保证测试精度，可单次完成校准具备阻尼振荡</w:t>
            </w:r>
            <w:r>
              <w:rPr>
                <w:color w:val="auto"/>
                <w:szCs w:val="20"/>
                <w:highlight w:val="none"/>
              </w:rPr>
              <w:t>DAC</w:t>
            </w:r>
            <w:r>
              <w:rPr>
                <w:rFonts w:hint="eastAsia"/>
                <w:color w:val="auto"/>
                <w:szCs w:val="20"/>
                <w:highlight w:val="none"/>
              </w:rPr>
              <w:t>曲线自动校正功能</w:t>
            </w:r>
            <w:r>
              <w:rPr>
                <w:color w:val="auto"/>
                <w:szCs w:val="20"/>
                <w:highlight w:val="none"/>
              </w:rPr>
              <w:t xml:space="preserve"> </w:t>
            </w:r>
            <w:r>
              <w:rPr>
                <w:rFonts w:hint="eastAsia"/>
                <w:color w:val="auto"/>
                <w:szCs w:val="20"/>
                <w:highlight w:val="none"/>
              </w:rPr>
              <w:t>采用低压脉冲法，可准确测量电缆长度和校准接头位置</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测量范围：</w:t>
            </w:r>
            <w:r>
              <w:rPr>
                <w:color w:val="auto"/>
                <w:szCs w:val="20"/>
                <w:highlight w:val="none"/>
              </w:rPr>
              <w:t>0</w:t>
            </w:r>
            <w:r>
              <w:rPr>
                <w:rFonts w:hint="eastAsia"/>
                <w:color w:val="auto"/>
                <w:szCs w:val="20"/>
                <w:highlight w:val="none"/>
              </w:rPr>
              <w:t>～12</w:t>
            </w:r>
            <w:r>
              <w:rPr>
                <w:color w:val="auto"/>
                <w:szCs w:val="20"/>
                <w:highlight w:val="none"/>
              </w:rPr>
              <w:t>km</w:t>
            </w:r>
            <w:r>
              <w:rPr>
                <w:rFonts w:hint="eastAsia"/>
                <w:color w:val="auto"/>
                <w:szCs w:val="20"/>
                <w:highlight w:val="none"/>
              </w:rPr>
              <w:t>，测量精度小于0.1米，误差取决于电缆介质的波传播速度</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5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21</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color w:val="auto"/>
                <w:szCs w:val="20"/>
                <w:highlight w:val="none"/>
              </w:rPr>
              <w:t>PD</w:t>
            </w:r>
            <w:r>
              <w:rPr>
                <w:rFonts w:hint="eastAsia"/>
                <w:color w:val="auto"/>
                <w:szCs w:val="20"/>
                <w:highlight w:val="none"/>
              </w:rPr>
              <w:t>测量带宽</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符合</w:t>
            </w:r>
            <w:r>
              <w:rPr>
                <w:color w:val="auto"/>
                <w:szCs w:val="20"/>
                <w:highlight w:val="none"/>
              </w:rPr>
              <w:t>IEC60270</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5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22</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测控主机</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移动式笔记本电脑，操作软件界面可实时展开并定位局放信号</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可以同步分析同一待测电缆历史测试数据</w:t>
            </w:r>
            <w:r>
              <w:rPr>
                <w:color w:val="auto"/>
                <w:szCs w:val="20"/>
                <w:highlight w:val="none"/>
              </w:rPr>
              <w:t xml:space="preserve"> </w:t>
            </w:r>
            <w:r>
              <w:rPr>
                <w:rFonts w:hint="eastAsia"/>
                <w:color w:val="auto"/>
                <w:szCs w:val="20"/>
                <w:highlight w:val="none"/>
              </w:rPr>
              <w:t>，进行数据比对</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54" w:type="dxa"/>
            <w:vMerge w:val="restart"/>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color w:val="auto"/>
                <w:szCs w:val="20"/>
                <w:highlight w:val="none"/>
              </w:rPr>
              <w:t>2</w:t>
            </w:r>
            <w:r>
              <w:rPr>
                <w:rFonts w:hint="eastAsia"/>
                <w:color w:val="auto"/>
                <w:szCs w:val="20"/>
                <w:highlight w:val="none"/>
              </w:rPr>
              <w:t>3</w:t>
            </w:r>
          </w:p>
        </w:tc>
        <w:tc>
          <w:tcPr>
            <w:tcW w:w="1905" w:type="dxa"/>
            <w:vMerge w:val="restart"/>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*操作软件</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autoSpaceDE/>
              <w:autoSpaceDN/>
              <w:bidi w:val="0"/>
              <w:adjustRightInd/>
              <w:snapToGrid w:val="0"/>
              <w:spacing w:line="360" w:lineRule="auto"/>
              <w:ind w:left="0" w:leftChars="0" w:firstLine="0" w:firstLineChars="0"/>
              <w:jc w:val="both"/>
              <w:textAlignment w:val="auto"/>
              <w:rPr>
                <w:color w:val="auto"/>
                <w:szCs w:val="20"/>
                <w:highlight w:val="none"/>
              </w:rPr>
            </w:pPr>
            <w:r>
              <w:rPr>
                <w:rFonts w:hint="eastAsia"/>
                <w:color w:val="auto"/>
                <w:szCs w:val="20"/>
                <w:highlight w:val="none"/>
              </w:rPr>
              <w:t>中文界面，操作界面实时显示升压波形及放电脉冲信号，软件须具备</w:t>
            </w:r>
            <w:r>
              <w:rPr>
                <w:color w:val="auto"/>
                <w:szCs w:val="20"/>
                <w:highlight w:val="none"/>
              </w:rPr>
              <w:t xml:space="preserve">VLF </w:t>
            </w:r>
            <w:r>
              <w:rPr>
                <w:rFonts w:hint="eastAsia"/>
                <w:color w:val="auto"/>
                <w:szCs w:val="20"/>
                <w:highlight w:val="none"/>
              </w:rPr>
              <w:t>/</w:t>
            </w:r>
            <w:r>
              <w:rPr>
                <w:color w:val="auto"/>
                <w:szCs w:val="20"/>
                <w:highlight w:val="none"/>
              </w:rPr>
              <w:t>DS/DAC</w:t>
            </w:r>
            <w:r>
              <w:rPr>
                <w:rFonts w:hint="eastAsia"/>
                <w:color w:val="auto"/>
                <w:szCs w:val="20"/>
                <w:highlight w:val="none"/>
              </w:rPr>
              <w:t>三合一功能</w:t>
            </w:r>
          </w:p>
        </w:tc>
        <w:tc>
          <w:tcPr>
            <w:tcW w:w="2230" w:type="dxa"/>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autoSpaceDE/>
              <w:autoSpaceDN/>
              <w:bidi w:val="0"/>
              <w:adjustRightInd/>
              <w:snapToGrid w:val="0"/>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*设备分析软件可以无限联机,不需密码狗,任意工作</w:t>
            </w:r>
            <w:r>
              <w:rPr>
                <w:color w:val="auto"/>
                <w:szCs w:val="20"/>
                <w:highlight w:val="none"/>
              </w:rPr>
              <w:t>电脑</w:t>
            </w:r>
            <w:r>
              <w:rPr>
                <w:rFonts w:hint="eastAsia"/>
                <w:color w:val="auto"/>
                <w:szCs w:val="20"/>
                <w:highlight w:val="none"/>
              </w:rPr>
              <w:t>均</w:t>
            </w:r>
            <w:r>
              <w:rPr>
                <w:color w:val="auto"/>
                <w:szCs w:val="20"/>
                <w:highlight w:val="none"/>
              </w:rPr>
              <w:t>可</w:t>
            </w:r>
            <w:r>
              <w:rPr>
                <w:rFonts w:hint="eastAsia"/>
                <w:color w:val="auto"/>
                <w:szCs w:val="20"/>
                <w:highlight w:val="none"/>
              </w:rPr>
              <w:t>免费使用和升级</w:t>
            </w:r>
          </w:p>
        </w:tc>
        <w:tc>
          <w:tcPr>
            <w:tcW w:w="2230" w:type="dxa"/>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autoSpaceDE/>
              <w:autoSpaceDN/>
              <w:bidi w:val="0"/>
              <w:adjustRightInd/>
              <w:snapToGrid w:val="0"/>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可以用户设定测量程序，实现一键自动升压测量，内置标准加压序列</w:t>
            </w:r>
            <w:r>
              <w:rPr>
                <w:color w:val="auto"/>
                <w:szCs w:val="20"/>
                <w:highlight w:val="none"/>
              </w:rPr>
              <w:t xml:space="preserve"> </w:t>
            </w:r>
          </w:p>
        </w:tc>
        <w:tc>
          <w:tcPr>
            <w:tcW w:w="2230" w:type="dxa"/>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autoSpaceDE/>
              <w:autoSpaceDN/>
              <w:bidi w:val="0"/>
              <w:adjustRightInd/>
              <w:snapToGrid w:val="0"/>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设备分析软件可以无限联机,不需密码狗,任意工作</w:t>
            </w:r>
            <w:r>
              <w:rPr>
                <w:color w:val="auto"/>
                <w:szCs w:val="20"/>
                <w:highlight w:val="none"/>
              </w:rPr>
              <w:t>电脑</w:t>
            </w:r>
            <w:r>
              <w:rPr>
                <w:rFonts w:hint="eastAsia"/>
                <w:color w:val="auto"/>
                <w:szCs w:val="20"/>
                <w:highlight w:val="none"/>
              </w:rPr>
              <w:t>均</w:t>
            </w:r>
            <w:r>
              <w:rPr>
                <w:color w:val="auto"/>
                <w:szCs w:val="20"/>
                <w:highlight w:val="none"/>
              </w:rPr>
              <w:t>可</w:t>
            </w:r>
            <w:r>
              <w:rPr>
                <w:rFonts w:hint="eastAsia"/>
                <w:color w:val="auto"/>
                <w:szCs w:val="20"/>
                <w:highlight w:val="none"/>
              </w:rPr>
              <w:t>免费使用和升级</w:t>
            </w:r>
          </w:p>
        </w:tc>
        <w:tc>
          <w:tcPr>
            <w:tcW w:w="2230" w:type="dxa"/>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测量功能</w:t>
            </w:r>
            <w:r>
              <w:rPr>
                <w:color w:val="auto"/>
                <w:szCs w:val="20"/>
                <w:highlight w:val="none"/>
              </w:rPr>
              <w:t>和分析</w:t>
            </w:r>
            <w:r>
              <w:rPr>
                <w:rFonts w:hint="eastAsia"/>
                <w:color w:val="auto"/>
                <w:szCs w:val="20"/>
                <w:highlight w:val="none"/>
              </w:rPr>
              <w:t>功能在一套软件内</w:t>
            </w:r>
            <w:r>
              <w:rPr>
                <w:color w:val="auto"/>
                <w:szCs w:val="20"/>
                <w:highlight w:val="none"/>
              </w:rPr>
              <w:t>，测量和</w:t>
            </w:r>
            <w:r>
              <w:rPr>
                <w:rFonts w:hint="eastAsia"/>
                <w:color w:val="auto"/>
                <w:szCs w:val="20"/>
                <w:highlight w:val="none"/>
              </w:rPr>
              <w:t>分析必须可以同时</w:t>
            </w:r>
            <w:r>
              <w:rPr>
                <w:color w:val="auto"/>
                <w:szCs w:val="20"/>
                <w:highlight w:val="none"/>
              </w:rPr>
              <w:t>进行</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autoSpaceDE/>
              <w:autoSpaceDN/>
              <w:bidi w:val="0"/>
              <w:adjustRightInd/>
              <w:snapToGrid w:val="0"/>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*具备小波降噪顺序选项选择，具备38个不同类型筛选顺序选择</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54"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autoSpaceDE/>
              <w:autoSpaceDN/>
              <w:bidi w:val="0"/>
              <w:adjustRightInd/>
              <w:snapToGrid w:val="0"/>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*高级设置可选择反射排序顺序，具备按位置排序及拍摄索引排序选择</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654" w:type="dxa"/>
            <w:vMerge w:val="restart"/>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color w:val="auto"/>
                <w:szCs w:val="20"/>
                <w:highlight w:val="none"/>
              </w:rPr>
              <w:t>2</w:t>
            </w:r>
            <w:r>
              <w:rPr>
                <w:rFonts w:hint="eastAsia"/>
                <w:color w:val="auto"/>
                <w:szCs w:val="20"/>
                <w:highlight w:val="none"/>
              </w:rPr>
              <w:t>4</w:t>
            </w:r>
          </w:p>
        </w:tc>
        <w:tc>
          <w:tcPr>
            <w:tcW w:w="1905" w:type="dxa"/>
            <w:vMerge w:val="restart"/>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分析软件</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兼容测试数据包括综合浏览、过程、分析和报告，</w:t>
            </w:r>
            <w:r>
              <w:rPr>
                <w:rFonts w:hint="eastAsia" w:ascii="宋体" w:hAnsi="宋体"/>
                <w:color w:val="auto"/>
                <w:szCs w:val="21"/>
                <w:highlight w:val="none"/>
              </w:rPr>
              <w:t>一键自动自动生成报告，</w:t>
            </w:r>
            <w:r>
              <w:rPr>
                <w:rFonts w:hint="eastAsia"/>
                <w:color w:val="auto"/>
                <w:szCs w:val="20"/>
                <w:highlight w:val="none"/>
              </w:rPr>
              <w:t>带操作平台的电缆振荡波数据分析系统软件，功能完善，中文操作界面，可免费升级。具备对测试数据的浏览、检索、周期管理、统计分析等基本功能</w:t>
            </w:r>
          </w:p>
        </w:tc>
        <w:tc>
          <w:tcPr>
            <w:tcW w:w="2230" w:type="dxa"/>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分析软件可以兼容市场上进口主流产品的测试数据M</w:t>
            </w:r>
          </w:p>
        </w:tc>
        <w:tc>
          <w:tcPr>
            <w:tcW w:w="2230" w:type="dxa"/>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*必须具备双端定位功能(软件标准配置)</w:t>
            </w:r>
          </w:p>
        </w:tc>
        <w:tc>
          <w:tcPr>
            <w:tcW w:w="2230" w:type="dxa"/>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*至少选择5个测量区间开窗分析</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*补偿电容支持外置测量阻抗,以消除测试导线对定位误差的影响</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*测试信号深度可以在2-10范围内自由选择</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*必须具备阻尼故障曲线校正功能</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*测量功能和分析功能在一套软件内，测量和分析必须可以同时进行。</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*分析反射界面具备过滤器选项，可设置对应电压进行分析及筛选</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*分析界面可选择最低触发水平进度幅值0%-100%选择；</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*具备峰值显著度功能区间选择，可设置1%-100%；</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*具备噪声时间检测筛选功能，可选择严格、标准及宽松三个选项；</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p>
        </w:tc>
        <w:tc>
          <w:tcPr>
            <w:tcW w:w="1905"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*分析设置界面具备高阶设置，能够设置消除信号失真选项；</w:t>
            </w:r>
          </w:p>
        </w:tc>
        <w:tc>
          <w:tcPr>
            <w:tcW w:w="2230" w:type="dxa"/>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65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color w:val="auto"/>
                <w:szCs w:val="20"/>
                <w:highlight w:val="none"/>
              </w:rPr>
              <w:t>2</w:t>
            </w:r>
            <w:r>
              <w:rPr>
                <w:rFonts w:hint="eastAsia"/>
                <w:color w:val="auto"/>
                <w:szCs w:val="20"/>
                <w:highlight w:val="none"/>
              </w:rPr>
              <w:t>5</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供电电源</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单相，输入电压为</w:t>
            </w:r>
            <w:r>
              <w:rPr>
                <w:color w:val="auto"/>
                <w:szCs w:val="20"/>
                <w:highlight w:val="none"/>
              </w:rPr>
              <w:t>220V</w:t>
            </w:r>
            <w:r>
              <w:rPr>
                <w:rFonts w:hint="eastAsia"/>
                <w:color w:val="auto"/>
                <w:szCs w:val="20"/>
                <w:highlight w:val="none"/>
              </w:rPr>
              <w:t>，输入频率范围包含</w:t>
            </w:r>
            <w:r>
              <w:rPr>
                <w:color w:val="auto"/>
                <w:szCs w:val="20"/>
                <w:highlight w:val="none"/>
              </w:rPr>
              <w:t>45-65Hz</w:t>
            </w:r>
            <w:r>
              <w:rPr>
                <w:rFonts w:hint="eastAsia"/>
                <w:color w:val="auto"/>
                <w:szCs w:val="20"/>
                <w:highlight w:val="none"/>
              </w:rPr>
              <w:t>的频率值，电源设计防止冲击电压或电压闪变对仪器的影响的保护电路</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trPr>
        <w:tc>
          <w:tcPr>
            <w:tcW w:w="65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color w:val="auto"/>
                <w:szCs w:val="20"/>
                <w:highlight w:val="none"/>
              </w:rPr>
              <w:t>2</w:t>
            </w:r>
            <w:r>
              <w:rPr>
                <w:rFonts w:hint="eastAsia"/>
                <w:color w:val="auto"/>
                <w:szCs w:val="20"/>
                <w:highlight w:val="none"/>
              </w:rPr>
              <w:t>6</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仪器机械要求</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仪器的设计和结构正常条件下使用，不引起任何危险，铭牌标志清晰，仪器内所有器件均具有阻燃、防紫外线、防潮、防霉、防锈、防雷、防老化等性能D。</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外壳完好，封印螺丝齐全，铭牌清晰，标志符合要求，密封性良好，机械稳固性能适应长途交通运输的使用环境</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设备必须具备自干燥系统，以避免潮湿气候引起的仪器内部干扰J</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trPr>
        <w:tc>
          <w:tcPr>
            <w:tcW w:w="65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27</w:t>
            </w:r>
          </w:p>
        </w:tc>
        <w:tc>
          <w:tcPr>
            <w:tcW w:w="1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ascii="宋体" w:hAnsi="宋体" w:cs="Arial"/>
                <w:color w:val="auto"/>
                <w:sz w:val="24"/>
                <w:highlight w:val="none"/>
              </w:rPr>
              <w:t>电磁</w:t>
            </w:r>
            <w:r>
              <w:rPr>
                <w:rFonts w:hint="eastAsia" w:ascii="宋体" w:hAnsi="宋体" w:cs="Arial"/>
                <w:color w:val="auto"/>
                <w:szCs w:val="21"/>
                <w:highlight w:val="none"/>
              </w:rPr>
              <w:t>兼容性</w:t>
            </w:r>
          </w:p>
        </w:tc>
        <w:tc>
          <w:tcPr>
            <w:tcW w:w="53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1.静电放电抗扰度</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应能承受</w:t>
            </w:r>
            <w:r>
              <w:rPr>
                <w:color w:val="auto"/>
                <w:szCs w:val="20"/>
                <w:highlight w:val="none"/>
              </w:rPr>
              <w:t xml:space="preserve"> GB/T 17626.2 </w:t>
            </w:r>
            <w:r>
              <w:rPr>
                <w:rFonts w:hint="eastAsia"/>
                <w:color w:val="auto"/>
                <w:szCs w:val="20"/>
                <w:highlight w:val="none"/>
              </w:rPr>
              <w:t>规定的严酷等级为</w:t>
            </w:r>
            <w:r>
              <w:rPr>
                <w:color w:val="auto"/>
                <w:szCs w:val="20"/>
                <w:highlight w:val="none"/>
              </w:rPr>
              <w:t>4</w:t>
            </w:r>
            <w:r>
              <w:rPr>
                <w:rFonts w:hint="eastAsia"/>
                <w:color w:val="auto"/>
                <w:szCs w:val="20"/>
                <w:highlight w:val="none"/>
              </w:rPr>
              <w:t>级的静电放电干扰。</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2.射频电磁场辐射抗扰度</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应能承受</w:t>
            </w:r>
            <w:r>
              <w:rPr>
                <w:color w:val="auto"/>
                <w:szCs w:val="20"/>
                <w:highlight w:val="none"/>
              </w:rPr>
              <w:t xml:space="preserve"> GB/T 17626.3 </w:t>
            </w:r>
            <w:r>
              <w:rPr>
                <w:rFonts w:hint="eastAsia"/>
                <w:color w:val="auto"/>
                <w:szCs w:val="20"/>
                <w:highlight w:val="none"/>
              </w:rPr>
              <w:t>规定的严酷等级为</w:t>
            </w:r>
            <w:r>
              <w:rPr>
                <w:color w:val="auto"/>
                <w:szCs w:val="20"/>
                <w:highlight w:val="none"/>
              </w:rPr>
              <w:t>3</w:t>
            </w:r>
            <w:r>
              <w:rPr>
                <w:rFonts w:hint="eastAsia"/>
                <w:color w:val="auto"/>
                <w:szCs w:val="20"/>
                <w:highlight w:val="none"/>
              </w:rPr>
              <w:t>级的射频电磁场辐射干扰。</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color w:val="auto"/>
                <w:szCs w:val="20"/>
                <w:highlight w:val="none"/>
              </w:rPr>
            </w:pPr>
            <w:r>
              <w:rPr>
                <w:rFonts w:hint="eastAsia"/>
                <w:color w:val="auto"/>
                <w:szCs w:val="20"/>
                <w:highlight w:val="none"/>
              </w:rPr>
              <w:t>3.工频磁场抗扰度</w:t>
            </w:r>
          </w:p>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r>
              <w:rPr>
                <w:rFonts w:hint="eastAsia"/>
                <w:color w:val="auto"/>
                <w:szCs w:val="20"/>
                <w:highlight w:val="none"/>
              </w:rPr>
              <w:t>应能承受</w:t>
            </w:r>
            <w:r>
              <w:rPr>
                <w:color w:val="auto"/>
                <w:szCs w:val="20"/>
                <w:highlight w:val="none"/>
              </w:rPr>
              <w:t xml:space="preserve"> GB/T 17626.8 </w:t>
            </w:r>
            <w:r>
              <w:rPr>
                <w:rFonts w:hint="eastAsia"/>
                <w:color w:val="auto"/>
                <w:szCs w:val="20"/>
                <w:highlight w:val="none"/>
              </w:rPr>
              <w:t>规定的严酷等级为</w:t>
            </w:r>
            <w:r>
              <w:rPr>
                <w:color w:val="auto"/>
                <w:szCs w:val="20"/>
                <w:highlight w:val="none"/>
              </w:rPr>
              <w:t>5</w:t>
            </w:r>
            <w:r>
              <w:rPr>
                <w:rFonts w:hint="eastAsia"/>
                <w:color w:val="auto"/>
                <w:szCs w:val="20"/>
                <w:highlight w:val="none"/>
              </w:rPr>
              <w:t>级的工频磁场干扰</w:t>
            </w:r>
          </w:p>
        </w:tc>
        <w:tc>
          <w:tcPr>
            <w:tcW w:w="22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autoSpaceDE/>
              <w:autoSpaceDN/>
              <w:bidi w:val="0"/>
              <w:adjustRightInd/>
              <w:spacing w:line="360" w:lineRule="auto"/>
              <w:ind w:left="0" w:leftChars="0" w:firstLine="0" w:firstLineChars="0"/>
              <w:jc w:val="both"/>
              <w:textAlignment w:val="auto"/>
              <w:rPr>
                <w:rFonts w:hint="eastAsia"/>
                <w:color w:val="auto"/>
                <w:szCs w:val="20"/>
                <w:highlight w:val="none"/>
              </w:rPr>
            </w:pPr>
            <w:bookmarkStart w:id="40" w:name="_GoBack"/>
            <w:r>
              <w:rPr>
                <w:rFonts w:hint="eastAsia" w:ascii="宋体" w:hAnsi="宋体" w:eastAsia="宋体" w:cs="宋体"/>
                <w:color w:val="auto"/>
                <w:szCs w:val="20"/>
                <w:highlight w:val="none"/>
              </w:rPr>
              <w:t>（投标人填写）</w:t>
            </w:r>
            <w:bookmarkEnd w:id="40"/>
          </w:p>
        </w:tc>
      </w:tr>
    </w:tbl>
    <w:p>
      <w:pPr>
        <w:pStyle w:val="2"/>
        <w:bidi w:val="0"/>
        <w:rPr>
          <w:rFonts w:cs="宋体"/>
          <w:spacing w:val="1"/>
          <w:highlight w:val="none"/>
        </w:rPr>
      </w:pPr>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b/>
          <w:bCs/>
          <w:sz w:val="24"/>
          <w:szCs w:val="24"/>
          <w:highlight w:val="none"/>
        </w:rPr>
        <w:t>本标书采购设备</w:t>
      </w:r>
      <w:r>
        <w:rPr>
          <w:rFonts w:ascii="宋体" w:hAnsi="宋体" w:eastAsia="宋体" w:cs="Times New Roman"/>
          <w:b/>
          <w:bCs/>
          <w:sz w:val="24"/>
          <w:szCs w:val="24"/>
          <w:highlight w:val="none"/>
        </w:rPr>
        <w:t>应进行现场交接试验</w:t>
      </w:r>
      <w:r>
        <w:rPr>
          <w:rFonts w:hint="eastAsia" w:ascii="宋体" w:hAnsi="宋体" w:eastAsia="宋体" w:cs="Times New Roman"/>
          <w:b/>
          <w:bCs/>
          <w:sz w:val="24"/>
          <w:szCs w:val="24"/>
          <w:highlight w:val="none"/>
        </w:rPr>
        <w:t>和功能</w:t>
      </w:r>
      <w:r>
        <w:rPr>
          <w:rFonts w:hint="eastAsia" w:ascii="宋体" w:hAnsi="宋体" w:eastAsia="宋体" w:cs="Times New Roman"/>
          <w:b/>
          <w:bCs/>
          <w:sz w:val="24"/>
          <w:szCs w:val="24"/>
          <w:highlight w:val="none"/>
          <w:lang w:val="en-US" w:eastAsia="zh-CN"/>
        </w:rPr>
        <w:t>性</w:t>
      </w:r>
      <w:r>
        <w:rPr>
          <w:rFonts w:hint="eastAsia" w:ascii="宋体" w:hAnsi="宋体" w:eastAsia="宋体" w:cs="Times New Roman"/>
          <w:b/>
          <w:bCs/>
          <w:sz w:val="24"/>
          <w:szCs w:val="24"/>
          <w:highlight w:val="none"/>
        </w:rPr>
        <w:t>验收</w:t>
      </w:r>
      <w:r>
        <w:rPr>
          <w:rFonts w:ascii="宋体" w:hAnsi="宋体" w:eastAsia="宋体" w:cs="Times New Roman"/>
          <w:b/>
          <w:bCs/>
          <w:sz w:val="24"/>
          <w:szCs w:val="24"/>
          <w:highlight w:val="none"/>
        </w:rPr>
        <w:t>。</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numPr>
          <w:ilvl w:val="0"/>
          <w:numId w:val="3"/>
        </w:numPr>
        <w:bidi w:val="0"/>
        <w:rPr>
          <w:rFonts w:hint="eastAsia"/>
          <w:highlight w:val="none"/>
        </w:rPr>
      </w:pPr>
      <w:bookmarkStart w:id="35" w:name="_Toc25792"/>
      <w:r>
        <w:rPr>
          <w:rFonts w:hint="eastAsia"/>
          <w:highlight w:val="none"/>
        </w:rPr>
        <w:t>供货范围清单</w:t>
      </w:r>
      <w:bookmarkEnd w:id="35"/>
    </w:p>
    <w:tbl>
      <w:tblPr>
        <w:tblStyle w:val="13"/>
        <w:tblW w:w="101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3"/>
        <w:gridCol w:w="2850"/>
        <w:gridCol w:w="825"/>
        <w:gridCol w:w="2655"/>
        <w:gridCol w:w="819"/>
        <w:gridCol w:w="21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序号</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名称</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单位</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规格</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数量</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宋体" w:hAnsi="宋体" w:eastAsia="宋体" w:cs="宋体"/>
                <w:color w:val="000000"/>
                <w:szCs w:val="21"/>
                <w:highlight w:val="none"/>
                <w:lang w:val="en-US" w:eastAsia="zh-CN"/>
              </w:rPr>
            </w:pPr>
            <w:r>
              <w:rPr>
                <w:rFonts w:hint="eastAsia" w:cs="宋体"/>
                <w:color w:val="000000"/>
                <w:szCs w:val="21"/>
                <w:highlight w:val="none"/>
                <w:lang w:val="en-US" w:eastAsia="zh-CN"/>
              </w:rPr>
              <w:t>投标人响应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1</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宋体" w:hAnsi="宋体" w:cs="宋体"/>
                <w:b/>
                <w:sz w:val="24"/>
                <w:highlight w:val="none"/>
              </w:rPr>
            </w:pPr>
            <w:r>
              <w:rPr>
                <w:rFonts w:hint="eastAsia" w:ascii="宋体" w:hAnsi="宋体" w:cs="Arial"/>
                <w:b/>
                <w:sz w:val="24"/>
                <w:highlight w:val="none"/>
              </w:rPr>
              <w:t>35kV电缆振荡波局放测试系统</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val="en-US" w:eastAsia="zh-CN"/>
              </w:rPr>
            </w:pPr>
            <w:r>
              <w:rPr>
                <w:rFonts w:hint="eastAsia" w:cs="宋体"/>
                <w:color w:val="000000"/>
                <w:szCs w:val="21"/>
                <w:highlight w:val="none"/>
                <w:lang w:val="en-US" w:eastAsia="zh-CN"/>
              </w:rPr>
              <w:t>/</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2</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宋体" w:hAnsi="宋体" w:cs="宋体"/>
                <w:color w:val="000000"/>
                <w:szCs w:val="21"/>
                <w:highlight w:val="none"/>
              </w:rPr>
            </w:pPr>
            <w:r>
              <w:rPr>
                <w:rFonts w:hint="eastAsia" w:ascii="Arial" w:hAnsi="Arial"/>
                <w:color w:val="000000"/>
                <w:szCs w:val="21"/>
                <w:highlight w:val="none"/>
              </w:rPr>
              <w:t>35kV电缆振荡波局放检测与诊断系统</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3</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Arial" w:hAnsi="Arial"/>
                <w:color w:val="000000"/>
                <w:szCs w:val="21"/>
                <w:highlight w:val="none"/>
              </w:rPr>
            </w:pPr>
            <w:r>
              <w:rPr>
                <w:rFonts w:hint="eastAsia" w:ascii="Arial" w:hAnsi="Arial"/>
                <w:color w:val="000000"/>
                <w:szCs w:val="21"/>
                <w:highlight w:val="none"/>
              </w:rPr>
              <w:t>高压单元</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台</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4</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highlight w:val="none"/>
              </w:rPr>
            </w:pPr>
            <w:r>
              <w:rPr>
                <w:rFonts w:hint="eastAsia"/>
                <w:highlight w:val="none"/>
              </w:rPr>
              <w:t>笔记本电脑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台</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Arial" w:hAnsi="Arial"/>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5</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Arial" w:hAnsi="Arial"/>
                <w:color w:val="000000"/>
                <w:szCs w:val="21"/>
                <w:highlight w:val="none"/>
              </w:rPr>
            </w:pPr>
            <w:r>
              <w:rPr>
                <w:rFonts w:hint="eastAsia" w:ascii="Arial" w:hAnsi="Arial"/>
                <w:color w:val="000000"/>
                <w:szCs w:val="21"/>
                <w:highlight w:val="none"/>
              </w:rPr>
              <w:t>高压开关安全盒</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个</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Arial" w:hAnsi="Arial"/>
                <w:color w:val="000000"/>
                <w:szCs w:val="21"/>
                <w:highlight w:val="none"/>
              </w:rPr>
              <w:t>含有紧急制动按钮和运行指示灯，满足上述所有功能需求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6</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cs="宋体"/>
                <w:color w:val="000000"/>
                <w:szCs w:val="21"/>
                <w:highlight w:val="none"/>
              </w:rPr>
            </w:pPr>
            <w:r>
              <w:rPr>
                <w:rFonts w:hint="eastAsia" w:ascii="宋体" w:hAnsi="宋体" w:cs="Arial"/>
                <w:color w:val="000000"/>
                <w:szCs w:val="21"/>
                <w:highlight w:val="none"/>
              </w:rPr>
              <w:t>测试分析一体化软件</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台</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不限人数使用，满足上述所有功能需求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7</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宋体" w:hAnsi="宋体" w:cs="宋体"/>
                <w:color w:val="000000"/>
                <w:szCs w:val="21"/>
                <w:highlight w:val="none"/>
              </w:rPr>
            </w:pPr>
            <w:r>
              <w:rPr>
                <w:rFonts w:hint="eastAsia" w:ascii="Arial" w:hAnsi="Arial"/>
                <w:color w:val="000000"/>
                <w:szCs w:val="21"/>
                <w:highlight w:val="none"/>
              </w:rPr>
              <w:t>局放校准器</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台</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8</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宋体" w:hAnsi="宋体" w:cs="宋体"/>
                <w:color w:val="000000"/>
                <w:szCs w:val="21"/>
                <w:highlight w:val="none"/>
              </w:rPr>
            </w:pPr>
            <w:r>
              <w:rPr>
                <w:rFonts w:hint="eastAsia" w:ascii="Arial" w:hAnsi="Arial"/>
                <w:color w:val="000000"/>
                <w:szCs w:val="21"/>
                <w:highlight w:val="none"/>
              </w:rPr>
              <w:t>无局放高压连接线、电源线和接地线</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hint="eastAsia" w:ascii="宋体" w:hAnsi="宋体"/>
                <w:bCs/>
                <w:color w:val="000000"/>
                <w:szCs w:val="21"/>
                <w:highlight w:val="none"/>
              </w:rPr>
            </w:pPr>
            <w:r>
              <w:rPr>
                <w:rFonts w:hint="eastAsia" w:ascii="宋体" w:hAnsi="宋体"/>
                <w:bCs/>
                <w:color w:val="000000"/>
                <w:szCs w:val="21"/>
                <w:highlight w:val="none"/>
              </w:rPr>
              <w:t>7.5</w:t>
            </w:r>
            <w:r>
              <w:rPr>
                <w:rFonts w:ascii="宋体" w:hAnsi="宋体"/>
                <w:bCs/>
                <w:color w:val="000000"/>
                <w:szCs w:val="21"/>
                <w:highlight w:val="none"/>
              </w:rPr>
              <w:t>m</w:t>
            </w:r>
            <w:r>
              <w:rPr>
                <w:rFonts w:hint="eastAsia" w:ascii="宋体" w:hAnsi="宋体"/>
                <w:bCs/>
                <w:color w:val="000000"/>
                <w:szCs w:val="21"/>
                <w:highlight w:val="none"/>
              </w:rPr>
              <w:t>高压</w:t>
            </w:r>
            <w:r>
              <w:rPr>
                <w:rFonts w:ascii="宋体" w:hAnsi="宋体"/>
                <w:bCs/>
                <w:color w:val="000000"/>
                <w:szCs w:val="21"/>
                <w:highlight w:val="none"/>
              </w:rPr>
              <w:t>连接</w:t>
            </w:r>
            <w:r>
              <w:rPr>
                <w:rFonts w:hint="eastAsia" w:ascii="宋体" w:hAnsi="宋体"/>
                <w:bCs/>
                <w:color w:val="000000"/>
                <w:szCs w:val="21"/>
                <w:highlight w:val="none"/>
              </w:rPr>
              <w:t>电缆</w:t>
            </w:r>
          </w:p>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2m电源线</w:t>
            </w:r>
          </w:p>
          <w:p>
            <w:pPr>
              <w:keepNext w:val="0"/>
              <w:keepLines w:val="0"/>
              <w:pageBreakBefore w:val="0"/>
              <w:kinsoku/>
              <w:wordWrap/>
              <w:overflowPunct/>
              <w:topLinePunct w:val="0"/>
              <w:bidi w:val="0"/>
              <w:snapToGrid/>
              <w:spacing w:line="240" w:lineRule="auto"/>
              <w:ind w:left="0" w:leftChars="0" w:firstLine="0" w:firstLineChars="0"/>
              <w:textAlignment w:val="auto"/>
              <w:rPr>
                <w:rFonts w:hint="eastAsia" w:ascii="宋体" w:hAnsi="宋体"/>
                <w:bCs/>
                <w:color w:val="000000"/>
                <w:szCs w:val="21"/>
                <w:highlight w:val="none"/>
              </w:rPr>
            </w:pPr>
            <w:r>
              <w:rPr>
                <w:rFonts w:hint="eastAsia" w:ascii="宋体" w:hAnsi="宋体"/>
                <w:bCs/>
                <w:color w:val="000000"/>
                <w:szCs w:val="21"/>
                <w:highlight w:val="none"/>
              </w:rPr>
              <w:t>4m接地线</w:t>
            </w:r>
          </w:p>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9</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宋体" w:hAnsi="宋体" w:cs="宋体"/>
                <w:color w:val="000000"/>
                <w:szCs w:val="21"/>
                <w:highlight w:val="none"/>
              </w:rPr>
            </w:pPr>
            <w:r>
              <w:rPr>
                <w:rFonts w:hint="eastAsia" w:ascii="Arial" w:hAnsi="Arial"/>
                <w:color w:val="000000"/>
                <w:szCs w:val="21"/>
                <w:highlight w:val="none"/>
              </w:rPr>
              <w:t>校准测试线、充电线</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10</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Arial" w:hAnsi="Arial"/>
                <w:color w:val="000000"/>
                <w:szCs w:val="21"/>
                <w:highlight w:val="none"/>
              </w:rPr>
            </w:pPr>
            <w:r>
              <w:rPr>
                <w:rFonts w:hint="eastAsia" w:ascii="Arial" w:hAnsi="Arial"/>
                <w:color w:val="000000"/>
                <w:szCs w:val="21"/>
                <w:highlight w:val="none"/>
              </w:rPr>
              <w:t>有阻式放电棒</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szCs w:val="21"/>
                <w:highlight w:val="none"/>
              </w:rPr>
            </w:pPr>
            <w:r>
              <w:rPr>
                <w:rFonts w:hint="eastAsia"/>
                <w:highlight w:val="none"/>
              </w:rPr>
              <w:t>根</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szCs w:val="21"/>
                <w:highlight w:val="none"/>
              </w:rPr>
            </w:pPr>
            <w:r>
              <w:rPr>
                <w:rFonts w:hint="eastAsia" w:ascii="宋体" w:hAnsi="宋体"/>
                <w:bCs/>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szCs w:val="21"/>
                <w:highlight w:val="none"/>
              </w:rPr>
            </w:pPr>
            <w:r>
              <w:rPr>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11</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Arial" w:hAnsi="Arial"/>
                <w:color w:val="000000"/>
                <w:szCs w:val="21"/>
                <w:highlight w:val="none"/>
              </w:rPr>
            </w:pPr>
            <w:r>
              <w:rPr>
                <w:rFonts w:hint="eastAsia" w:ascii="Arial" w:hAnsi="Arial"/>
                <w:color w:val="000000"/>
                <w:szCs w:val="21"/>
                <w:highlight w:val="none"/>
              </w:rPr>
              <w:t>均压连接装置</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highlight w:val="none"/>
              </w:rPr>
            </w:pPr>
            <w:r>
              <w:rPr>
                <w:rFonts w:hint="eastAsia"/>
                <w:highlight w:val="none"/>
              </w:rPr>
              <w:t>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szCs w:val="21"/>
                <w:highlight w:val="none"/>
              </w:rPr>
            </w:pPr>
            <w:r>
              <w:rPr>
                <w:rFonts w:hint="eastAsia" w:ascii="宋体" w:hAnsi="宋体"/>
                <w:bCs/>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highlight w:val="none"/>
              </w:rPr>
            </w:pPr>
            <w:r>
              <w:rPr>
                <w:rFonts w:hint="eastAsia"/>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12</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Arial" w:hAnsi="Arial"/>
                <w:color w:val="000000"/>
                <w:szCs w:val="21"/>
                <w:highlight w:val="none"/>
              </w:rPr>
            </w:pPr>
            <w:r>
              <w:rPr>
                <w:rFonts w:hint="eastAsia" w:ascii="Arial" w:hAnsi="Arial"/>
                <w:color w:val="000000"/>
                <w:highlight w:val="none"/>
              </w:rPr>
              <w:t>无局放降频电容</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13</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Arial" w:hAnsi="Arial"/>
                <w:color w:val="000000"/>
                <w:szCs w:val="21"/>
                <w:highlight w:val="none"/>
              </w:rPr>
            </w:pPr>
            <w:r>
              <w:rPr>
                <w:rFonts w:hint="eastAsia" w:ascii="Arial" w:hAnsi="Arial"/>
                <w:color w:val="000000"/>
                <w:highlight w:val="none"/>
              </w:rPr>
              <w:t>高压电容连接电缆1米</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14</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textAlignment w:val="auto"/>
              <w:rPr>
                <w:rFonts w:ascii="Arial" w:hAnsi="Arial"/>
                <w:color w:val="000000"/>
                <w:szCs w:val="21"/>
                <w:highlight w:val="none"/>
              </w:rPr>
            </w:pPr>
            <w:r>
              <w:rPr>
                <w:rFonts w:hint="eastAsia" w:ascii="Arial" w:hAnsi="Arial"/>
                <w:color w:val="000000"/>
                <w:szCs w:val="21"/>
                <w:highlight w:val="none"/>
              </w:rPr>
              <w:t>接地线</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highlight w:val="none"/>
              </w:rPr>
              <w:t>根</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napToGrid/>
              <w:spacing w:line="240" w:lineRule="auto"/>
              <w:ind w:left="0" w:leftChars="0" w:firstLine="0" w:firstLineChars="0"/>
              <w:textAlignment w:val="auto"/>
              <w:rPr>
                <w:rFonts w:ascii="宋体" w:hAnsi="宋体"/>
                <w:bCs/>
                <w:color w:val="000000"/>
                <w:szCs w:val="21"/>
                <w:highlight w:val="none"/>
              </w:rPr>
            </w:pPr>
            <w:r>
              <w:rPr>
                <w:rFonts w:hint="eastAsia" w:ascii="宋体" w:hAnsi="宋体"/>
                <w:bCs/>
                <w:color w:val="000000"/>
                <w:szCs w:val="21"/>
                <w:highlight w:val="none"/>
              </w:rPr>
              <w:t>满足上述所有功能需求和国标要求</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ascii="宋体" w:hAnsi="宋体" w:cs="宋体"/>
                <w:color w:val="000000"/>
                <w:szCs w:val="21"/>
                <w:highlight w:val="none"/>
              </w:rPr>
            </w:pPr>
            <w:r>
              <w:rPr>
                <w:rFonts w:hint="eastAsia" w:ascii="宋体" w:hAnsi="宋体" w:cs="宋体"/>
                <w:color w:val="000000"/>
                <w:szCs w:val="21"/>
                <w:highlight w:val="none"/>
              </w:rPr>
              <w:t>1</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宋体" w:hAnsi="宋体" w:cs="宋体"/>
                <w:color w:val="000000"/>
                <w:szCs w:val="21"/>
                <w:highlight w:val="none"/>
              </w:rPr>
            </w:pPr>
          </w:p>
        </w:tc>
      </w:tr>
    </w:tbl>
    <w:p>
      <w:pPr>
        <w:numPr>
          <w:ilvl w:val="0"/>
          <w:numId w:val="0"/>
        </w:numPr>
        <w:rPr>
          <w:highlight w:val="none"/>
        </w:rPr>
      </w:pPr>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8" w:name="_Toc10126"/>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4"/>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517" w:type="dxa"/>
          </w:tcPr>
          <w:p>
            <w:pPr>
              <w:keepLines w:val="0"/>
              <w:pageBreakBefore w:val="0"/>
              <w:numPr>
                <w:ilvl w:val="0"/>
                <w:numId w:val="4"/>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4"/>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4"/>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2"/>
        <w:keepLines w:val="0"/>
        <w:pageBreakBefore w:val="0"/>
        <w:kinsoku/>
        <w:wordWrap/>
        <w:bidi w:val="0"/>
        <w:spacing w:line="500" w:lineRule="exact"/>
        <w:ind w:left="410" w:firstLine="240"/>
        <w:rPr>
          <w:highlight w:val="none"/>
        </w:rPr>
      </w:pPr>
    </w:p>
    <w:sectPr>
      <w:footerReference r:id="rId12"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jc w:val="right"/>
    </w:pPr>
  </w:p>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tabs>
          <w:tab w:val="left" w:pos="1997"/>
        </w:tabs>
        <w:ind w:left="1997" w:hanging="477"/>
      </w:pPr>
      <w:rPr>
        <w:rFonts w:hint="eastAsia"/>
      </w:rPr>
    </w:lvl>
    <w:lvl w:ilvl="1" w:tentative="0">
      <w:start w:val="1"/>
      <w:numFmt w:val="lowerLetter"/>
      <w:lvlText w:val="%2)"/>
      <w:lvlJc w:val="left"/>
      <w:pPr>
        <w:tabs>
          <w:tab w:val="left" w:pos="1680"/>
        </w:tabs>
        <w:ind w:left="1680" w:hanging="420"/>
      </w:pPr>
    </w:lvl>
    <w:lvl w:ilvl="2" w:tentative="0">
      <w:start w:val="1"/>
      <w:numFmt w:val="decimal"/>
      <w:lvlText w:val="%3)"/>
      <w:lvlJc w:val="left"/>
      <w:pPr>
        <w:tabs>
          <w:tab w:val="left" w:pos="1997"/>
        </w:tabs>
        <w:ind w:left="1997" w:hanging="477"/>
      </w:pPr>
      <w:rPr>
        <w:rFonts w:hint="eastAsia"/>
      </w:rPr>
    </w:lvl>
    <w:lvl w:ilvl="3" w:tentative="0">
      <w:start w:val="3"/>
      <w:numFmt w:val="decimal"/>
      <w:lvlText w:val="%4"/>
      <w:lvlJc w:val="left"/>
      <w:pPr>
        <w:tabs>
          <w:tab w:val="left" w:pos="2460"/>
        </w:tabs>
        <w:ind w:left="2460" w:hanging="360"/>
      </w:pPr>
      <w:rPr>
        <w:rFonts w:hint="default"/>
      </w:r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
    <w:nsid w:val="0000000A"/>
    <w:multiLevelType w:val="multilevel"/>
    <w:tmpl w:val="0000000A"/>
    <w:lvl w:ilvl="0" w:tentative="0">
      <w:start w:val="1"/>
      <w:numFmt w:val="decimal"/>
      <w:lvlText w:val="%1)"/>
      <w:lvlJc w:val="left"/>
      <w:pPr>
        <w:tabs>
          <w:tab w:val="left" w:pos="630"/>
        </w:tabs>
        <w:ind w:left="630" w:hanging="420"/>
      </w:p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2">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B10AE35"/>
    <w:multiLevelType w:val="singleLevel"/>
    <w:tmpl w:val="7B10AE35"/>
    <w:lvl w:ilvl="0" w:tentative="0">
      <w:start w:val="8"/>
      <w:numFmt w:val="decimal"/>
      <w:lvlText w:val="%1."/>
      <w:lvlJc w:val="left"/>
      <w:pPr>
        <w:tabs>
          <w:tab w:val="left" w:pos="312"/>
        </w:tabs>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814D63"/>
    <w:rsid w:val="04AC73D9"/>
    <w:rsid w:val="052208DA"/>
    <w:rsid w:val="07B66435"/>
    <w:rsid w:val="07E06245"/>
    <w:rsid w:val="080E48C5"/>
    <w:rsid w:val="0BAB653E"/>
    <w:rsid w:val="0D344206"/>
    <w:rsid w:val="0F0E3698"/>
    <w:rsid w:val="11624E20"/>
    <w:rsid w:val="13066AFF"/>
    <w:rsid w:val="16406CB6"/>
    <w:rsid w:val="17486E4C"/>
    <w:rsid w:val="19277699"/>
    <w:rsid w:val="1AE74234"/>
    <w:rsid w:val="1C79220A"/>
    <w:rsid w:val="1C8772B6"/>
    <w:rsid w:val="1D3614FA"/>
    <w:rsid w:val="1FA263E4"/>
    <w:rsid w:val="207D2CA5"/>
    <w:rsid w:val="22703D10"/>
    <w:rsid w:val="23B96AFD"/>
    <w:rsid w:val="25513FF2"/>
    <w:rsid w:val="273F6164"/>
    <w:rsid w:val="27E502D5"/>
    <w:rsid w:val="285C4CC5"/>
    <w:rsid w:val="29170CD9"/>
    <w:rsid w:val="29464C18"/>
    <w:rsid w:val="2B2A0492"/>
    <w:rsid w:val="2C3F36A7"/>
    <w:rsid w:val="2EAE6CA3"/>
    <w:rsid w:val="2F1B0C02"/>
    <w:rsid w:val="30427C69"/>
    <w:rsid w:val="309761B9"/>
    <w:rsid w:val="33342978"/>
    <w:rsid w:val="333B5B1E"/>
    <w:rsid w:val="33C00172"/>
    <w:rsid w:val="34234DD5"/>
    <w:rsid w:val="34DB0F5E"/>
    <w:rsid w:val="366559E4"/>
    <w:rsid w:val="367B35A2"/>
    <w:rsid w:val="38B52017"/>
    <w:rsid w:val="3988303A"/>
    <w:rsid w:val="3F3F3186"/>
    <w:rsid w:val="40B065AF"/>
    <w:rsid w:val="41F6735B"/>
    <w:rsid w:val="43FA6097"/>
    <w:rsid w:val="44CA19CD"/>
    <w:rsid w:val="46C75F8F"/>
    <w:rsid w:val="47874069"/>
    <w:rsid w:val="47B84838"/>
    <w:rsid w:val="48CC7BFD"/>
    <w:rsid w:val="49244D8F"/>
    <w:rsid w:val="49B16F8D"/>
    <w:rsid w:val="55AB03DF"/>
    <w:rsid w:val="589E4C71"/>
    <w:rsid w:val="58B95CBA"/>
    <w:rsid w:val="596D67DA"/>
    <w:rsid w:val="5A44578C"/>
    <w:rsid w:val="5DCD7DF2"/>
    <w:rsid w:val="5E375A3D"/>
    <w:rsid w:val="5E60690D"/>
    <w:rsid w:val="5EC33DB0"/>
    <w:rsid w:val="5EC96260"/>
    <w:rsid w:val="5F471779"/>
    <w:rsid w:val="60EC26DA"/>
    <w:rsid w:val="616131D1"/>
    <w:rsid w:val="6268037D"/>
    <w:rsid w:val="62740596"/>
    <w:rsid w:val="62CD7EA4"/>
    <w:rsid w:val="65974683"/>
    <w:rsid w:val="70CA591E"/>
    <w:rsid w:val="71BD6F28"/>
    <w:rsid w:val="75E95E1E"/>
    <w:rsid w:val="76211CFF"/>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5169</Words>
  <Characters>5709</Characters>
  <Lines>30</Lines>
  <Paragraphs>8</Paragraphs>
  <TotalTime>1</TotalTime>
  <ScaleCrop>false</ScaleCrop>
  <LinksUpToDate>false</LinksUpToDate>
  <CharactersWithSpaces>5961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伍贤丽</cp:lastModifiedBy>
  <cp:lastPrinted>2022-05-17T03:01:00Z</cp:lastPrinted>
  <dcterms:modified xsi:type="dcterms:W3CDTF">2026-08-07T02:19:10Z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