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val="0"/>
        <w:pageBreakBefore w:val="0"/>
        <w:kinsoku/>
        <w:wordWrap/>
        <w:bidi w:val="0"/>
        <w:spacing w:line="500" w:lineRule="exact"/>
        <w:ind w:left="410"/>
        <w:rPr>
          <w:color w:val="1C1B10"/>
          <w:highlight w:val="none"/>
        </w:rPr>
      </w:pPr>
      <w:r>
        <w:rPr>
          <w:kern w:val="0"/>
          <w:highlight w:val="none"/>
        </w:rPr>
        <w:drawing>
          <wp:anchor distT="0" distB="0" distL="114300" distR="114300" simplePos="0" relativeHeight="251659264" behindDoc="0" locked="0" layoutInCell="1" allowOverlap="1">
            <wp:simplePos x="0" y="0"/>
            <wp:positionH relativeFrom="column">
              <wp:posOffset>-1731010</wp:posOffset>
            </wp:positionH>
            <wp:positionV relativeFrom="paragraph">
              <wp:posOffset>-1052830</wp:posOffset>
            </wp:positionV>
            <wp:extent cx="8173720" cy="3262630"/>
            <wp:effectExtent l="19050" t="0" r="0" b="0"/>
            <wp:wrapNone/>
            <wp:docPr id="2" name="Picture 5"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descr="模板-3"/>
                    <pic:cNvPicPr>
                      <a:picLocks noChangeAspect="1" noChangeArrowheads="1"/>
                    </pic:cNvPicPr>
                  </pic:nvPicPr>
                  <pic:blipFill>
                    <a:blip r:embed="rId8" cstate="print"/>
                    <a:srcRect/>
                    <a:stretch>
                      <a:fillRect/>
                    </a:stretch>
                  </pic:blipFill>
                  <pic:spPr>
                    <a:xfrm>
                      <a:off x="0" y="0"/>
                      <a:ext cx="8173974" cy="3262579"/>
                    </a:xfrm>
                    <a:prstGeom prst="rect">
                      <a:avLst/>
                    </a:prstGeom>
                    <a:noFill/>
                    <a:ln w="9525">
                      <a:noFill/>
                      <a:miter lim="800000"/>
                      <a:headEnd/>
                      <a:tailEnd/>
                    </a:ln>
                  </pic:spPr>
                </pic:pic>
              </a:graphicData>
            </a:graphic>
          </wp:anchor>
        </w:drawing>
      </w: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rFonts w:hint="eastAsia" w:eastAsia="宋体"/>
          <w:b/>
          <w:sz w:val="36"/>
          <w:szCs w:val="36"/>
          <w:highlight w:val="none"/>
          <w:lang w:eastAsia="zh-CN"/>
        </w:rPr>
      </w:pPr>
      <w:bookmarkStart w:id="0" w:name="_Hlk54622811"/>
      <w:r>
        <w:rPr>
          <w:rFonts w:hint="eastAsia"/>
          <w:b/>
          <w:sz w:val="36"/>
          <w:szCs w:val="36"/>
          <w:highlight w:val="none"/>
          <w:lang w:eastAsia="zh-CN"/>
        </w:rPr>
        <w:t>介质响应分析仪（FDS测试仪）</w:t>
      </w:r>
    </w:p>
    <w:bookmarkEnd w:id="0"/>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rPr>
        <w:t>技术规范书</w:t>
      </w: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lang w:eastAsia="zh-CN"/>
        </w:rPr>
        <w:t>海南电网</w:t>
      </w:r>
      <w:r>
        <w:rPr>
          <w:rFonts w:hint="eastAsia"/>
          <w:b/>
          <w:sz w:val="36"/>
          <w:szCs w:val="36"/>
          <w:highlight w:val="none"/>
        </w:rPr>
        <w:t>能源发展有限公司</w:t>
      </w:r>
    </w:p>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rPr>
        <w:t>202</w:t>
      </w:r>
      <w:r>
        <w:rPr>
          <w:rFonts w:hint="eastAsia"/>
          <w:b/>
          <w:sz w:val="36"/>
          <w:szCs w:val="36"/>
          <w:highlight w:val="none"/>
          <w:lang w:val="en-US" w:eastAsia="zh-CN"/>
        </w:rPr>
        <w:t>6</w:t>
      </w:r>
      <w:r>
        <w:rPr>
          <w:rFonts w:hint="eastAsia"/>
          <w:b/>
          <w:sz w:val="36"/>
          <w:szCs w:val="36"/>
          <w:highlight w:val="none"/>
        </w:rPr>
        <w:t>年</w:t>
      </w:r>
      <w:r>
        <w:rPr>
          <w:rFonts w:hint="eastAsia"/>
          <w:b/>
          <w:sz w:val="36"/>
          <w:szCs w:val="36"/>
          <w:highlight w:val="none"/>
          <w:lang w:val="en-US" w:eastAsia="zh-CN"/>
        </w:rPr>
        <w:t>7</w:t>
      </w:r>
      <w:r>
        <w:rPr>
          <w:rFonts w:hint="eastAsia"/>
          <w:b/>
          <w:sz w:val="36"/>
          <w:szCs w:val="36"/>
          <w:highlight w:val="none"/>
        </w:rPr>
        <w:t>月</w:t>
      </w:r>
    </w:p>
    <w:p>
      <w:pPr>
        <w:keepLines w:val="0"/>
        <w:pageBreakBefore w:val="0"/>
        <w:kinsoku/>
        <w:wordWrap/>
        <w:bidi w:val="0"/>
        <w:spacing w:line="500" w:lineRule="exact"/>
        <w:ind w:left="410"/>
        <w:rPr>
          <w:highlight w:val="none"/>
        </w:rPr>
      </w:pPr>
    </w:p>
    <w:p>
      <w:pPr>
        <w:pStyle w:val="4"/>
        <w:keepLines w:val="0"/>
        <w:pageBreakBefore w:val="0"/>
        <w:kinsoku/>
        <w:wordWrap/>
        <w:bidi w:val="0"/>
        <w:spacing w:line="500" w:lineRule="exact"/>
        <w:ind w:left="410"/>
        <w:rPr>
          <w:b/>
          <w:sz w:val="44"/>
          <w:szCs w:val="44"/>
          <w:highlight w:val="none"/>
        </w:rPr>
      </w:pPr>
      <w:r>
        <w:rPr>
          <w:rFonts w:hint="eastAsia"/>
          <w:b/>
          <w:sz w:val="44"/>
          <w:szCs w:val="44"/>
          <w:highlight w:val="none"/>
        </w:rPr>
        <w:t xml:space="preserve">    </w:t>
      </w:r>
    </w:p>
    <w:p>
      <w:pPr>
        <w:pStyle w:val="4"/>
        <w:keepLines w:val="0"/>
        <w:pageBreakBefore w:val="0"/>
        <w:kinsoku/>
        <w:wordWrap/>
        <w:bidi w:val="0"/>
        <w:spacing w:line="500" w:lineRule="exact"/>
        <w:ind w:left="410"/>
        <w:rPr>
          <w:rFonts w:hint="eastAsia"/>
          <w:b/>
          <w:sz w:val="44"/>
          <w:szCs w:val="44"/>
          <w:highlight w:val="none"/>
        </w:rPr>
      </w:pPr>
      <w:r>
        <w:rPr>
          <w:rFonts w:hint="eastAsia"/>
          <w:b/>
          <w:sz w:val="44"/>
          <w:szCs w:val="44"/>
          <w:highlight w:val="none"/>
        </w:rPr>
        <w:t xml:space="preserve">    </w:t>
      </w:r>
    </w:p>
    <w:p>
      <w:pPr>
        <w:rPr>
          <w:rFonts w:hint="eastAsia"/>
          <w:b/>
          <w:sz w:val="44"/>
          <w:szCs w:val="44"/>
          <w:highlight w:val="none"/>
        </w:rPr>
      </w:pPr>
      <w:r>
        <w:rPr>
          <w:rFonts w:hint="eastAsia"/>
          <w:b/>
          <w:sz w:val="44"/>
          <w:szCs w:val="44"/>
          <w:highlight w:val="none"/>
        </w:rPr>
        <w:br w:type="page"/>
      </w:r>
    </w:p>
    <w:sdt>
      <w:sdtPr>
        <w:rPr>
          <w:rFonts w:ascii="宋体" w:hAnsi="宋体" w:eastAsia="宋体" w:cs="Times New Roman"/>
          <w:color w:val="000000"/>
          <w:kern w:val="2"/>
          <w:sz w:val="21"/>
          <w:szCs w:val="24"/>
          <w:highlight w:val="none"/>
          <w:lang w:val="en-US" w:eastAsia="zh-CN" w:bidi="ar-SA"/>
        </w:rPr>
        <w:id w:val="147477774"/>
        <w15:color w:val="DBDBDB"/>
        <w:docPartObj>
          <w:docPartGallery w:val="Table of Contents"/>
          <w:docPartUnique/>
        </w:docPartObj>
      </w:sdtPr>
      <w:sdtEndPr>
        <w:rPr>
          <w:rFonts w:ascii="宋体" w:hAnsi="宋体" w:eastAsia="宋体" w:cs="Times New Roman"/>
          <w:color w:val="000000"/>
          <w:kern w:val="2"/>
          <w:sz w:val="21"/>
          <w:szCs w:val="24"/>
          <w:highlight w:val="none"/>
          <w:lang w:val="en-US" w:eastAsia="zh-CN" w:bidi="ar-SA"/>
        </w:rPr>
      </w:sdtEndPr>
      <w:sdtContent>
        <w:p>
          <w:pPr>
            <w:keepLines w:val="0"/>
            <w:pageBreakBefore w:val="0"/>
            <w:kinsoku/>
            <w:wordWrap/>
            <w:bidi w:val="0"/>
            <w:spacing w:before="0" w:beforeLines="0" w:after="0" w:afterLines="0" w:line="500" w:lineRule="exact"/>
            <w:ind w:left="0" w:leftChars="0" w:right="0" w:rightChars="0" w:firstLine="0" w:firstLineChars="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目录</w:t>
          </w:r>
        </w:p>
        <w:p>
          <w:pPr>
            <w:pStyle w:val="10"/>
            <w:tabs>
              <w:tab w:val="right" w:leader="dot" w:pos="9746"/>
            </w:tabs>
            <w:rPr>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TOC \o "1-1" \h \u </w:instrText>
          </w:r>
          <w:r>
            <w:rPr>
              <w:rFonts w:hint="eastAsia" w:ascii="宋体" w:hAnsi="宋体" w:eastAsia="宋体" w:cs="宋体"/>
              <w:sz w:val="28"/>
              <w:szCs w:val="28"/>
              <w:highlight w:val="none"/>
            </w:rPr>
            <w:fldChar w:fldCharType="separate"/>
          </w: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_Toc25697 </w:instrText>
          </w:r>
          <w:r>
            <w:rPr>
              <w:rFonts w:hint="eastAsia" w:ascii="宋体" w:hAnsi="宋体" w:eastAsia="宋体" w:cs="宋体"/>
              <w:szCs w:val="28"/>
              <w:highlight w:val="none"/>
            </w:rPr>
            <w:fldChar w:fldCharType="separate"/>
          </w:r>
          <w:r>
            <w:rPr>
              <w:rFonts w:hint="eastAsia"/>
              <w:highlight w:val="none"/>
            </w:rPr>
            <w:t>1 总则</w:t>
          </w:r>
          <w:r>
            <w:rPr>
              <w:highlight w:val="none"/>
            </w:rPr>
            <w:tab/>
          </w:r>
          <w:r>
            <w:rPr>
              <w:highlight w:val="none"/>
            </w:rPr>
            <w:fldChar w:fldCharType="begin"/>
          </w:r>
          <w:r>
            <w:rPr>
              <w:highlight w:val="none"/>
            </w:rPr>
            <w:instrText xml:space="preserve"> PAGEREF _Toc25697 \h </w:instrText>
          </w:r>
          <w:r>
            <w:rPr>
              <w:highlight w:val="none"/>
            </w:rPr>
            <w:fldChar w:fldCharType="separate"/>
          </w:r>
          <w:r>
            <w:rPr>
              <w:highlight w:val="none"/>
            </w:rPr>
            <w:t>2</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_Toc3763 </w:instrText>
          </w:r>
          <w:r>
            <w:rPr>
              <w:rFonts w:hint="eastAsia" w:ascii="宋体" w:hAnsi="宋体" w:eastAsia="宋体" w:cs="宋体"/>
              <w:szCs w:val="28"/>
              <w:highlight w:val="none"/>
            </w:rPr>
            <w:fldChar w:fldCharType="separate"/>
          </w:r>
          <w:r>
            <w:rPr>
              <w:rFonts w:hint="eastAsia"/>
              <w:highlight w:val="none"/>
              <w:lang w:val="en-US" w:eastAsia="zh-CN"/>
            </w:rPr>
            <w:t>2</w:t>
          </w:r>
          <w:r>
            <w:rPr>
              <w:rFonts w:hint="eastAsia"/>
              <w:highlight w:val="none"/>
            </w:rPr>
            <w:t>.应遵循的主要标准</w:t>
          </w:r>
          <w:r>
            <w:rPr>
              <w:highlight w:val="none"/>
            </w:rPr>
            <w:tab/>
          </w:r>
          <w:r>
            <w:rPr>
              <w:highlight w:val="none"/>
            </w:rPr>
            <w:fldChar w:fldCharType="begin"/>
          </w:r>
          <w:r>
            <w:rPr>
              <w:highlight w:val="none"/>
            </w:rPr>
            <w:instrText xml:space="preserve"> PAGEREF _Toc3763 \h </w:instrText>
          </w:r>
          <w:r>
            <w:rPr>
              <w:highlight w:val="none"/>
            </w:rPr>
            <w:fldChar w:fldCharType="separate"/>
          </w:r>
          <w:r>
            <w:rPr>
              <w:highlight w:val="none"/>
            </w:rPr>
            <w:t>3</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_Toc13932 </w:instrText>
          </w:r>
          <w:r>
            <w:rPr>
              <w:rFonts w:hint="eastAsia" w:ascii="宋体" w:hAnsi="宋体" w:eastAsia="宋体" w:cs="宋体"/>
              <w:szCs w:val="28"/>
              <w:highlight w:val="none"/>
            </w:rPr>
            <w:fldChar w:fldCharType="separate"/>
          </w:r>
          <w:r>
            <w:rPr>
              <w:rFonts w:hint="eastAsia"/>
              <w:highlight w:val="none"/>
              <w:lang w:val="en-US" w:eastAsia="zh-CN"/>
            </w:rPr>
            <w:t>3</w:t>
          </w:r>
          <w:r>
            <w:rPr>
              <w:rFonts w:hint="eastAsia"/>
              <w:highlight w:val="none"/>
            </w:rPr>
            <w:t>.使用条件</w:t>
          </w:r>
          <w:r>
            <w:rPr>
              <w:highlight w:val="none"/>
            </w:rPr>
            <w:tab/>
          </w:r>
          <w:r>
            <w:rPr>
              <w:highlight w:val="none"/>
            </w:rPr>
            <w:fldChar w:fldCharType="begin"/>
          </w:r>
          <w:r>
            <w:rPr>
              <w:highlight w:val="none"/>
            </w:rPr>
            <w:instrText xml:space="preserve"> PAGEREF _Toc13932 \h </w:instrText>
          </w:r>
          <w:r>
            <w:rPr>
              <w:highlight w:val="none"/>
            </w:rPr>
            <w:fldChar w:fldCharType="separate"/>
          </w:r>
          <w:r>
            <w:rPr>
              <w:highlight w:val="none"/>
            </w:rPr>
            <w:t>3</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_Toc22886 </w:instrText>
          </w:r>
          <w:r>
            <w:rPr>
              <w:rFonts w:hint="eastAsia" w:ascii="宋体" w:hAnsi="宋体" w:eastAsia="宋体" w:cs="宋体"/>
              <w:szCs w:val="28"/>
              <w:highlight w:val="none"/>
            </w:rPr>
            <w:fldChar w:fldCharType="separate"/>
          </w:r>
          <w:r>
            <w:rPr>
              <w:rFonts w:hint="eastAsia"/>
              <w:highlight w:val="none"/>
              <w:lang w:val="en-US" w:eastAsia="zh-CN"/>
            </w:rPr>
            <w:t>4</w:t>
          </w:r>
          <w:r>
            <w:rPr>
              <w:rFonts w:hint="eastAsia"/>
              <w:highlight w:val="none"/>
            </w:rPr>
            <w:t>.技术要求</w:t>
          </w:r>
          <w:r>
            <w:rPr>
              <w:highlight w:val="none"/>
            </w:rPr>
            <w:tab/>
          </w:r>
          <w:r>
            <w:rPr>
              <w:highlight w:val="none"/>
            </w:rPr>
            <w:fldChar w:fldCharType="begin"/>
          </w:r>
          <w:r>
            <w:rPr>
              <w:highlight w:val="none"/>
            </w:rPr>
            <w:instrText xml:space="preserve"> PAGEREF _Toc22886 \h </w:instrText>
          </w:r>
          <w:r>
            <w:rPr>
              <w:highlight w:val="none"/>
            </w:rPr>
            <w:fldChar w:fldCharType="separate"/>
          </w:r>
          <w:r>
            <w:rPr>
              <w:highlight w:val="none"/>
            </w:rPr>
            <w:t>4</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_Toc14198 </w:instrText>
          </w:r>
          <w:r>
            <w:rPr>
              <w:rFonts w:hint="eastAsia" w:ascii="宋体" w:hAnsi="宋体" w:eastAsia="宋体" w:cs="宋体"/>
              <w:szCs w:val="28"/>
              <w:highlight w:val="none"/>
            </w:rPr>
            <w:fldChar w:fldCharType="separate"/>
          </w:r>
          <w:r>
            <w:rPr>
              <w:rFonts w:hint="eastAsia"/>
              <w:highlight w:val="none"/>
              <w:lang w:val="en-US" w:eastAsia="zh-CN"/>
            </w:rPr>
            <w:t>5</w:t>
          </w:r>
          <w:r>
            <w:rPr>
              <w:highlight w:val="none"/>
            </w:rPr>
            <w:t>.</w:t>
          </w:r>
          <w:r>
            <w:rPr>
              <w:rFonts w:cs="宋体"/>
              <w:spacing w:val="1"/>
              <w:highlight w:val="none"/>
            </w:rPr>
            <w:t>质量保证和试验</w:t>
          </w:r>
          <w:r>
            <w:rPr>
              <w:highlight w:val="none"/>
            </w:rPr>
            <w:tab/>
          </w:r>
          <w:r>
            <w:rPr>
              <w:highlight w:val="none"/>
            </w:rPr>
            <w:fldChar w:fldCharType="begin"/>
          </w:r>
          <w:r>
            <w:rPr>
              <w:highlight w:val="none"/>
            </w:rPr>
            <w:instrText xml:space="preserve"> PAGEREF _Toc14198 \h </w:instrText>
          </w:r>
          <w:r>
            <w:rPr>
              <w:highlight w:val="none"/>
            </w:rPr>
            <w:fldChar w:fldCharType="separate"/>
          </w:r>
          <w:r>
            <w:rPr>
              <w:highlight w:val="none"/>
            </w:rPr>
            <w:t>5</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_Toc18433 </w:instrText>
          </w:r>
          <w:r>
            <w:rPr>
              <w:rFonts w:hint="eastAsia" w:ascii="宋体" w:hAnsi="宋体" w:eastAsia="宋体" w:cs="宋体"/>
              <w:szCs w:val="28"/>
              <w:highlight w:val="none"/>
            </w:rPr>
            <w:fldChar w:fldCharType="separate"/>
          </w:r>
          <w:r>
            <w:rPr>
              <w:rFonts w:hint="eastAsia"/>
              <w:highlight w:val="none"/>
              <w:lang w:eastAsia="zh-CN"/>
            </w:rPr>
            <w:t>6.</w:t>
          </w:r>
          <w:r>
            <w:rPr>
              <w:rFonts w:cs="宋体"/>
              <w:spacing w:val="1"/>
              <w:highlight w:val="none"/>
            </w:rPr>
            <w:t>包装、运输和储存</w:t>
          </w:r>
          <w:r>
            <w:rPr>
              <w:highlight w:val="none"/>
            </w:rPr>
            <w:tab/>
          </w:r>
          <w:r>
            <w:rPr>
              <w:highlight w:val="none"/>
            </w:rPr>
            <w:fldChar w:fldCharType="begin"/>
          </w:r>
          <w:r>
            <w:rPr>
              <w:highlight w:val="none"/>
            </w:rPr>
            <w:instrText xml:space="preserve"> PAGEREF _Toc18433 \h </w:instrText>
          </w:r>
          <w:r>
            <w:rPr>
              <w:highlight w:val="none"/>
            </w:rPr>
            <w:fldChar w:fldCharType="separate"/>
          </w:r>
          <w:r>
            <w:rPr>
              <w:highlight w:val="none"/>
            </w:rPr>
            <w:t>5</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_Toc22301 </w:instrText>
          </w:r>
          <w:r>
            <w:rPr>
              <w:rFonts w:hint="eastAsia" w:ascii="宋体" w:hAnsi="宋体" w:eastAsia="宋体" w:cs="宋体"/>
              <w:szCs w:val="28"/>
              <w:highlight w:val="none"/>
            </w:rPr>
            <w:fldChar w:fldCharType="separate"/>
          </w:r>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r>
            <w:rPr>
              <w:highlight w:val="none"/>
            </w:rPr>
            <w:tab/>
          </w:r>
          <w:r>
            <w:rPr>
              <w:highlight w:val="none"/>
            </w:rPr>
            <w:fldChar w:fldCharType="begin"/>
          </w:r>
          <w:r>
            <w:rPr>
              <w:highlight w:val="none"/>
            </w:rPr>
            <w:instrText xml:space="preserve"> PAGEREF _Toc22301 \h </w:instrText>
          </w:r>
          <w:r>
            <w:rPr>
              <w:highlight w:val="none"/>
            </w:rPr>
            <w:fldChar w:fldCharType="separate"/>
          </w:r>
          <w:r>
            <w:rPr>
              <w:highlight w:val="none"/>
            </w:rPr>
            <w:t>6</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_Toc25792 </w:instrText>
          </w:r>
          <w:r>
            <w:rPr>
              <w:rFonts w:hint="eastAsia" w:ascii="宋体" w:hAnsi="宋体" w:eastAsia="宋体" w:cs="宋体"/>
              <w:szCs w:val="28"/>
              <w:highlight w:val="none"/>
            </w:rPr>
            <w:fldChar w:fldCharType="separate"/>
          </w:r>
          <w:r>
            <w:rPr>
              <w:rFonts w:hint="eastAsia"/>
              <w:highlight w:val="none"/>
              <w:lang w:val="en-US" w:eastAsia="zh-CN"/>
            </w:rPr>
            <w:t>8</w:t>
          </w:r>
          <w:r>
            <w:rPr>
              <w:rFonts w:hint="eastAsia"/>
              <w:highlight w:val="none"/>
            </w:rPr>
            <w:t>.供货范围清单</w:t>
          </w:r>
          <w:r>
            <w:rPr>
              <w:highlight w:val="none"/>
            </w:rPr>
            <w:tab/>
          </w:r>
          <w:r>
            <w:rPr>
              <w:highlight w:val="none"/>
            </w:rPr>
            <w:fldChar w:fldCharType="begin"/>
          </w:r>
          <w:r>
            <w:rPr>
              <w:highlight w:val="none"/>
            </w:rPr>
            <w:instrText xml:space="preserve"> PAGEREF _Toc25792 \h </w:instrText>
          </w:r>
          <w:r>
            <w:rPr>
              <w:highlight w:val="none"/>
            </w:rPr>
            <w:fldChar w:fldCharType="separate"/>
          </w:r>
          <w:r>
            <w:rPr>
              <w:highlight w:val="none"/>
            </w:rPr>
            <w:t>6</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_Toc21346 </w:instrText>
          </w:r>
          <w:r>
            <w:rPr>
              <w:rFonts w:hint="eastAsia" w:ascii="宋体" w:hAnsi="宋体" w:eastAsia="宋体" w:cs="宋体"/>
              <w:szCs w:val="28"/>
              <w:highlight w:val="none"/>
            </w:rPr>
            <w:fldChar w:fldCharType="separate"/>
          </w:r>
          <w:r>
            <w:rPr>
              <w:rFonts w:hint="eastAsia"/>
              <w:highlight w:val="none"/>
              <w:lang w:eastAsia="zh-CN"/>
            </w:rPr>
            <w:t>9.</w:t>
          </w:r>
          <w:r>
            <w:rPr>
              <w:rFonts w:cs="宋体"/>
              <w:spacing w:val="1"/>
              <w:highlight w:val="none"/>
            </w:rPr>
            <w:t>设备的售后服务要求</w:t>
          </w:r>
          <w:r>
            <w:rPr>
              <w:highlight w:val="none"/>
            </w:rPr>
            <w:tab/>
          </w:r>
          <w:r>
            <w:rPr>
              <w:highlight w:val="none"/>
            </w:rPr>
            <w:fldChar w:fldCharType="begin"/>
          </w:r>
          <w:r>
            <w:rPr>
              <w:highlight w:val="none"/>
            </w:rPr>
            <w:instrText xml:space="preserve"> PAGEREF _Toc21346 \h </w:instrText>
          </w:r>
          <w:r>
            <w:rPr>
              <w:highlight w:val="none"/>
            </w:rPr>
            <w:fldChar w:fldCharType="separate"/>
          </w:r>
          <w:r>
            <w:rPr>
              <w:highlight w:val="none"/>
            </w:rPr>
            <w:t>7</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_Toc10126 </w:instrText>
          </w:r>
          <w:r>
            <w:rPr>
              <w:rFonts w:hint="eastAsia" w:ascii="宋体" w:hAnsi="宋体" w:eastAsia="宋体" w:cs="宋体"/>
              <w:szCs w:val="28"/>
              <w:highlight w:val="none"/>
            </w:rPr>
            <w:fldChar w:fldCharType="separate"/>
          </w:r>
          <w:r>
            <w:rPr>
              <w:rFonts w:hint="eastAsia"/>
              <w:spacing w:val="-6"/>
              <w:highlight w:val="none"/>
              <w:lang w:eastAsia="zh-CN"/>
            </w:rPr>
            <w:t>10.</w:t>
          </w:r>
          <w:r>
            <w:rPr>
              <w:rFonts w:cs="宋体"/>
              <w:highlight w:val="none"/>
            </w:rPr>
            <w:t>验收</w:t>
          </w:r>
          <w:r>
            <w:rPr>
              <w:highlight w:val="none"/>
            </w:rPr>
            <w:tab/>
          </w:r>
          <w:r>
            <w:rPr>
              <w:highlight w:val="none"/>
            </w:rPr>
            <w:fldChar w:fldCharType="begin"/>
          </w:r>
          <w:r>
            <w:rPr>
              <w:highlight w:val="none"/>
            </w:rPr>
            <w:instrText xml:space="preserve"> PAGEREF _Toc10126 \h </w:instrText>
          </w:r>
          <w:r>
            <w:rPr>
              <w:highlight w:val="none"/>
            </w:rPr>
            <w:fldChar w:fldCharType="separate"/>
          </w:r>
          <w:r>
            <w:rPr>
              <w:highlight w:val="none"/>
            </w:rPr>
            <w:t>8</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_Toc22211 </w:instrText>
          </w:r>
          <w:r>
            <w:rPr>
              <w:rFonts w:hint="eastAsia" w:ascii="宋体" w:hAnsi="宋体" w:eastAsia="宋体" w:cs="宋体"/>
              <w:szCs w:val="28"/>
              <w:highlight w:val="none"/>
            </w:rPr>
            <w:fldChar w:fldCharType="separate"/>
          </w:r>
          <w:r>
            <w:rPr>
              <w:highlight w:val="none"/>
            </w:rPr>
            <w:t>1</w:t>
          </w:r>
          <w:r>
            <w:rPr>
              <w:rFonts w:hint="eastAsia"/>
              <w:highlight w:val="none"/>
              <w:lang w:val="en-US" w:eastAsia="zh-CN"/>
            </w:rPr>
            <w:t>1</w:t>
          </w:r>
          <w:r>
            <w:rPr>
              <w:highlight w:val="none"/>
            </w:rPr>
            <w:t>.</w:t>
          </w:r>
          <w:r>
            <w:rPr>
              <w:rFonts w:cs="宋体"/>
              <w:spacing w:val="1"/>
              <w:highlight w:val="none"/>
            </w:rPr>
            <w:t>技术差异表</w:t>
          </w:r>
          <w:r>
            <w:rPr>
              <w:highlight w:val="none"/>
            </w:rPr>
            <w:tab/>
          </w:r>
          <w:r>
            <w:rPr>
              <w:highlight w:val="none"/>
            </w:rPr>
            <w:fldChar w:fldCharType="begin"/>
          </w:r>
          <w:r>
            <w:rPr>
              <w:highlight w:val="none"/>
            </w:rPr>
            <w:instrText xml:space="preserve"> PAGEREF _Toc22211 \h </w:instrText>
          </w:r>
          <w:r>
            <w:rPr>
              <w:highlight w:val="none"/>
            </w:rPr>
            <w:fldChar w:fldCharType="separate"/>
          </w:r>
          <w:r>
            <w:rPr>
              <w:highlight w:val="none"/>
            </w:rPr>
            <w:t>8</w:t>
          </w:r>
          <w:r>
            <w:rPr>
              <w:highlight w:val="none"/>
            </w:rPr>
            <w:fldChar w:fldCharType="end"/>
          </w:r>
          <w:r>
            <w:rPr>
              <w:rFonts w:hint="eastAsia" w:ascii="宋体" w:hAnsi="宋体" w:eastAsia="宋体" w:cs="宋体"/>
              <w:szCs w:val="28"/>
              <w:highlight w:val="none"/>
            </w:rPr>
            <w:fldChar w:fldCharType="end"/>
          </w:r>
        </w:p>
        <w:p>
          <w:pPr>
            <w:keepLines w:val="0"/>
            <w:pageBreakBefore w:val="0"/>
            <w:kinsoku/>
            <w:wordWrap/>
            <w:bidi w:val="0"/>
            <w:spacing w:line="500" w:lineRule="exact"/>
            <w:rPr>
              <w:highlight w:val="none"/>
            </w:rPr>
          </w:pPr>
          <w:r>
            <w:rPr>
              <w:rFonts w:hint="eastAsia" w:ascii="宋体" w:hAnsi="宋体" w:eastAsia="宋体" w:cs="宋体"/>
              <w:szCs w:val="28"/>
              <w:highlight w:val="none"/>
            </w:rPr>
            <w:fldChar w:fldCharType="end"/>
          </w:r>
        </w:p>
      </w:sdtContent>
    </w:sdt>
    <w:p>
      <w:pPr>
        <w:keepLines w:val="0"/>
        <w:pageBreakBefore w:val="0"/>
        <w:kinsoku/>
        <w:wordWrap/>
        <w:bidi w:val="0"/>
        <w:spacing w:line="500" w:lineRule="exact"/>
        <w:rPr>
          <w:rFonts w:hint="eastAsia"/>
          <w:highlight w:val="none"/>
        </w:rPr>
      </w:pPr>
      <w:r>
        <w:rPr>
          <w:rFonts w:hint="eastAsia"/>
          <w:highlight w:val="none"/>
        </w:rPr>
        <w:br w:type="page"/>
      </w:r>
    </w:p>
    <w:p>
      <w:pPr>
        <w:pStyle w:val="3"/>
        <w:bidi w:val="0"/>
        <w:rPr>
          <w:rFonts w:hint="eastAsia"/>
          <w:highlight w:val="none"/>
        </w:rPr>
      </w:pPr>
      <w:bookmarkStart w:id="1" w:name="_Toc25697"/>
      <w:r>
        <w:rPr>
          <w:rFonts w:hint="eastAsia"/>
          <w:highlight w:val="none"/>
        </w:rPr>
        <w:t xml:space="preserve">1 </w:t>
      </w:r>
      <w:bookmarkStart w:id="2" w:name="_Toc305941518"/>
      <w:bookmarkStart w:id="3" w:name="_Toc397006837"/>
      <w:bookmarkStart w:id="4" w:name="_Toc305941223"/>
      <w:r>
        <w:rPr>
          <w:rFonts w:hint="eastAsia"/>
          <w:highlight w:val="none"/>
        </w:rPr>
        <w:t>总则</w:t>
      </w:r>
      <w:bookmarkEnd w:id="1"/>
      <w:bookmarkEnd w:id="2"/>
      <w:bookmarkEnd w:id="3"/>
      <w:bookmarkEnd w:id="4"/>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eastAsia="宋体"/>
          <w:b/>
          <w:bCs/>
          <w:sz w:val="44"/>
          <w:szCs w:val="44"/>
          <w:highlight w:val="none"/>
          <w:lang w:eastAsia="zh-CN"/>
        </w:rPr>
      </w:pPr>
      <w:r>
        <w:rPr>
          <w:rFonts w:hint="eastAsia"/>
          <w:highlight w:val="none"/>
        </w:rPr>
        <w:t>1.</w:t>
      </w:r>
      <w:r>
        <w:rPr>
          <w:rFonts w:hint="eastAsia"/>
          <w:highlight w:val="none"/>
          <w:lang w:eastAsia="zh-CN"/>
        </w:rPr>
        <w:t>1</w:t>
      </w:r>
      <w:r>
        <w:rPr>
          <w:rFonts w:hint="eastAsia"/>
          <w:highlight w:val="none"/>
        </w:rPr>
        <w:t xml:space="preserve">  本技术文件适用于</w:t>
      </w:r>
      <w:r>
        <w:rPr>
          <w:rFonts w:hint="eastAsia"/>
          <w:highlight w:val="none"/>
          <w:lang w:eastAsia="zh-CN"/>
        </w:rPr>
        <w:t>海南电网</w:t>
      </w:r>
      <w:r>
        <w:rPr>
          <w:rFonts w:hint="eastAsia"/>
          <w:highlight w:val="none"/>
        </w:rPr>
        <w:t>能源发展</w:t>
      </w:r>
      <w:r>
        <w:rPr>
          <w:rFonts w:hint="eastAsia"/>
          <w:color w:val="auto"/>
          <w:highlight w:val="none"/>
        </w:rPr>
        <w:t>有限公司拟采购的</w:t>
      </w:r>
      <w:r>
        <w:rPr>
          <w:rFonts w:hint="eastAsia"/>
          <w:b/>
          <w:bCs/>
          <w:color w:val="auto"/>
          <w:highlight w:val="none"/>
        </w:rPr>
        <w:t>“</w:t>
      </w:r>
      <w:r>
        <w:rPr>
          <w:rFonts w:hint="eastAsia"/>
          <w:b/>
          <w:bCs/>
          <w:color w:val="auto"/>
          <w:highlight w:val="none"/>
          <w:lang w:eastAsia="zh-CN"/>
        </w:rPr>
        <w:t>介质响应分析仪（FDS测试仪）</w:t>
      </w:r>
      <w:r>
        <w:rPr>
          <w:rFonts w:hint="eastAsia"/>
          <w:b/>
          <w:bCs/>
          <w:color w:val="auto"/>
          <w:highlight w:val="none"/>
        </w:rPr>
        <w:t>”</w:t>
      </w:r>
      <w:r>
        <w:rPr>
          <w:rFonts w:hint="eastAsia"/>
          <w:b/>
          <w:bCs/>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textAlignment w:val="auto"/>
        <w:rPr>
          <w:highlight w:val="none"/>
        </w:rPr>
      </w:pPr>
      <w:r>
        <w:rPr>
          <w:rFonts w:hint="eastAsia"/>
          <w:highlight w:val="none"/>
        </w:rPr>
        <w:t>本规范书提出了该批仪器本体及附属材料的功能设计、结构、性能、试验验收、培训和使用等方面的技术要求。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1.2  凡本技术文件中未规定，但在相关仪器的行业标准、国家标准或IEC标准中有规定的规范条文，</w:t>
      </w:r>
      <w:r>
        <w:rPr>
          <w:rFonts w:hint="eastAsia"/>
          <w:highlight w:val="none"/>
          <w:lang w:eastAsia="zh-CN"/>
        </w:rPr>
        <w:t>投标人</w:t>
      </w:r>
      <w:r>
        <w:rPr>
          <w:rFonts w:hint="eastAsia"/>
          <w:highlight w:val="none"/>
        </w:rPr>
        <w:t>应按相应标准的条文进行仪器销售、设计、制造、试验和验收。对国家有关安全、环保等强制性标准，必须满足其要求。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cs="宋体"/>
          <w:highlight w:val="none"/>
        </w:rPr>
      </w:pPr>
      <w:r>
        <w:rPr>
          <w:rFonts w:hint="eastAsia"/>
          <w:highlight w:val="none"/>
        </w:rPr>
        <w:t>1.3  如果</w:t>
      </w:r>
      <w:r>
        <w:rPr>
          <w:rFonts w:hint="eastAsia"/>
          <w:highlight w:val="none"/>
          <w:lang w:eastAsia="zh-CN"/>
        </w:rPr>
        <w:t>投标人</w:t>
      </w:r>
      <w:r>
        <w:rPr>
          <w:rFonts w:hint="eastAsia"/>
          <w:highlight w:val="none"/>
        </w:rPr>
        <w:t>没有以书面形式对本技术文件的条文提出异议，则意味着</w:t>
      </w:r>
      <w:r>
        <w:rPr>
          <w:rFonts w:hint="eastAsia"/>
          <w:highlight w:val="none"/>
          <w:lang w:eastAsia="zh-CN"/>
        </w:rPr>
        <w:t>投标人</w:t>
      </w:r>
      <w:r>
        <w:rPr>
          <w:rFonts w:hint="eastAsia"/>
          <w:highlight w:val="none"/>
        </w:rPr>
        <w:t>提供的物资完全符合本技术文件的要求。如有任何异议，</w:t>
      </w:r>
      <w:r>
        <w:rPr>
          <w:rFonts w:cs="宋体"/>
          <w:spacing w:val="3"/>
          <w:highlight w:val="none"/>
        </w:rPr>
        <w:t>都应在报价文件差异表中加以</w:t>
      </w:r>
      <w:r>
        <w:rPr>
          <w:rFonts w:cs="宋体"/>
          <w:highlight w:val="none"/>
        </w:rPr>
        <w:t>详细描述</w:t>
      </w:r>
      <w:r>
        <w:rPr>
          <w:rFonts w:hint="eastAsia" w:cs="宋体"/>
          <w:highlight w:val="none"/>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highlight w:val="none"/>
        </w:rPr>
        <w:t>1.4</w:t>
      </w:r>
      <w:r>
        <w:rPr>
          <w:spacing w:val="60"/>
          <w:highlight w:val="none"/>
        </w:rPr>
        <w:t xml:space="preserve"> </w:t>
      </w:r>
      <w:r>
        <w:rPr>
          <w:rFonts w:cs="宋体"/>
          <w:spacing w:val="-2"/>
          <w:highlight w:val="none"/>
        </w:rPr>
        <w:t>本规范所使用的标准如与</w:t>
      </w:r>
      <w:r>
        <w:rPr>
          <w:rFonts w:hint="eastAsia" w:cs="宋体"/>
          <w:spacing w:val="-2"/>
          <w:highlight w:val="none"/>
          <w:lang w:eastAsia="zh-CN"/>
        </w:rPr>
        <w:t>投标人</w:t>
      </w:r>
      <w:r>
        <w:rPr>
          <w:rFonts w:cs="宋体"/>
          <w:spacing w:val="-2"/>
          <w:highlight w:val="none"/>
        </w:rPr>
        <w:t>所执行的标准</w:t>
      </w:r>
      <w:r>
        <w:rPr>
          <w:rFonts w:hint="eastAsia" w:cs="宋体"/>
          <w:spacing w:val="-2"/>
          <w:highlight w:val="none"/>
        </w:rPr>
        <w:t>不一致</w:t>
      </w:r>
      <w:r>
        <w:rPr>
          <w:rFonts w:cs="宋体"/>
          <w:spacing w:val="-2"/>
          <w:highlight w:val="none"/>
        </w:rPr>
        <w:t>时，按较高标准执</w:t>
      </w:r>
      <w:r>
        <w:rPr>
          <w:rFonts w:cs="宋体"/>
          <w:highlight w:val="none"/>
        </w:rPr>
        <w:t>行。</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1.5  本技术文件经</w:t>
      </w:r>
      <w:r>
        <w:rPr>
          <w:rFonts w:hint="eastAsia"/>
          <w:highlight w:val="none"/>
          <w:lang w:eastAsia="zh-CN"/>
        </w:rPr>
        <w:t>招标人、投标人</w:t>
      </w:r>
      <w:r>
        <w:rPr>
          <w:rFonts w:hint="eastAsia"/>
          <w:highlight w:val="none"/>
        </w:rPr>
        <w:t>确认后作为订货合同的技术附件，与合同正文具有同等的法律效力。</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highlight w:val="none"/>
        </w:rPr>
      </w:pPr>
      <w:r>
        <w:rPr>
          <w:rFonts w:hint="eastAsia"/>
          <w:highlight w:val="none"/>
        </w:rPr>
        <w:t>1.6  本技术文件未尽事宜，由</w:t>
      </w:r>
      <w:r>
        <w:rPr>
          <w:rFonts w:hint="eastAsia"/>
          <w:highlight w:val="none"/>
          <w:lang w:eastAsia="zh-CN"/>
        </w:rPr>
        <w:t>招标人、投标人</w:t>
      </w:r>
      <w:r>
        <w:rPr>
          <w:rFonts w:hint="eastAsia"/>
          <w:highlight w:val="none"/>
        </w:rPr>
        <w:t>协商确定。</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FF0000"/>
          <w:highlight w:val="none"/>
        </w:rPr>
      </w:pPr>
      <w:r>
        <w:rPr>
          <w:rFonts w:hint="eastAsia"/>
          <w:highlight w:val="none"/>
        </w:rPr>
        <w:t>1.</w:t>
      </w:r>
      <w:r>
        <w:rPr>
          <w:rFonts w:hint="eastAsia"/>
          <w:highlight w:val="none"/>
          <w:lang w:eastAsia="zh-CN"/>
        </w:rPr>
        <w:t>7</w:t>
      </w:r>
      <w:r>
        <w:rPr>
          <w:rFonts w:hint="eastAsia"/>
          <w:highlight w:val="none"/>
        </w:rPr>
        <w:t xml:space="preserve">  </w:t>
      </w:r>
      <w:r>
        <w:rPr>
          <w:rFonts w:hint="eastAsia"/>
          <w:highlight w:val="none"/>
          <w:lang w:eastAsia="zh-CN"/>
        </w:rPr>
        <w:t>投标人</w:t>
      </w:r>
      <w:r>
        <w:rPr>
          <w:rFonts w:hint="eastAsia"/>
          <w:highlight w:val="none"/>
        </w:rPr>
        <w:t>在报价技术文件中应如实反映报价产品与本技术文件的技术差异。如果</w:t>
      </w:r>
      <w:r>
        <w:rPr>
          <w:rFonts w:hint="eastAsia"/>
          <w:highlight w:val="none"/>
          <w:lang w:eastAsia="zh-CN"/>
        </w:rPr>
        <w:t>投标人</w:t>
      </w:r>
      <w:r>
        <w:rPr>
          <w:rFonts w:hint="eastAsia"/>
          <w:highlight w:val="none"/>
        </w:rPr>
        <w:t>没有提出技术差异，而在执行合同的过程中，采购方发现</w:t>
      </w:r>
      <w:r>
        <w:rPr>
          <w:rFonts w:hint="eastAsia"/>
          <w:highlight w:val="none"/>
          <w:lang w:eastAsia="zh-CN"/>
        </w:rPr>
        <w:t>投标人</w:t>
      </w:r>
      <w:r>
        <w:rPr>
          <w:rFonts w:hint="eastAsia"/>
          <w:highlight w:val="none"/>
        </w:rPr>
        <w:t>提供的产品与其报价技术文件的条文存在差异</w:t>
      </w:r>
      <w:r>
        <w:rPr>
          <w:rFonts w:hint="eastAsia"/>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1.8  </w:t>
      </w:r>
      <w:r>
        <w:rPr>
          <w:rFonts w:hint="eastAsia"/>
          <w:highlight w:val="none"/>
          <w:lang w:eastAsia="zh-CN"/>
        </w:rPr>
        <w:t>投标人</w:t>
      </w:r>
      <w:r>
        <w:rPr>
          <w:rFonts w:hint="eastAsia"/>
          <w:highlight w:val="none"/>
        </w:rPr>
        <w:t>应在报价技术部分按本技术文件的要求如实详细的填写报价物资的标准配置表，并按此标准配置进行报价，如发现二者有矛盾之处，将以报价表的配置为准。</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1.9  </w:t>
      </w:r>
      <w:r>
        <w:rPr>
          <w:rFonts w:hint="eastAsia"/>
          <w:highlight w:val="none"/>
          <w:lang w:eastAsia="zh-CN"/>
        </w:rPr>
        <w:t>投标人</w:t>
      </w:r>
      <w:r>
        <w:rPr>
          <w:rFonts w:hint="eastAsia"/>
          <w:highlight w:val="none"/>
        </w:rPr>
        <w:t>应充分理解本技术文件并按本技术文件的具体条款、格式要求填写报价的技术文件，如发现报价的技术文件条款、格式不符合本技术文件的要求，则认为报价不严肃，在评标时将有不同程度的扣分。</w:t>
      </w:r>
    </w:p>
    <w:p>
      <w:pPr>
        <w:pStyle w:val="13"/>
        <w:keepNext w:val="0"/>
        <w:keepLines w:val="0"/>
        <w:pageBreakBefore w:val="0"/>
        <w:widowControl w:val="0"/>
        <w:kinsoku/>
        <w:wordWrap/>
        <w:overflowPunct/>
        <w:topLinePunct w:val="0"/>
        <w:autoSpaceDE/>
        <w:autoSpaceDN/>
        <w:bidi w:val="0"/>
        <w:adjustRightInd/>
        <w:snapToGrid/>
        <w:spacing w:after="0" w:line="500" w:lineRule="exact"/>
        <w:ind w:left="0" w:leftChars="0" w:firstLine="0" w:firstLineChars="0"/>
        <w:textAlignment w:val="auto"/>
        <w:rPr>
          <w:rFonts w:hint="eastAsia"/>
          <w:b/>
          <w:bCs/>
          <w:highlight w:val="none"/>
        </w:rPr>
      </w:pPr>
      <w:r>
        <w:rPr>
          <w:rFonts w:hint="eastAsia"/>
          <w:b/>
          <w:bCs/>
          <w:highlight w:val="none"/>
        </w:rPr>
        <w:t>1.10 本技术文件为采购基本要求，标注“★”的条款为关键条款，作为评标时打分的重点参考。</w:t>
      </w:r>
      <w:bookmarkStart w:id="5" w:name="_Toc305941519"/>
      <w:bookmarkStart w:id="6" w:name="_Toc305941224"/>
      <w:bookmarkStart w:id="7" w:name="_Toc397006838"/>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1.1</w:t>
      </w:r>
      <w:r>
        <w:rPr>
          <w:rFonts w:hint="eastAsia"/>
          <w:highlight w:val="none"/>
          <w:lang w:val="en-US" w:eastAsia="zh-CN"/>
        </w:rPr>
        <w:t>1</w:t>
      </w:r>
      <w:r>
        <w:rPr>
          <w:rFonts w:hint="eastAsia"/>
          <w:highlight w:val="none"/>
        </w:rPr>
        <w:t xml:space="preserve"> </w:t>
      </w:r>
      <w:r>
        <w:rPr>
          <w:rFonts w:hint="eastAsia"/>
          <w:highlight w:val="none"/>
          <w:lang w:val="en-US" w:eastAsia="zh-CN"/>
        </w:rPr>
        <w:t>中标通知书发出7个工作日内，投标人须交付标包内相应设备样机，与投标响应技术规范书中的功能参数进行验收比对；样机设备需保留在招标人指定地点（海口）；投标人需安排不少于1名技术人员，配合招标人进行设备功能的展示和验证。设备配送、安装及功能展示、验证等因本次抽检工作所产生的费用，由供方承担。</w:t>
      </w:r>
      <w:r>
        <w:rPr>
          <w:rFonts w:hint="eastAsia"/>
          <w:b/>
          <w:bCs/>
          <w:highlight w:val="none"/>
          <w:lang w:val="en-US" w:eastAsia="zh-CN"/>
        </w:rPr>
        <w:t>功能验证过程中，一经发现供方有未经过招标方同意而单方面降低性能标准、违背招投标文件要求而使用元件和原材料等行为，视为供方虚假应标行为。招标人将拒绝与中标单位签订合同，并按照《中国南方电网有限责任公司供应商不良行为处理管理细则》进行处理。</w:t>
      </w:r>
      <w:bookmarkEnd w:id="5"/>
      <w:bookmarkEnd w:id="6"/>
      <w:bookmarkEnd w:id="7"/>
      <w:bookmarkStart w:id="8" w:name="_Toc290652071"/>
      <w:bookmarkStart w:id="9" w:name="_Toc397006840"/>
      <w:bookmarkStart w:id="10" w:name="_Toc291768528"/>
      <w:bookmarkStart w:id="11" w:name="_Toc292221729"/>
      <w:bookmarkStart w:id="12" w:name="_Toc305941225"/>
    </w:p>
    <w:bookmarkEnd w:id="8"/>
    <w:bookmarkEnd w:id="9"/>
    <w:bookmarkEnd w:id="10"/>
    <w:bookmarkEnd w:id="11"/>
    <w:bookmarkEnd w:id="12"/>
    <w:p>
      <w:pPr>
        <w:pStyle w:val="3"/>
        <w:bidi w:val="0"/>
        <w:rPr>
          <w:highlight w:val="none"/>
        </w:rPr>
      </w:pPr>
      <w:bookmarkStart w:id="13" w:name="_Toc305941228"/>
      <w:bookmarkStart w:id="14" w:name="_Toc3763"/>
      <w:bookmarkStart w:id="15" w:name="_Toc397006842"/>
      <w:bookmarkStart w:id="16" w:name="_Toc305941520"/>
      <w:r>
        <w:rPr>
          <w:rFonts w:hint="eastAsia"/>
          <w:highlight w:val="none"/>
          <w:lang w:val="en-US" w:eastAsia="zh-CN"/>
        </w:rPr>
        <w:t>2</w:t>
      </w:r>
      <w:r>
        <w:rPr>
          <w:rFonts w:hint="eastAsia"/>
          <w:highlight w:val="none"/>
        </w:rPr>
        <w:t>.应遵循的主要标准</w:t>
      </w:r>
      <w:bookmarkEnd w:id="13"/>
      <w:bookmarkEnd w:id="14"/>
      <w:bookmarkEnd w:id="15"/>
      <w:bookmarkEnd w:id="16"/>
    </w:p>
    <w:p>
      <w:pPr>
        <w:pStyle w:val="21"/>
        <w:keepLines w:val="0"/>
        <w:pageBreakBefore w:val="0"/>
        <w:kinsoku/>
        <w:wordWrap/>
        <w:bidi w:val="0"/>
        <w:spacing w:line="500" w:lineRule="exact"/>
        <w:ind w:left="0" w:leftChars="0" w:firstLine="480" w:firstLineChars="200"/>
        <w:jc w:val="both"/>
        <w:rPr>
          <w:color w:val="auto"/>
          <w:highlight w:val="none"/>
        </w:rPr>
      </w:pPr>
      <w:r>
        <w:rPr>
          <w:rFonts w:hint="eastAsia"/>
          <w:highlight w:val="none"/>
        </w:rPr>
        <w:t xml:space="preserve">除本规范书特殊规定外, </w:t>
      </w:r>
      <w:r>
        <w:rPr>
          <w:rFonts w:hint="eastAsia"/>
          <w:highlight w:val="none"/>
          <w:lang w:eastAsia="zh-CN"/>
        </w:rPr>
        <w:t>投标人</w:t>
      </w:r>
      <w:r>
        <w:rPr>
          <w:rFonts w:hint="eastAsia"/>
          <w:highlight w:val="none"/>
        </w:rPr>
        <w:t>所提供的仪器均按规定的标准和规程的最新版本进行销售、设计、制造、试验和安装。如果这些标准内容有矛盾时, 应按最高标准的条款执行或按双方商定的标准执行。如果</w:t>
      </w:r>
      <w:r>
        <w:rPr>
          <w:rFonts w:hint="eastAsia"/>
          <w:highlight w:val="none"/>
          <w:lang w:eastAsia="zh-CN"/>
        </w:rPr>
        <w:t>投标人</w:t>
      </w:r>
      <w:r>
        <w:rPr>
          <w:rFonts w:hint="eastAsia"/>
          <w:highlight w:val="none"/>
        </w:rPr>
        <w:t>选用规范书规定以外的标准时, 则需提交这种替换标准供审查和分析。仅在</w:t>
      </w:r>
      <w:r>
        <w:rPr>
          <w:rFonts w:hint="eastAsia"/>
          <w:highlight w:val="none"/>
          <w:lang w:eastAsia="zh-CN"/>
        </w:rPr>
        <w:t>投标人</w:t>
      </w:r>
      <w:r>
        <w:rPr>
          <w:rFonts w:hint="eastAsia"/>
          <w:highlight w:val="none"/>
        </w:rPr>
        <w:t>已证明替换标准相当或优于规范书规定的标准, 并从买方处获得书面的认可才能使用。提交供审查的标准应为中文或英文版本。主要引用标准（</w:t>
      </w:r>
      <w:r>
        <w:rPr>
          <w:rFonts w:hint="eastAsia"/>
          <w:color w:val="auto"/>
          <w:highlight w:val="none"/>
        </w:rPr>
        <w:t>未注明年号的应采用最新版本）如下：</w:t>
      </w:r>
    </w:p>
    <w:p>
      <w:pPr>
        <w:pStyle w:val="21"/>
        <w:keepLines w:val="0"/>
        <w:pageBreakBefore w:val="0"/>
        <w:kinsoku/>
        <w:wordWrap/>
        <w:bidi w:val="0"/>
        <w:spacing w:line="500" w:lineRule="exact"/>
        <w:ind w:left="0" w:leftChars="0" w:firstLine="720" w:firstLineChars="300"/>
        <w:rPr>
          <w:color w:val="auto"/>
          <w:highlight w:val="none"/>
        </w:rPr>
      </w:pPr>
      <w:r>
        <w:rPr>
          <w:rFonts w:hint="eastAsia" w:ascii="宋体" w:hAnsi="宋体"/>
          <w:color w:val="auto"/>
          <w:szCs w:val="24"/>
          <w:highlight w:val="none"/>
          <w:lang w:eastAsia="zh-CN"/>
        </w:rPr>
        <w:t>介质响应分析仪（FDS测试仪）</w:t>
      </w:r>
      <w:r>
        <w:rPr>
          <w:rFonts w:hint="eastAsia"/>
          <w:color w:val="auto"/>
          <w:highlight w:val="none"/>
        </w:rPr>
        <w:t>：</w:t>
      </w:r>
    </w:p>
    <w:tbl>
      <w:tblPr>
        <w:tblStyle w:val="14"/>
        <w:tblW w:w="8080" w:type="dxa"/>
        <w:tblInd w:w="250" w:type="dxa"/>
        <w:tblLayout w:type="fixed"/>
        <w:tblCellMar>
          <w:top w:w="0" w:type="dxa"/>
          <w:left w:w="108" w:type="dxa"/>
          <w:bottom w:w="0" w:type="dxa"/>
          <w:right w:w="108" w:type="dxa"/>
        </w:tblCellMar>
      </w:tblPr>
      <w:tblGrid>
        <w:gridCol w:w="8080"/>
      </w:tblGrid>
      <w:tr>
        <w:tblPrEx>
          <w:tblCellMar>
            <w:top w:w="0" w:type="dxa"/>
            <w:left w:w="108" w:type="dxa"/>
            <w:bottom w:w="0" w:type="dxa"/>
            <w:right w:w="108" w:type="dxa"/>
          </w:tblCellMar>
        </w:tblPrEx>
        <w:trPr>
          <w:trHeight w:val="365" w:hRule="atLeast"/>
        </w:trPr>
        <w:tc>
          <w:tcPr>
            <w:tcW w:w="8080" w:type="dxa"/>
            <w:noWrap w:val="0"/>
            <w:vAlign w:val="top"/>
          </w:tcPr>
          <w:p>
            <w:pPr>
              <w:spacing w:line="360" w:lineRule="exact"/>
              <w:rPr>
                <w:rFonts w:ascii="宋体" w:hAnsi="宋体"/>
                <w:highlight w:val="none"/>
              </w:rPr>
            </w:pPr>
            <w:bookmarkStart w:id="17" w:name="OLE_LINK1"/>
            <w:r>
              <w:rPr>
                <w:rFonts w:hint="eastAsia" w:ascii="宋体" w:hAnsi="宋体"/>
                <w:highlight w:val="none"/>
              </w:rPr>
              <w:t>GB/T 16972.2-1997  高电压试验技术：测量系统</w:t>
            </w:r>
          </w:p>
        </w:tc>
      </w:tr>
      <w:tr>
        <w:tblPrEx>
          <w:tblCellMar>
            <w:top w:w="0" w:type="dxa"/>
            <w:left w:w="108" w:type="dxa"/>
            <w:bottom w:w="0" w:type="dxa"/>
            <w:right w:w="108" w:type="dxa"/>
          </w:tblCellMar>
        </w:tblPrEx>
        <w:trPr>
          <w:trHeight w:val="407" w:hRule="atLeast"/>
        </w:trPr>
        <w:tc>
          <w:tcPr>
            <w:tcW w:w="8080" w:type="dxa"/>
            <w:noWrap w:val="0"/>
            <w:vAlign w:val="top"/>
          </w:tcPr>
          <w:p>
            <w:pPr>
              <w:spacing w:line="360" w:lineRule="exact"/>
              <w:rPr>
                <w:rFonts w:ascii="宋体" w:hAnsi="宋体"/>
                <w:highlight w:val="none"/>
              </w:rPr>
            </w:pPr>
            <w:r>
              <w:rPr>
                <w:rFonts w:hint="eastAsia" w:ascii="宋体" w:hAnsi="宋体"/>
                <w:highlight w:val="none"/>
              </w:rPr>
              <w:t>DL/T 846.1-9-2004  高电压测试设备通用技术条件</w:t>
            </w:r>
          </w:p>
        </w:tc>
      </w:tr>
      <w:tr>
        <w:tblPrEx>
          <w:tblCellMar>
            <w:top w:w="0" w:type="dxa"/>
            <w:left w:w="108" w:type="dxa"/>
            <w:bottom w:w="0" w:type="dxa"/>
            <w:right w:w="108" w:type="dxa"/>
          </w:tblCellMar>
        </w:tblPrEx>
        <w:trPr>
          <w:trHeight w:val="383" w:hRule="atLeast"/>
        </w:trPr>
        <w:tc>
          <w:tcPr>
            <w:tcW w:w="8080" w:type="dxa"/>
            <w:noWrap w:val="0"/>
            <w:vAlign w:val="top"/>
          </w:tcPr>
          <w:p>
            <w:pPr>
              <w:spacing w:line="360" w:lineRule="exact"/>
              <w:rPr>
                <w:rFonts w:ascii="宋体" w:hAnsi="宋体"/>
                <w:highlight w:val="none"/>
              </w:rPr>
            </w:pPr>
            <w:r>
              <w:rPr>
                <w:rFonts w:hint="eastAsia" w:ascii="宋体" w:hAnsi="宋体"/>
                <w:highlight w:val="none"/>
              </w:rPr>
              <w:t>GB 1094.1-1996     电力变压器 第1部分 总则</w:t>
            </w:r>
          </w:p>
        </w:tc>
      </w:tr>
      <w:tr>
        <w:tblPrEx>
          <w:tblCellMar>
            <w:top w:w="0" w:type="dxa"/>
            <w:left w:w="108" w:type="dxa"/>
            <w:bottom w:w="0" w:type="dxa"/>
            <w:right w:w="108" w:type="dxa"/>
          </w:tblCellMar>
        </w:tblPrEx>
        <w:trPr>
          <w:trHeight w:val="365" w:hRule="atLeast"/>
        </w:trPr>
        <w:tc>
          <w:tcPr>
            <w:tcW w:w="8080" w:type="dxa"/>
            <w:noWrap w:val="0"/>
            <w:vAlign w:val="top"/>
          </w:tcPr>
          <w:p>
            <w:pPr>
              <w:spacing w:line="360" w:lineRule="exact"/>
              <w:rPr>
                <w:rFonts w:ascii="宋体" w:hAnsi="宋体"/>
                <w:highlight w:val="none"/>
              </w:rPr>
            </w:pPr>
            <w:r>
              <w:rPr>
                <w:rFonts w:hint="eastAsia" w:ascii="宋体" w:hAnsi="宋体"/>
                <w:highlight w:val="none"/>
              </w:rPr>
              <w:t>GB 1094.3-2003     电力变压器 第3部分 绝缘水平、绝缘试验和外绝缘空气间隙</w:t>
            </w:r>
          </w:p>
        </w:tc>
      </w:tr>
      <w:tr>
        <w:tblPrEx>
          <w:tblCellMar>
            <w:top w:w="0" w:type="dxa"/>
            <w:left w:w="108" w:type="dxa"/>
            <w:bottom w:w="0" w:type="dxa"/>
            <w:right w:w="108" w:type="dxa"/>
          </w:tblCellMar>
        </w:tblPrEx>
        <w:trPr>
          <w:trHeight w:val="365" w:hRule="atLeast"/>
        </w:trPr>
        <w:tc>
          <w:tcPr>
            <w:tcW w:w="8080" w:type="dxa"/>
            <w:noWrap w:val="0"/>
            <w:vAlign w:val="top"/>
          </w:tcPr>
          <w:p>
            <w:pPr>
              <w:spacing w:line="360" w:lineRule="exact"/>
              <w:rPr>
                <w:rFonts w:ascii="宋体" w:hAnsi="宋体"/>
                <w:highlight w:val="none"/>
              </w:rPr>
            </w:pPr>
            <w:r>
              <w:rPr>
                <w:rFonts w:hint="eastAsia" w:ascii="宋体" w:hAnsi="宋体"/>
                <w:highlight w:val="none"/>
              </w:rPr>
              <w:t>GB 1094.11-2007    电力变压器 第11部分 干式变压器</w:t>
            </w:r>
          </w:p>
        </w:tc>
      </w:tr>
      <w:tr>
        <w:tblPrEx>
          <w:tblCellMar>
            <w:top w:w="0" w:type="dxa"/>
            <w:left w:w="108" w:type="dxa"/>
            <w:bottom w:w="0" w:type="dxa"/>
            <w:right w:w="108" w:type="dxa"/>
          </w:tblCellMar>
        </w:tblPrEx>
        <w:trPr>
          <w:trHeight w:val="383" w:hRule="atLeast"/>
        </w:trPr>
        <w:tc>
          <w:tcPr>
            <w:tcW w:w="8080" w:type="dxa"/>
            <w:noWrap w:val="0"/>
            <w:vAlign w:val="top"/>
          </w:tcPr>
          <w:p>
            <w:pPr>
              <w:spacing w:line="360" w:lineRule="exact"/>
              <w:rPr>
                <w:rFonts w:ascii="宋体" w:hAnsi="宋体"/>
                <w:highlight w:val="none"/>
              </w:rPr>
            </w:pPr>
            <w:r>
              <w:rPr>
                <w:rFonts w:hint="eastAsia" w:ascii="宋体" w:hAnsi="宋体"/>
                <w:highlight w:val="none"/>
              </w:rPr>
              <w:t>JB/T 501-2006      电力变压器试验导则</w:t>
            </w:r>
          </w:p>
        </w:tc>
      </w:tr>
      <w:tr>
        <w:tblPrEx>
          <w:tblCellMar>
            <w:top w:w="0" w:type="dxa"/>
            <w:left w:w="108" w:type="dxa"/>
            <w:bottom w:w="0" w:type="dxa"/>
            <w:right w:w="108" w:type="dxa"/>
          </w:tblCellMar>
        </w:tblPrEx>
        <w:trPr>
          <w:trHeight w:val="383" w:hRule="atLeast"/>
        </w:trPr>
        <w:tc>
          <w:tcPr>
            <w:tcW w:w="8080" w:type="dxa"/>
            <w:noWrap w:val="0"/>
            <w:vAlign w:val="top"/>
          </w:tcPr>
          <w:p>
            <w:pPr>
              <w:spacing w:line="360" w:lineRule="exact"/>
              <w:rPr>
                <w:rFonts w:ascii="宋体" w:hAnsi="宋体"/>
                <w:highlight w:val="none"/>
              </w:rPr>
            </w:pPr>
            <w:r>
              <w:rPr>
                <w:rFonts w:hint="eastAsia" w:ascii="宋体" w:hAnsi="宋体"/>
                <w:highlight w:val="none"/>
              </w:rPr>
              <w:t>IEC60422           评估绝缘纸/纸板状况标准</w:t>
            </w:r>
          </w:p>
        </w:tc>
      </w:tr>
      <w:tr>
        <w:tblPrEx>
          <w:tblCellMar>
            <w:top w:w="0" w:type="dxa"/>
            <w:left w:w="108" w:type="dxa"/>
            <w:bottom w:w="0" w:type="dxa"/>
            <w:right w:w="108" w:type="dxa"/>
          </w:tblCellMar>
        </w:tblPrEx>
        <w:trPr>
          <w:trHeight w:val="600" w:hRule="atLeast"/>
        </w:trPr>
        <w:tc>
          <w:tcPr>
            <w:tcW w:w="8080" w:type="dxa"/>
            <w:noWrap w:val="0"/>
            <w:vAlign w:val="top"/>
          </w:tcPr>
          <w:p>
            <w:pPr>
              <w:spacing w:line="360" w:lineRule="exact"/>
              <w:rPr>
                <w:rFonts w:ascii="宋体" w:hAnsi="宋体"/>
                <w:highlight w:val="none"/>
              </w:rPr>
            </w:pPr>
            <w:r>
              <w:rPr>
                <w:rFonts w:hint="eastAsia" w:ascii="宋体" w:hAnsi="宋体"/>
                <w:highlight w:val="none"/>
              </w:rPr>
              <w:t>IEC61000-4-7：2002   电磁兼容试验和测量技术供电系统及所连设备谐波、谐间波的测量和测量仪器导则</w:t>
            </w:r>
          </w:p>
        </w:tc>
      </w:tr>
      <w:tr>
        <w:tblPrEx>
          <w:tblCellMar>
            <w:top w:w="0" w:type="dxa"/>
            <w:left w:w="108" w:type="dxa"/>
            <w:bottom w:w="0" w:type="dxa"/>
            <w:right w:w="108" w:type="dxa"/>
          </w:tblCellMar>
        </w:tblPrEx>
        <w:trPr>
          <w:trHeight w:val="383" w:hRule="atLeast"/>
        </w:trPr>
        <w:tc>
          <w:tcPr>
            <w:tcW w:w="8080" w:type="dxa"/>
            <w:noWrap w:val="0"/>
            <w:vAlign w:val="top"/>
          </w:tcPr>
          <w:p>
            <w:pPr>
              <w:spacing w:line="360" w:lineRule="exact"/>
              <w:rPr>
                <w:rFonts w:ascii="宋体" w:hAnsi="宋体"/>
                <w:highlight w:val="none"/>
              </w:rPr>
            </w:pPr>
            <w:r>
              <w:rPr>
                <w:rFonts w:hint="eastAsia" w:ascii="宋体" w:hAnsi="宋体"/>
                <w:highlight w:val="none"/>
              </w:rPr>
              <w:t>IEC61000-4-15：2003  电磁兼容试验和测量技术闪变测试仪-功能和设计规范</w:t>
            </w:r>
          </w:p>
        </w:tc>
      </w:tr>
      <w:tr>
        <w:tblPrEx>
          <w:tblCellMar>
            <w:top w:w="0" w:type="dxa"/>
            <w:left w:w="108" w:type="dxa"/>
            <w:bottom w:w="0" w:type="dxa"/>
            <w:right w:w="108" w:type="dxa"/>
          </w:tblCellMar>
        </w:tblPrEx>
        <w:trPr>
          <w:trHeight w:val="383" w:hRule="atLeast"/>
        </w:trPr>
        <w:tc>
          <w:tcPr>
            <w:tcW w:w="8080" w:type="dxa"/>
            <w:noWrap w:val="0"/>
            <w:vAlign w:val="top"/>
          </w:tcPr>
          <w:p>
            <w:pPr>
              <w:spacing w:line="360" w:lineRule="exact"/>
              <w:rPr>
                <w:rFonts w:ascii="宋体" w:hAnsi="宋体"/>
                <w:highlight w:val="none"/>
              </w:rPr>
            </w:pPr>
            <w:r>
              <w:rPr>
                <w:rFonts w:hint="eastAsia" w:ascii="宋体" w:hAnsi="宋体"/>
                <w:highlight w:val="none"/>
              </w:rPr>
              <w:t>GB/T17626            电磁兼容试验和测量技术抗扰度试验</w:t>
            </w:r>
          </w:p>
        </w:tc>
      </w:tr>
    </w:tbl>
    <w:p>
      <w:pPr>
        <w:pStyle w:val="21"/>
        <w:keepLines w:val="0"/>
        <w:pageBreakBefore w:val="0"/>
        <w:kinsoku/>
        <w:wordWrap/>
        <w:bidi w:val="0"/>
        <w:spacing w:line="500" w:lineRule="exact"/>
        <w:ind w:left="0" w:leftChars="0" w:firstLine="720" w:firstLineChars="300"/>
        <w:rPr>
          <w:color w:val="FF0000"/>
          <w:highlight w:val="none"/>
        </w:rPr>
      </w:pPr>
      <w:r>
        <w:rPr>
          <w:rFonts w:hint="eastAsia" w:ascii="宋体" w:hAnsi="宋体"/>
          <w:highlight w:val="none"/>
        </w:rPr>
        <w:t>GB/T14217-1993         电容器纸介质损耗因数(tan</w:t>
      </w:r>
      <w:r>
        <w:rPr>
          <w:rFonts w:ascii="宋体" w:hAnsi="宋体"/>
          <w:highlight w:val="none"/>
        </w:rPr>
        <w:t>σ</w:t>
      </w:r>
      <w:r>
        <w:rPr>
          <w:rFonts w:hint="eastAsia" w:ascii="宋体" w:hAnsi="宋体"/>
          <w:highlight w:val="none"/>
        </w:rPr>
        <w:t>)测定法</w:t>
      </w:r>
      <w:bookmarkEnd w:id="17"/>
    </w:p>
    <w:p>
      <w:pPr>
        <w:pStyle w:val="3"/>
        <w:bidi w:val="0"/>
        <w:rPr>
          <w:highlight w:val="none"/>
        </w:rPr>
      </w:pPr>
      <w:bookmarkStart w:id="18" w:name="_Toc397006843"/>
      <w:bookmarkStart w:id="19" w:name="_Toc305941229"/>
      <w:bookmarkStart w:id="20" w:name="_Toc305941521"/>
      <w:bookmarkStart w:id="21" w:name="_Toc279769035"/>
      <w:bookmarkStart w:id="22" w:name="_Toc13932"/>
      <w:r>
        <w:rPr>
          <w:rFonts w:hint="eastAsia"/>
          <w:highlight w:val="none"/>
          <w:lang w:val="en-US" w:eastAsia="zh-CN"/>
        </w:rPr>
        <w:t>3</w:t>
      </w:r>
      <w:r>
        <w:rPr>
          <w:rFonts w:hint="eastAsia"/>
          <w:highlight w:val="none"/>
        </w:rPr>
        <w:t>.使用条件</w:t>
      </w:r>
      <w:bookmarkEnd w:id="18"/>
      <w:bookmarkEnd w:id="19"/>
      <w:bookmarkEnd w:id="20"/>
      <w:bookmarkEnd w:id="21"/>
      <w:bookmarkEnd w:id="22"/>
    </w:p>
    <w:p>
      <w:pPr>
        <w:keepLines w:val="0"/>
        <w:pageBreakBefore w:val="0"/>
        <w:kinsoku/>
        <w:wordWrap/>
        <w:bidi w:val="0"/>
        <w:spacing w:line="500" w:lineRule="exact"/>
        <w:ind w:left="410"/>
        <w:rPr>
          <w:highlight w:val="none"/>
        </w:rPr>
      </w:pPr>
      <w:bookmarkStart w:id="23" w:name="_Toc279769036"/>
      <w:r>
        <w:rPr>
          <w:rFonts w:hint="eastAsia"/>
          <w:highlight w:val="none"/>
        </w:rPr>
        <w:tab/>
      </w:r>
      <w:r>
        <w:rPr>
          <w:rFonts w:hint="eastAsia"/>
          <w:highlight w:val="none"/>
        </w:rPr>
        <w:tab/>
      </w:r>
      <w:r>
        <w:rPr>
          <w:rFonts w:hint="eastAsia"/>
          <w:highlight w:val="none"/>
        </w:rPr>
        <w:t>本次采购的</w:t>
      </w:r>
      <w:r>
        <w:rPr>
          <w:rFonts w:hint="eastAsia"/>
          <w:color w:val="auto"/>
          <w:highlight w:val="none"/>
          <w:lang w:eastAsia="zh-CN"/>
        </w:rPr>
        <w:t>介质响应分析仪（FDS测试仪）</w:t>
      </w:r>
      <w:r>
        <w:rPr>
          <w:rFonts w:hint="eastAsia"/>
          <w:color w:val="auto"/>
          <w:highlight w:val="none"/>
          <w:shd w:val="clear" w:color="auto" w:fill="FFFFFF"/>
        </w:rPr>
        <w:t>等仪器</w:t>
      </w:r>
      <w:r>
        <w:rPr>
          <w:rFonts w:hint="eastAsia"/>
          <w:highlight w:val="none"/>
        </w:rPr>
        <w:t>，</w:t>
      </w:r>
      <w:r>
        <w:rPr>
          <w:rFonts w:hint="eastAsia"/>
          <w:highlight w:val="none"/>
          <w:lang w:eastAsia="zh-CN"/>
        </w:rPr>
        <w:t>投标人</w:t>
      </w:r>
      <w:r>
        <w:rPr>
          <w:rFonts w:hint="eastAsia"/>
          <w:highlight w:val="none"/>
        </w:rPr>
        <w:t>应保证对所提供的仪器不仅满足规范书要求的技术条款要求，而且还应对在实际使用地点的外部条件（正常使用条件及特殊使用条件）下的相关性能参数进行校验、核对，使所供仪器满足实际外部条件要求及全工况运行要求。</w:t>
      </w:r>
    </w:p>
    <w:p>
      <w:pPr>
        <w:keepLines w:val="0"/>
        <w:pageBreakBefore w:val="0"/>
        <w:kinsoku/>
        <w:wordWrap/>
        <w:bidi w:val="0"/>
        <w:spacing w:line="500" w:lineRule="exact"/>
        <w:ind w:left="410" w:firstLine="480" w:firstLineChars="200"/>
        <w:rPr>
          <w:highlight w:val="none"/>
        </w:rPr>
      </w:pPr>
      <w:r>
        <w:rPr>
          <w:rFonts w:hint="eastAsia"/>
          <w:highlight w:val="none"/>
          <w:lang w:eastAsia="zh-CN"/>
        </w:rPr>
        <w:t>投标人</w:t>
      </w:r>
      <w:r>
        <w:rPr>
          <w:rFonts w:hint="eastAsia"/>
          <w:highlight w:val="none"/>
        </w:rPr>
        <w:t>应对正常使用条件之外的特殊使用条件涉及的相关事项，应在报价文件及供货中特别说明。</w:t>
      </w:r>
      <w:r>
        <w:rPr>
          <w:rFonts w:hint="eastAsia" w:cs="宋体"/>
          <w:highlight w:val="none"/>
          <w:lang w:eastAsia="zh-CN"/>
        </w:rPr>
        <w:t>投标人</w:t>
      </w:r>
      <w:r>
        <w:rPr>
          <w:rFonts w:hint="eastAsia" w:cs="宋体"/>
          <w:highlight w:val="none"/>
        </w:rPr>
        <w:t>可采用更好，更经济的设计和材料，以便本项目采购的设备能持续稳定的运行，但需获得采购人书面的认可才能使用。</w:t>
      </w:r>
    </w:p>
    <w:p>
      <w:pPr>
        <w:keepLines w:val="0"/>
        <w:pageBreakBefore w:val="0"/>
        <w:kinsoku/>
        <w:wordWrap/>
        <w:bidi w:val="0"/>
        <w:spacing w:line="500" w:lineRule="exact"/>
        <w:ind w:left="410"/>
        <w:rPr>
          <w:b w:val="0"/>
          <w:bCs w:val="0"/>
          <w:highlight w:val="none"/>
        </w:rPr>
      </w:pPr>
      <w:bookmarkStart w:id="24" w:name="_Toc397006844"/>
      <w:bookmarkStart w:id="25" w:name="_Toc305941230"/>
      <w:r>
        <w:rPr>
          <w:rFonts w:hint="eastAsia"/>
          <w:b w:val="0"/>
          <w:bCs w:val="0"/>
          <w:highlight w:val="none"/>
          <w:lang w:val="en-US" w:eastAsia="zh-CN"/>
        </w:rPr>
        <w:t>3</w:t>
      </w:r>
      <w:r>
        <w:rPr>
          <w:rFonts w:hint="eastAsia"/>
          <w:b w:val="0"/>
          <w:bCs w:val="0"/>
          <w:highlight w:val="none"/>
        </w:rPr>
        <w:t>.1</w:t>
      </w:r>
      <w:bookmarkStart w:id="26" w:name="_Toc285701796"/>
      <w:bookmarkStart w:id="27" w:name="_Toc285621516"/>
      <w:r>
        <w:rPr>
          <w:rFonts w:hint="eastAsia"/>
          <w:b w:val="0"/>
          <w:bCs w:val="0"/>
          <w:highlight w:val="none"/>
        </w:rPr>
        <w:t>正常使用条件</w:t>
      </w:r>
      <w:bookmarkEnd w:id="23"/>
      <w:bookmarkEnd w:id="24"/>
      <w:bookmarkEnd w:id="25"/>
      <w:bookmarkEnd w:id="26"/>
      <w:bookmarkEnd w:id="27"/>
      <w:bookmarkStart w:id="28" w:name="_Toc276490903"/>
      <w:bookmarkStart w:id="29" w:name="_Toc276492375"/>
    </w:p>
    <w:p>
      <w:pPr>
        <w:keepLines w:val="0"/>
        <w:pageBreakBefore w:val="0"/>
        <w:kinsoku/>
        <w:wordWrap/>
        <w:bidi w:val="0"/>
        <w:spacing w:line="500" w:lineRule="exact"/>
        <w:ind w:left="410"/>
        <w:rPr>
          <w:highlight w:val="none"/>
        </w:rPr>
      </w:pPr>
      <w:bookmarkStart w:id="30" w:name="_Toc305940419"/>
      <w:r>
        <w:rPr>
          <w:rFonts w:hint="eastAsia"/>
          <w:highlight w:val="none"/>
        </w:rPr>
        <w:t>本仪器技术文件所规定的仪器技术条款和参数要求，应适用下列环境条件使用。</w:t>
      </w:r>
      <w:bookmarkEnd w:id="30"/>
    </w:p>
    <w:p>
      <w:pPr>
        <w:tabs>
          <w:tab w:val="left" w:pos="1125"/>
          <w:tab w:val="left" w:pos="3960"/>
        </w:tabs>
        <w:spacing w:line="360" w:lineRule="auto"/>
        <w:rPr>
          <w:rFonts w:hint="eastAsia" w:ascii="宋体" w:hAnsi="宋体"/>
          <w:szCs w:val="21"/>
          <w:highlight w:val="none"/>
        </w:rPr>
      </w:pPr>
      <w:bookmarkStart w:id="31" w:name="_Toc397006845"/>
      <w:r>
        <w:rPr>
          <w:rFonts w:hint="eastAsia" w:ascii="宋体" w:hAnsi="宋体"/>
          <w:szCs w:val="21"/>
          <w:highlight w:val="none"/>
        </w:rPr>
        <w:t>环境温度：-10～+45℃</w:t>
      </w:r>
    </w:p>
    <w:p>
      <w:pPr>
        <w:tabs>
          <w:tab w:val="left" w:pos="1125"/>
          <w:tab w:val="left" w:pos="3960"/>
        </w:tabs>
        <w:spacing w:line="360" w:lineRule="auto"/>
        <w:rPr>
          <w:rFonts w:hint="eastAsia" w:ascii="宋体" w:hAnsi="宋体"/>
          <w:szCs w:val="21"/>
          <w:highlight w:val="none"/>
        </w:rPr>
      </w:pPr>
      <w:r>
        <w:rPr>
          <w:rFonts w:hint="eastAsia" w:ascii="宋体" w:hAnsi="宋体"/>
          <w:szCs w:val="21"/>
          <w:highlight w:val="none"/>
        </w:rPr>
        <w:t>相对湿度：5%-95%（无凝露，也不结冰）；</w:t>
      </w:r>
    </w:p>
    <w:p>
      <w:pPr>
        <w:tabs>
          <w:tab w:val="left" w:pos="1125"/>
          <w:tab w:val="left" w:pos="3960"/>
        </w:tabs>
        <w:spacing w:line="360" w:lineRule="auto"/>
        <w:rPr>
          <w:rFonts w:hint="eastAsia" w:ascii="宋体" w:hAnsi="宋体"/>
          <w:szCs w:val="21"/>
          <w:highlight w:val="none"/>
        </w:rPr>
      </w:pPr>
      <w:r>
        <w:rPr>
          <w:rFonts w:hint="eastAsia" w:ascii="宋体" w:hAnsi="宋体"/>
          <w:szCs w:val="21"/>
          <w:highlight w:val="none"/>
        </w:rPr>
        <w:t>大气压力：70kPa～106kPa；</w:t>
      </w:r>
    </w:p>
    <w:p>
      <w:pPr>
        <w:tabs>
          <w:tab w:val="left" w:pos="1125"/>
          <w:tab w:val="left" w:pos="3960"/>
        </w:tabs>
        <w:spacing w:line="360" w:lineRule="auto"/>
        <w:rPr>
          <w:rFonts w:hint="eastAsia" w:ascii="宋体" w:hAnsi="宋体"/>
          <w:szCs w:val="21"/>
          <w:highlight w:val="none"/>
        </w:rPr>
      </w:pPr>
      <w:r>
        <w:rPr>
          <w:rFonts w:hint="eastAsia" w:ascii="宋体" w:hAnsi="宋体"/>
          <w:szCs w:val="21"/>
          <w:highlight w:val="none"/>
        </w:rPr>
        <w:t>海拔高度：＜1000m</w:t>
      </w:r>
    </w:p>
    <w:p>
      <w:pPr>
        <w:tabs>
          <w:tab w:val="left" w:pos="1125"/>
          <w:tab w:val="left" w:pos="3960"/>
        </w:tabs>
        <w:spacing w:line="360" w:lineRule="auto"/>
        <w:rPr>
          <w:rFonts w:hint="eastAsia" w:ascii="宋体" w:hAnsi="宋体"/>
          <w:szCs w:val="21"/>
          <w:highlight w:val="none"/>
        </w:rPr>
      </w:pPr>
      <w:r>
        <w:rPr>
          <w:rFonts w:hint="eastAsia" w:ascii="宋体" w:hAnsi="宋体"/>
          <w:szCs w:val="21"/>
          <w:highlight w:val="none"/>
        </w:rPr>
        <w:t>地震烈度：8度；水平加速度：025g; 垂直加速度：0.125g</w:t>
      </w:r>
    </w:p>
    <w:p>
      <w:pPr>
        <w:tabs>
          <w:tab w:val="left" w:pos="1125"/>
          <w:tab w:val="left" w:pos="3960"/>
        </w:tabs>
        <w:spacing w:line="360" w:lineRule="auto"/>
        <w:rPr>
          <w:rFonts w:hint="eastAsia" w:ascii="宋体" w:hAnsi="宋体"/>
          <w:szCs w:val="21"/>
          <w:highlight w:val="none"/>
        </w:rPr>
      </w:pPr>
      <w:r>
        <w:rPr>
          <w:rFonts w:hint="eastAsia" w:ascii="宋体" w:hAnsi="宋体"/>
          <w:szCs w:val="21"/>
          <w:highlight w:val="none"/>
        </w:rPr>
        <w:t>防护等级 IP30</w:t>
      </w:r>
    </w:p>
    <w:p>
      <w:pPr>
        <w:tabs>
          <w:tab w:val="left" w:pos="1125"/>
          <w:tab w:val="left" w:pos="3960"/>
        </w:tabs>
        <w:spacing w:line="360" w:lineRule="auto"/>
        <w:rPr>
          <w:rFonts w:hint="eastAsia" w:ascii="宋体" w:hAnsi="宋体"/>
          <w:szCs w:val="21"/>
          <w:highlight w:val="none"/>
        </w:rPr>
      </w:pPr>
      <w:r>
        <w:rPr>
          <w:rFonts w:hint="eastAsia" w:ascii="宋体" w:hAnsi="宋体"/>
          <w:szCs w:val="21"/>
          <w:highlight w:val="none"/>
        </w:rPr>
        <w:t>无强烈振动和冲击，无强电磁干扰，不得有爆炸危险介质，周围介质不含有腐蚀金属和破坏绝缘的有害气体及导电介质。</w:t>
      </w:r>
    </w:p>
    <w:p>
      <w:pPr>
        <w:keepLines w:val="0"/>
        <w:pageBreakBefore w:val="0"/>
        <w:kinsoku/>
        <w:wordWrap/>
        <w:bidi w:val="0"/>
        <w:spacing w:line="500" w:lineRule="exact"/>
        <w:ind w:left="410"/>
        <w:rPr>
          <w:highlight w:val="none"/>
        </w:rPr>
      </w:pPr>
      <w:r>
        <w:rPr>
          <w:rFonts w:hint="eastAsia"/>
          <w:highlight w:val="none"/>
          <w:lang w:val="en-US" w:eastAsia="zh-CN"/>
        </w:rPr>
        <w:t>3</w:t>
      </w:r>
      <w:r>
        <w:rPr>
          <w:rFonts w:hint="eastAsia"/>
          <w:highlight w:val="none"/>
        </w:rPr>
        <w:t>.2特殊使用条件要求（如有）</w:t>
      </w:r>
      <w:bookmarkEnd w:id="31"/>
    </w:p>
    <w:bookmarkEnd w:id="28"/>
    <w:bookmarkEnd w:id="29"/>
    <w:p>
      <w:pPr>
        <w:keepLines w:val="0"/>
        <w:pageBreakBefore w:val="0"/>
        <w:kinsoku/>
        <w:wordWrap/>
        <w:bidi w:val="0"/>
        <w:spacing w:line="500" w:lineRule="exact"/>
        <w:ind w:left="410"/>
        <w:rPr>
          <w:rFonts w:hint="eastAsia"/>
          <w:highlight w:val="none"/>
          <w:lang w:val="en-US" w:eastAsia="zh-CN"/>
        </w:rPr>
      </w:pPr>
      <w:r>
        <w:rPr>
          <w:rFonts w:hint="eastAsia"/>
          <w:highlight w:val="none"/>
          <w:lang w:val="en-US" w:eastAsia="zh-CN"/>
        </w:rPr>
        <w:tab/>
      </w:r>
      <w:r>
        <w:rPr>
          <w:rFonts w:hint="eastAsia"/>
          <w:highlight w:val="none"/>
          <w:lang w:val="en-US" w:eastAsia="zh-CN"/>
        </w:rPr>
        <w:t>凡不满足3.1条正常使用条件之外的特殊条件，应在报价文件的相应技术条款中对有关技术参数及要求加以修正、说明。凡是需要满足3.1条规定的正常环境条件之外的特殊使用条件，应在报价文件及供货中说明。</w:t>
      </w:r>
    </w:p>
    <w:p>
      <w:pPr>
        <w:pStyle w:val="3"/>
        <w:bidi w:val="0"/>
        <w:rPr>
          <w:rFonts w:hint="eastAsia" w:ascii="宋体" w:hAnsi="宋体" w:eastAsia="宋体" w:cs="Times New Roman"/>
          <w:b w:val="0"/>
          <w:color w:val="000000"/>
          <w:kern w:val="2"/>
          <w:sz w:val="24"/>
          <w:szCs w:val="24"/>
          <w:highlight w:val="none"/>
          <w:lang w:val="en-US" w:eastAsia="zh-CN" w:bidi="ar-SA"/>
        </w:rPr>
      </w:pPr>
      <w:bookmarkStart w:id="32" w:name="_Toc22886"/>
      <w:r>
        <w:rPr>
          <w:rFonts w:hint="eastAsia"/>
          <w:highlight w:val="none"/>
          <w:lang w:val="en-US" w:eastAsia="zh-CN"/>
        </w:rPr>
        <w:t>4</w:t>
      </w:r>
      <w:r>
        <w:rPr>
          <w:rFonts w:hint="eastAsia"/>
          <w:highlight w:val="none"/>
        </w:rPr>
        <w:t>.技术要求</w:t>
      </w:r>
      <w:bookmarkEnd w:id="32"/>
    </w:p>
    <w:p>
      <w:pPr>
        <w:keepNext w:val="0"/>
        <w:keepLines w:val="0"/>
        <w:pageBreakBefore w:val="0"/>
        <w:widowControl w:val="0"/>
        <w:kinsoku/>
        <w:wordWrap/>
        <w:overflowPunct/>
        <w:topLinePunct w:val="0"/>
        <w:autoSpaceDE/>
        <w:autoSpaceDN/>
        <w:bidi w:val="0"/>
        <w:adjustRightInd/>
        <w:snapToGrid/>
        <w:spacing w:line="500" w:lineRule="exact"/>
        <w:textAlignment w:val="auto"/>
        <w:rPr>
          <w:highlight w:val="none"/>
        </w:rPr>
      </w:pPr>
      <w:r>
        <w:rPr>
          <w:rFonts w:hint="eastAsia"/>
          <w:highlight w:val="none"/>
          <w:lang w:val="en-US" w:eastAsia="zh-CN"/>
        </w:rPr>
        <w:t>4</w:t>
      </w:r>
      <w:r>
        <w:rPr>
          <w:rFonts w:hint="eastAsia"/>
          <w:highlight w:val="none"/>
        </w:rPr>
        <w:t>.1</w:t>
      </w:r>
      <w:r>
        <w:rPr>
          <w:rFonts w:hint="eastAsia"/>
          <w:highlight w:val="none"/>
          <w:lang w:eastAsia="zh-CN"/>
        </w:rPr>
        <w:t>介质响应分析仪（FDS测试仪）</w:t>
      </w:r>
      <w:r>
        <w:rPr>
          <w:rFonts w:hint="eastAsia"/>
          <w:color w:val="auto"/>
          <w:highlight w:val="none"/>
          <w:shd w:val="clear" w:color="auto" w:fill="FFFFFF"/>
        </w:rPr>
        <w:t>功能</w:t>
      </w:r>
      <w:r>
        <w:rPr>
          <w:rFonts w:hint="eastAsia"/>
          <w:highlight w:val="none"/>
        </w:rPr>
        <w:t>要求</w:t>
      </w:r>
    </w:p>
    <w:p>
      <w:pPr>
        <w:tabs>
          <w:tab w:val="left" w:pos="1125"/>
          <w:tab w:val="left" w:pos="3960"/>
        </w:tabs>
        <w:spacing w:line="360" w:lineRule="auto"/>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1.</w:t>
      </w:r>
      <w:r>
        <w:rPr>
          <w:rFonts w:hint="eastAsia" w:ascii="宋体" w:hAnsi="宋体"/>
          <w:szCs w:val="21"/>
          <w:highlight w:val="none"/>
        </w:rPr>
        <w:t>投标产品必须通过国家认可权威机构实验室检验，并提供有效校准报告。</w:t>
      </w:r>
    </w:p>
    <w:p>
      <w:pPr>
        <w:tabs>
          <w:tab w:val="left" w:pos="1125"/>
          <w:tab w:val="left" w:pos="3960"/>
        </w:tabs>
        <w:spacing w:line="360" w:lineRule="auto"/>
        <w:rPr>
          <w:rFonts w:hint="eastAsia" w:ascii="宋体" w:hAnsi="宋体"/>
          <w:szCs w:val="21"/>
          <w:highlight w:val="non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lang w:val="en-US" w:eastAsia="zh-CN"/>
        </w:rPr>
        <w:t>.</w:t>
      </w:r>
      <w:r>
        <w:rPr>
          <w:rFonts w:hint="eastAsia" w:ascii="宋体" w:hAnsi="宋体"/>
          <w:szCs w:val="21"/>
          <w:highlight w:val="none"/>
        </w:rPr>
        <w:t>快速完成宽频域介损曲线测试，准确测量各种频率介损因数、电容、电导率、阻抗、水饱和度；自动完成变压器套管的水含量评估。</w:t>
      </w:r>
    </w:p>
    <w:p>
      <w:pPr>
        <w:tabs>
          <w:tab w:val="left" w:pos="1125"/>
          <w:tab w:val="left" w:pos="3960"/>
        </w:tabs>
        <w:spacing w:line="360" w:lineRule="auto"/>
        <w:rPr>
          <w:rFonts w:hint="eastAsia"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3.可以测量50或</w:t>
      </w:r>
      <w:r>
        <w:rPr>
          <w:rFonts w:hint="default" w:ascii="宋体" w:hAnsi="宋体"/>
          <w:szCs w:val="21"/>
          <w:highlight w:val="none"/>
          <w:lang w:val="en-US" w:eastAsia="zh-CN"/>
        </w:rPr>
        <w:t>60Hz</w:t>
      </w:r>
      <w:r>
        <w:rPr>
          <w:rFonts w:hint="eastAsia" w:ascii="宋体" w:hAnsi="宋体"/>
          <w:szCs w:val="21"/>
          <w:highlight w:val="none"/>
          <w:lang w:val="en-US" w:eastAsia="zh-CN"/>
        </w:rPr>
        <w:t>的电容、损耗因数</w:t>
      </w:r>
      <w:r>
        <w:rPr>
          <w:rFonts w:hint="default" w:ascii="宋体" w:hAnsi="宋体"/>
          <w:szCs w:val="21"/>
          <w:highlight w:val="none"/>
          <w:lang w:val="en-US" w:eastAsia="zh-CN"/>
        </w:rPr>
        <w:t xml:space="preserve">/tan delta </w:t>
      </w:r>
      <w:r>
        <w:rPr>
          <w:rFonts w:hint="eastAsia" w:ascii="宋体" w:hAnsi="宋体"/>
          <w:szCs w:val="21"/>
          <w:highlight w:val="none"/>
          <w:lang w:val="en-US" w:eastAsia="zh-CN"/>
        </w:rPr>
        <w:t>和励磁电流值，并可进行绝缘电阻测量。</w:t>
      </w:r>
    </w:p>
    <w:p>
      <w:pPr>
        <w:tabs>
          <w:tab w:val="left" w:pos="1125"/>
          <w:tab w:val="left" w:pos="3960"/>
        </w:tabs>
        <w:spacing w:line="360" w:lineRule="auto"/>
        <w:rPr>
          <w:rFonts w:hint="default" w:ascii="宋体" w:hAnsi="宋体"/>
          <w:szCs w:val="21"/>
          <w:highlight w:val="none"/>
          <w:lang w:val="en-US"/>
        </w:rPr>
      </w:pPr>
      <w:bookmarkStart w:id="33" w:name="_Hlk201173150"/>
      <w:r>
        <w:rPr>
          <w:rFonts w:hint="eastAsia" w:ascii="宋体" w:hAnsi="宋体"/>
          <w:szCs w:val="21"/>
          <w:highlight w:val="none"/>
        </w:rPr>
        <w:t>★</w:t>
      </w:r>
      <w:bookmarkEnd w:id="33"/>
      <w:r>
        <w:rPr>
          <w:rFonts w:hint="eastAsia" w:ascii="宋体" w:hAnsi="宋体"/>
          <w:szCs w:val="21"/>
          <w:highlight w:val="none"/>
        </w:rPr>
        <w:t>4.采用IEC Arrhenius公式（独特温度校正）来计算和补偿温度对材料的影响</w:t>
      </w:r>
      <w:r>
        <w:rPr>
          <w:rFonts w:hint="eastAsia" w:ascii="宋体" w:hAnsi="宋体"/>
          <w:szCs w:val="21"/>
          <w:highlight w:val="none"/>
          <w:lang w:eastAsia="zh-CN"/>
        </w:rPr>
        <w:t>，</w:t>
      </w:r>
      <w:r>
        <w:rPr>
          <w:rFonts w:hint="eastAsia" w:ascii="宋体" w:hAnsi="宋体"/>
          <w:szCs w:val="21"/>
          <w:highlight w:val="none"/>
          <w:lang w:val="en-US" w:eastAsia="zh-CN"/>
        </w:rPr>
        <w:t>涵盖的材料包括树脂浸渍纸、油浸渍纸和树脂装订纸。</w:t>
      </w:r>
    </w:p>
    <w:p>
      <w:pPr>
        <w:tabs>
          <w:tab w:val="left" w:pos="1125"/>
          <w:tab w:val="left" w:pos="3960"/>
        </w:tabs>
        <w:spacing w:line="360" w:lineRule="auto"/>
        <w:rPr>
          <w:rFonts w:hint="eastAsia"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5.</w:t>
      </w:r>
      <w:r>
        <w:rPr>
          <w:rFonts w:hint="eastAsia" w:ascii="宋体" w:hAnsi="宋体"/>
          <w:szCs w:val="21"/>
          <w:highlight w:val="none"/>
        </w:rPr>
        <w:t>具备快速完成在各种老化、温度和电磁干扰条件下的高精确测量宽频域介损，测量时间：1mHz-10kHz 少于20分钟（符合测试导则要求）。</w:t>
      </w:r>
    </w:p>
    <w:p>
      <w:pPr>
        <w:tabs>
          <w:tab w:val="left" w:pos="1125"/>
          <w:tab w:val="left" w:pos="3960"/>
        </w:tabs>
        <w:spacing w:line="360" w:lineRule="auto"/>
        <w:rPr>
          <w:rFonts w:hint="eastAsia"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6.</w:t>
      </w:r>
      <w:r>
        <w:rPr>
          <w:rFonts w:hint="eastAsia" w:ascii="宋体" w:hAnsi="宋体"/>
          <w:szCs w:val="21"/>
          <w:highlight w:val="none"/>
        </w:rPr>
        <w:t>必须具备外部电压放大器，最大输出电压可达到2KV。</w:t>
      </w:r>
    </w:p>
    <w:p>
      <w:pPr>
        <w:tabs>
          <w:tab w:val="left" w:pos="1125"/>
          <w:tab w:val="left" w:pos="3960"/>
        </w:tabs>
        <w:spacing w:line="360" w:lineRule="auto"/>
        <w:rPr>
          <w:rFonts w:hint="eastAsia" w:ascii="宋体" w:hAnsi="宋体"/>
          <w:szCs w:val="21"/>
          <w:highlight w:val="none"/>
        </w:rPr>
      </w:pPr>
      <w:bookmarkStart w:id="34" w:name="_Hlk201176364"/>
      <w:r>
        <w:rPr>
          <w:rFonts w:hint="eastAsia" w:ascii="宋体" w:hAnsi="宋体"/>
          <w:szCs w:val="21"/>
          <w:highlight w:val="none"/>
        </w:rPr>
        <w:t>★</w:t>
      </w:r>
      <w:bookmarkEnd w:id="34"/>
      <w:r>
        <w:rPr>
          <w:rFonts w:hint="eastAsia" w:ascii="宋体" w:hAnsi="宋体"/>
          <w:szCs w:val="21"/>
          <w:highlight w:val="none"/>
          <w:lang w:val="en-US" w:eastAsia="zh-CN"/>
        </w:rPr>
        <w:t>7.</w:t>
      </w:r>
      <w:r>
        <w:rPr>
          <w:rFonts w:hint="eastAsia" w:ascii="宋体" w:hAnsi="宋体"/>
          <w:szCs w:val="21"/>
          <w:highlight w:val="none"/>
        </w:rPr>
        <w:t>采用干扰抑制技术消除现场工频干扰，在强电磁干扰的环境下也能测得可靠的数据。</w:t>
      </w:r>
    </w:p>
    <w:p>
      <w:pPr>
        <w:tabs>
          <w:tab w:val="left" w:pos="1125"/>
          <w:tab w:val="left" w:pos="3960"/>
        </w:tabs>
        <w:spacing w:line="360" w:lineRule="auto"/>
        <w:rPr>
          <w:rFonts w:hint="eastAsia"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8.</w:t>
      </w:r>
      <w:r>
        <w:rPr>
          <w:rFonts w:hint="eastAsia" w:ascii="宋体" w:hAnsi="宋体"/>
          <w:szCs w:val="21"/>
          <w:highlight w:val="none"/>
        </w:rPr>
        <w:t>具备现场校准功能，现场校正和检验设备。</w:t>
      </w:r>
    </w:p>
    <w:p>
      <w:pPr>
        <w:tabs>
          <w:tab w:val="left" w:pos="1125"/>
          <w:tab w:val="left" w:pos="3960"/>
        </w:tabs>
        <w:spacing w:line="360" w:lineRule="auto"/>
        <w:rPr>
          <w:rFonts w:hint="eastAsia" w:ascii="宋体" w:hAnsi="宋体"/>
          <w:szCs w:val="21"/>
          <w:highlight w:val="none"/>
        </w:rPr>
      </w:pPr>
      <w:bookmarkStart w:id="35" w:name="_Hlk201176376"/>
      <w:r>
        <w:rPr>
          <w:rFonts w:hint="eastAsia" w:ascii="宋体" w:hAnsi="宋体"/>
          <w:szCs w:val="21"/>
          <w:highlight w:val="none"/>
        </w:rPr>
        <w:t>★</w:t>
      </w:r>
      <w:bookmarkEnd w:id="35"/>
      <w:r>
        <w:rPr>
          <w:rFonts w:hint="eastAsia" w:ascii="宋体" w:hAnsi="宋体"/>
          <w:szCs w:val="21"/>
          <w:highlight w:val="none"/>
          <w:lang w:val="en-US" w:eastAsia="zh-CN"/>
        </w:rPr>
        <w:t>9.</w:t>
      </w:r>
      <w:r>
        <w:rPr>
          <w:rFonts w:hint="eastAsia" w:ascii="宋体" w:hAnsi="宋体"/>
          <w:bCs/>
          <w:szCs w:val="21"/>
          <w:highlight w:val="none"/>
        </w:rPr>
        <w:t>具有EMI高频感知定位器模块，具备EMI扫描功能。</w:t>
      </w:r>
    </w:p>
    <w:p>
      <w:pPr>
        <w:tabs>
          <w:tab w:val="left" w:pos="1125"/>
          <w:tab w:val="left" w:pos="3960"/>
        </w:tabs>
        <w:spacing w:line="360" w:lineRule="auto"/>
        <w:rPr>
          <w:rFonts w:hint="eastAsia" w:ascii="宋体" w:hAnsi="宋体"/>
          <w:szCs w:val="21"/>
          <w:highlight w:val="none"/>
        </w:rPr>
      </w:pPr>
      <w:bookmarkStart w:id="36" w:name="_Hlk201314334"/>
      <w:r>
        <w:rPr>
          <w:rFonts w:hint="eastAsia" w:ascii="宋体" w:hAnsi="宋体"/>
          <w:szCs w:val="21"/>
          <w:highlight w:val="none"/>
        </w:rPr>
        <w:t>★</w:t>
      </w:r>
      <w:bookmarkEnd w:id="36"/>
      <w:r>
        <w:rPr>
          <w:rFonts w:hint="eastAsia" w:ascii="宋体" w:hAnsi="宋体"/>
          <w:szCs w:val="21"/>
          <w:highlight w:val="none"/>
          <w:lang w:val="en-US" w:eastAsia="zh-CN"/>
        </w:rPr>
        <w:t>10.</w:t>
      </w:r>
      <w:r>
        <w:rPr>
          <w:rFonts w:hint="eastAsia" w:ascii="宋体" w:hAnsi="宋体"/>
          <w:szCs w:val="21"/>
          <w:highlight w:val="none"/>
        </w:rPr>
        <w:t xml:space="preserve"> 基于国际化标准IEC 60422进行水分评估，经ITC校正的频率扫描评估互感器和套管。</w:t>
      </w:r>
    </w:p>
    <w:p>
      <w:pPr>
        <w:tabs>
          <w:tab w:val="left" w:pos="1125"/>
          <w:tab w:val="left" w:pos="3960"/>
        </w:tabs>
        <w:spacing w:line="360" w:lineRule="auto"/>
        <w:rPr>
          <w:rFonts w:ascii="宋体" w:hAnsi="宋体"/>
          <w:szCs w:val="21"/>
          <w:highlight w:val="none"/>
        </w:rPr>
      </w:pP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lang w:val="en-US" w:eastAsia="zh-CN"/>
        </w:rPr>
        <w:t>1.</w:t>
      </w:r>
      <w:r>
        <w:rPr>
          <w:rFonts w:hint="eastAsia" w:ascii="宋体" w:hAnsi="宋体"/>
          <w:szCs w:val="21"/>
          <w:highlight w:val="none"/>
        </w:rPr>
        <w:t>必须具备波形监测功能、示波器功能，且能进行波形矫正</w:t>
      </w:r>
      <w:r>
        <w:rPr>
          <w:rFonts w:hint="eastAsia" w:ascii="宋体" w:hAnsi="宋体"/>
          <w:szCs w:val="21"/>
          <w:highlight w:val="none"/>
          <w:lang w:eastAsia="zh-CN"/>
        </w:rPr>
        <w:t>。</w:t>
      </w:r>
    </w:p>
    <w:p>
      <w:pPr>
        <w:tabs>
          <w:tab w:val="left" w:pos="1125"/>
          <w:tab w:val="left" w:pos="3960"/>
        </w:tabs>
        <w:spacing w:line="360" w:lineRule="auto"/>
        <w:rPr>
          <w:rFonts w:ascii="宋体" w:hAnsi="宋体"/>
          <w:szCs w:val="21"/>
          <w:highlight w:val="none"/>
        </w:rPr>
      </w:pPr>
      <w:r>
        <w:rPr>
          <w:rFonts w:hint="eastAsia" w:ascii="宋体" w:hAnsi="宋体"/>
          <w:szCs w:val="21"/>
          <w:highlight w:val="none"/>
        </w:rPr>
        <w:t>1</w:t>
      </w:r>
      <w:r>
        <w:rPr>
          <w:rFonts w:hint="eastAsia" w:ascii="宋体" w:hAnsi="宋体"/>
          <w:szCs w:val="21"/>
          <w:highlight w:val="none"/>
          <w:lang w:val="en-US" w:eastAsia="zh-CN"/>
        </w:rPr>
        <w:t>2.</w:t>
      </w:r>
      <w:r>
        <w:rPr>
          <w:rFonts w:hint="eastAsia" w:ascii="宋体" w:hAnsi="宋体"/>
          <w:szCs w:val="21"/>
          <w:highlight w:val="none"/>
        </w:rPr>
        <w:t>提供数据及曲线的横向、纵向对比功能，不同的测试用颜色予以区分</w:t>
      </w:r>
    </w:p>
    <w:p>
      <w:pPr>
        <w:tabs>
          <w:tab w:val="left" w:pos="1125"/>
          <w:tab w:val="left" w:pos="3960"/>
        </w:tabs>
        <w:spacing w:line="360" w:lineRule="auto"/>
        <w:rPr>
          <w:rFonts w:hint="eastAsia" w:ascii="宋体" w:hAnsi="宋体"/>
          <w:szCs w:val="21"/>
          <w:highlight w:val="none"/>
        </w:rPr>
      </w:pPr>
      <w:r>
        <w:rPr>
          <w:rFonts w:hint="eastAsia" w:ascii="宋体" w:hAnsi="宋体"/>
          <w:szCs w:val="21"/>
          <w:highlight w:val="none"/>
        </w:rPr>
        <w:t>1</w:t>
      </w:r>
      <w:r>
        <w:rPr>
          <w:rFonts w:hint="eastAsia" w:ascii="宋体" w:hAnsi="宋体"/>
          <w:szCs w:val="21"/>
          <w:highlight w:val="none"/>
          <w:lang w:val="en-US" w:eastAsia="zh-CN"/>
        </w:rPr>
        <w:t>3.</w:t>
      </w:r>
      <w:r>
        <w:rPr>
          <w:rFonts w:hint="eastAsia" w:ascii="宋体" w:hAnsi="宋体"/>
          <w:szCs w:val="21"/>
          <w:highlight w:val="none"/>
        </w:rPr>
        <w:t>自动生成频域介电谱曲线测试报告及含水量分析试验报告，并给出结论</w:t>
      </w:r>
    </w:p>
    <w:p>
      <w:pPr>
        <w:keepLines w:val="0"/>
        <w:pageBreakBefore w:val="0"/>
        <w:kinsoku/>
        <w:wordWrap/>
        <w:bidi w:val="0"/>
        <w:snapToGrid w:val="0"/>
        <w:spacing w:line="500" w:lineRule="exact"/>
        <w:ind w:left="0" w:leftChars="0" w:firstLine="0" w:firstLineChars="0"/>
        <w:jc w:val="both"/>
        <w:rPr>
          <w:rFonts w:asciiTheme="minorEastAsia" w:hAnsiTheme="minorEastAsia" w:eastAsiaTheme="minorEastAsia"/>
          <w:color w:val="auto"/>
          <w:highlight w:val="none"/>
        </w:rPr>
      </w:pPr>
    </w:p>
    <w:p>
      <w:pPr>
        <w:keepLines w:val="0"/>
        <w:pageBreakBefore w:val="0"/>
        <w:kinsoku/>
        <w:wordWrap/>
        <w:bidi w:val="0"/>
        <w:spacing w:line="500" w:lineRule="exact"/>
        <w:ind w:left="410"/>
        <w:rPr>
          <w:rFonts w:hint="eastAsia"/>
          <w:color w:val="auto"/>
          <w:highlight w:val="none"/>
          <w:shd w:val="clear" w:color="auto" w:fill="FFFFFF"/>
        </w:rPr>
      </w:pPr>
      <w:r>
        <w:rPr>
          <w:rFonts w:hint="eastAsia" w:asciiTheme="minorEastAsia" w:hAnsiTheme="minorEastAsia" w:eastAsiaTheme="minorEastAsia"/>
          <w:highlight w:val="none"/>
          <w:lang w:val="en-US" w:eastAsia="zh-CN"/>
        </w:rPr>
        <w:t>4</w:t>
      </w:r>
      <w:r>
        <w:rPr>
          <w:rFonts w:hint="eastAsia" w:asciiTheme="minorEastAsia" w:hAnsiTheme="minorEastAsia" w:eastAsiaTheme="minorEastAsia"/>
          <w:highlight w:val="none"/>
        </w:rPr>
        <w:t xml:space="preserve">.2 </w:t>
      </w:r>
      <w:r>
        <w:rPr>
          <w:rFonts w:hint="eastAsia" w:eastAsiaTheme="minorEastAsia"/>
          <w:highlight w:val="none"/>
          <w:lang w:eastAsia="zh-CN"/>
        </w:rPr>
        <w:t>介质响应分析仪（FDS测试仪）</w:t>
      </w:r>
      <w:r>
        <w:rPr>
          <w:rFonts w:hint="eastAsia"/>
          <w:color w:val="auto"/>
          <w:highlight w:val="none"/>
          <w:shd w:val="clear" w:color="auto" w:fill="FFFFFF"/>
        </w:rPr>
        <w:t>技术指标</w:t>
      </w:r>
    </w:p>
    <w:tbl>
      <w:tblPr>
        <w:tblStyle w:val="14"/>
        <w:tblW w:w="10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3"/>
        <w:gridCol w:w="1900"/>
        <w:gridCol w:w="6355"/>
        <w:gridCol w:w="1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83"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default" w:eastAsia="宋体"/>
                <w:highlight w:val="none"/>
                <w:lang w:val="en-US" w:eastAsia="zh-CN"/>
              </w:rPr>
            </w:pPr>
            <w:r>
              <w:rPr>
                <w:rFonts w:hint="eastAsia"/>
                <w:highlight w:val="none"/>
                <w:lang w:val="en-US" w:eastAsia="zh-CN"/>
              </w:rPr>
              <w:t>序号</w:t>
            </w:r>
          </w:p>
        </w:tc>
        <w:tc>
          <w:tcPr>
            <w:tcW w:w="1900"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default" w:eastAsia="宋体"/>
                <w:highlight w:val="none"/>
                <w:lang w:val="en-US" w:eastAsia="zh-CN"/>
              </w:rPr>
            </w:pPr>
            <w:r>
              <w:rPr>
                <w:rFonts w:hint="eastAsia"/>
                <w:highlight w:val="none"/>
                <w:lang w:val="en-US" w:eastAsia="zh-CN"/>
              </w:rPr>
              <w:t>性能参数</w:t>
            </w:r>
          </w:p>
        </w:tc>
        <w:tc>
          <w:tcPr>
            <w:tcW w:w="6355"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textAlignment w:val="auto"/>
              <w:rPr>
                <w:rFonts w:hint="default" w:eastAsia="宋体"/>
                <w:highlight w:val="none"/>
                <w:lang w:val="en-US" w:eastAsia="zh-CN"/>
              </w:rPr>
            </w:pPr>
            <w:r>
              <w:rPr>
                <w:rFonts w:hint="eastAsia"/>
                <w:highlight w:val="none"/>
                <w:lang w:val="en-US" w:eastAsia="zh-CN"/>
              </w:rPr>
              <w:t>招标人要求值</w:t>
            </w:r>
          </w:p>
        </w:tc>
        <w:tc>
          <w:tcPr>
            <w:tcW w:w="1810"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textAlignment w:val="auto"/>
              <w:rPr>
                <w:rFonts w:hint="default" w:eastAsia="宋体"/>
                <w:highlight w:val="none"/>
                <w:lang w:val="en-US" w:eastAsia="zh-CN"/>
              </w:rPr>
            </w:pPr>
            <w:r>
              <w:rPr>
                <w:rFonts w:hint="eastAsia"/>
                <w:highlight w:val="none"/>
                <w:lang w:val="en-US" w:eastAsia="zh-CN"/>
              </w:rPr>
              <w:t>投标人响应值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83"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eastAsia="宋体"/>
                <w:highlight w:val="none"/>
                <w:lang w:val="en-US" w:eastAsia="zh-CN"/>
              </w:rPr>
            </w:pPr>
            <w:r>
              <w:rPr>
                <w:rFonts w:hint="eastAsia"/>
                <w:highlight w:val="none"/>
                <w:lang w:val="en-US" w:eastAsia="zh-CN"/>
              </w:rPr>
              <w:t>1</w:t>
            </w:r>
          </w:p>
        </w:tc>
        <w:tc>
          <w:tcPr>
            <w:tcW w:w="1900"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ascii="宋体" w:hAnsi="宋体"/>
                <w:szCs w:val="21"/>
                <w:highlight w:val="none"/>
              </w:rPr>
            </w:pPr>
            <w:r>
              <w:rPr>
                <w:rFonts w:hint="eastAsia"/>
                <w:highlight w:val="none"/>
              </w:rPr>
              <w:t>测量方式</w:t>
            </w:r>
          </w:p>
        </w:tc>
        <w:tc>
          <w:tcPr>
            <w:tcW w:w="6355"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textAlignment w:val="auto"/>
              <w:rPr>
                <w:rFonts w:hint="eastAsia" w:ascii="宋体" w:hAnsi="宋体"/>
                <w:szCs w:val="21"/>
                <w:highlight w:val="none"/>
              </w:rPr>
            </w:pPr>
            <w:r>
              <w:rPr>
                <w:rFonts w:hint="eastAsia"/>
                <w:highlight w:val="none"/>
              </w:rPr>
              <w:t>快速完成宽频域介损曲线测试，准确测量各种频率介损因数、电容、电导率、阻抗、</w:t>
            </w:r>
            <w:r>
              <w:rPr>
                <w:rFonts w:hint="eastAsia"/>
                <w:highlight w:val="none"/>
                <w:lang w:val="en-US" w:eastAsia="zh-CN"/>
              </w:rPr>
              <w:t>励磁电流、</w:t>
            </w:r>
            <w:r>
              <w:rPr>
                <w:rFonts w:hint="eastAsia"/>
                <w:highlight w:val="none"/>
              </w:rPr>
              <w:t>水饱和度；50Hz</w:t>
            </w:r>
            <w:r>
              <w:rPr>
                <w:rFonts w:hint="eastAsia"/>
                <w:highlight w:val="none"/>
                <w:lang w:val="en-US" w:eastAsia="zh-CN"/>
              </w:rPr>
              <w:t>/60</w:t>
            </w:r>
            <w:r>
              <w:rPr>
                <w:rFonts w:hint="eastAsia"/>
                <w:highlight w:val="none"/>
              </w:rPr>
              <w:t>Hz数据显示；自动完成变压器套管的水含量评估。</w:t>
            </w:r>
          </w:p>
        </w:tc>
        <w:tc>
          <w:tcPr>
            <w:tcW w:w="1810"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textAlignment w:val="auto"/>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83"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eastAsia="宋体"/>
                <w:highlight w:val="none"/>
                <w:lang w:val="en-US" w:eastAsia="zh-CN"/>
              </w:rPr>
            </w:pPr>
            <w:r>
              <w:rPr>
                <w:rFonts w:hint="eastAsia"/>
                <w:highlight w:val="none"/>
                <w:lang w:val="en-US" w:eastAsia="zh-CN"/>
              </w:rPr>
              <w:t>2</w:t>
            </w:r>
          </w:p>
        </w:tc>
        <w:tc>
          <w:tcPr>
            <w:tcW w:w="1900"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ascii="宋体" w:hAnsi="宋体"/>
                <w:szCs w:val="21"/>
                <w:highlight w:val="none"/>
              </w:rPr>
            </w:pPr>
            <w:r>
              <w:rPr>
                <w:rFonts w:hint="eastAsia"/>
                <w:highlight w:val="none"/>
              </w:rPr>
              <w:t>接线方式</w:t>
            </w:r>
          </w:p>
        </w:tc>
        <w:tc>
          <w:tcPr>
            <w:tcW w:w="6355"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highlight w:val="none"/>
              </w:rPr>
            </w:pPr>
            <w:r>
              <w:rPr>
                <w:rFonts w:hint="eastAsia"/>
                <w:highlight w:val="none"/>
              </w:rPr>
              <w:t>正接线或反接线</w:t>
            </w:r>
          </w:p>
        </w:tc>
        <w:tc>
          <w:tcPr>
            <w:tcW w:w="1810"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83"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eastAsia="宋体"/>
                <w:highlight w:val="none"/>
                <w:lang w:val="en-US" w:eastAsia="zh-CN"/>
              </w:rPr>
            </w:pPr>
            <w:r>
              <w:rPr>
                <w:rFonts w:hint="eastAsia"/>
                <w:highlight w:val="none"/>
                <w:lang w:val="en-US" w:eastAsia="zh-CN"/>
              </w:rPr>
              <w:t>3</w:t>
            </w:r>
          </w:p>
        </w:tc>
        <w:tc>
          <w:tcPr>
            <w:tcW w:w="1900"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ascii="宋体" w:hAnsi="宋体"/>
                <w:szCs w:val="21"/>
                <w:highlight w:val="none"/>
              </w:rPr>
            </w:pPr>
            <w:r>
              <w:rPr>
                <w:rFonts w:hint="eastAsia"/>
                <w:highlight w:val="none"/>
              </w:rPr>
              <w:t>试验电压</w:t>
            </w:r>
          </w:p>
        </w:tc>
        <w:tc>
          <w:tcPr>
            <w:tcW w:w="6355"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highlight w:val="none"/>
              </w:rPr>
            </w:pPr>
            <w:r>
              <w:rPr>
                <w:rFonts w:hint="eastAsia"/>
                <w:highlight w:val="none"/>
              </w:rPr>
              <w:t>输出电压2000V（峰值）</w:t>
            </w:r>
          </w:p>
        </w:tc>
        <w:tc>
          <w:tcPr>
            <w:tcW w:w="1810"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83"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eastAsia="宋体"/>
                <w:highlight w:val="none"/>
                <w:lang w:val="en-US" w:eastAsia="zh-CN"/>
              </w:rPr>
            </w:pPr>
            <w:r>
              <w:rPr>
                <w:rFonts w:hint="eastAsia"/>
                <w:highlight w:val="none"/>
                <w:lang w:val="en-US" w:eastAsia="zh-CN"/>
              </w:rPr>
              <w:t>4</w:t>
            </w:r>
          </w:p>
        </w:tc>
        <w:tc>
          <w:tcPr>
            <w:tcW w:w="1900"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ascii="宋体" w:hAnsi="宋体"/>
                <w:szCs w:val="21"/>
                <w:highlight w:val="none"/>
              </w:rPr>
            </w:pPr>
            <w:r>
              <w:rPr>
                <w:rFonts w:hint="eastAsia"/>
                <w:highlight w:val="none"/>
              </w:rPr>
              <w:t>电压输出方式</w:t>
            </w:r>
          </w:p>
        </w:tc>
        <w:tc>
          <w:tcPr>
            <w:tcW w:w="6355"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highlight w:val="none"/>
              </w:rPr>
            </w:pPr>
            <w:r>
              <w:rPr>
                <w:rFonts w:hint="eastAsia"/>
                <w:highlight w:val="none"/>
              </w:rPr>
              <w:t>外部放大器输出</w:t>
            </w:r>
          </w:p>
        </w:tc>
        <w:tc>
          <w:tcPr>
            <w:tcW w:w="1810"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83"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eastAsia="宋体"/>
                <w:highlight w:val="none"/>
                <w:lang w:val="en-US" w:eastAsia="zh-CN"/>
              </w:rPr>
            </w:pPr>
            <w:r>
              <w:rPr>
                <w:rFonts w:hint="eastAsia"/>
                <w:highlight w:val="none"/>
                <w:lang w:val="en-US" w:eastAsia="zh-CN"/>
              </w:rPr>
              <w:t>5</w:t>
            </w:r>
          </w:p>
        </w:tc>
        <w:tc>
          <w:tcPr>
            <w:tcW w:w="1900"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ascii="宋体" w:hAnsi="宋体"/>
                <w:szCs w:val="21"/>
                <w:highlight w:val="none"/>
              </w:rPr>
            </w:pPr>
            <w:r>
              <w:rPr>
                <w:rFonts w:hint="eastAsia"/>
                <w:highlight w:val="none"/>
              </w:rPr>
              <w:t>频率测量范围</w:t>
            </w:r>
          </w:p>
        </w:tc>
        <w:tc>
          <w:tcPr>
            <w:tcW w:w="6355"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highlight w:val="none"/>
              </w:rPr>
            </w:pPr>
            <w:r>
              <w:rPr>
                <w:rFonts w:hint="eastAsia"/>
                <w:highlight w:val="none"/>
              </w:rPr>
              <w:t>0.01mHz-10kHz（可任意设置个性化测量点）</w:t>
            </w:r>
          </w:p>
        </w:tc>
        <w:tc>
          <w:tcPr>
            <w:tcW w:w="1810"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83"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eastAsia="宋体"/>
                <w:highlight w:val="none"/>
                <w:lang w:val="en-US" w:eastAsia="zh-CN"/>
              </w:rPr>
            </w:pPr>
            <w:r>
              <w:rPr>
                <w:rFonts w:hint="eastAsia"/>
                <w:highlight w:val="none"/>
                <w:lang w:val="en-US" w:eastAsia="zh-CN"/>
              </w:rPr>
              <w:t>6</w:t>
            </w:r>
          </w:p>
        </w:tc>
        <w:tc>
          <w:tcPr>
            <w:tcW w:w="1900"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ascii="宋体" w:hAnsi="宋体"/>
                <w:szCs w:val="21"/>
                <w:highlight w:val="none"/>
              </w:rPr>
            </w:pPr>
            <w:r>
              <w:rPr>
                <w:rFonts w:hint="eastAsia"/>
                <w:highlight w:val="none"/>
              </w:rPr>
              <w:t>电流测量最大值</w:t>
            </w:r>
          </w:p>
        </w:tc>
        <w:tc>
          <w:tcPr>
            <w:tcW w:w="6355" w:type="dxa"/>
            <w:noWrap w:val="0"/>
            <w:vAlign w:val="top"/>
          </w:tcPr>
          <w:p>
            <w:pPr>
              <w:pStyle w:val="34"/>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kern w:val="2"/>
                <w:sz w:val="21"/>
                <w:szCs w:val="20"/>
                <w:highlight w:val="none"/>
              </w:rPr>
            </w:pPr>
            <w:r>
              <w:rPr>
                <w:rFonts w:hint="eastAsia"/>
                <w:kern w:val="2"/>
                <w:sz w:val="24"/>
                <w:szCs w:val="24"/>
                <w:highlight w:val="none"/>
              </w:rPr>
              <w:t>50mA</w:t>
            </w:r>
          </w:p>
        </w:tc>
        <w:tc>
          <w:tcPr>
            <w:tcW w:w="1810" w:type="dxa"/>
            <w:noWrap w:val="0"/>
            <w:vAlign w:val="top"/>
          </w:tcPr>
          <w:p>
            <w:pPr>
              <w:pStyle w:val="34"/>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kern w:val="2"/>
                <w:sz w:val="21"/>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83"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eastAsia="宋体"/>
                <w:highlight w:val="none"/>
                <w:lang w:val="en-US" w:eastAsia="zh-CN"/>
              </w:rPr>
            </w:pPr>
            <w:r>
              <w:rPr>
                <w:rFonts w:hint="eastAsia"/>
                <w:highlight w:val="none"/>
                <w:lang w:val="en-US" w:eastAsia="zh-CN"/>
              </w:rPr>
              <w:t>7</w:t>
            </w:r>
          </w:p>
        </w:tc>
        <w:tc>
          <w:tcPr>
            <w:tcW w:w="1900"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ascii="宋体" w:hAnsi="宋体"/>
                <w:szCs w:val="21"/>
                <w:highlight w:val="none"/>
              </w:rPr>
            </w:pPr>
            <w:r>
              <w:rPr>
                <w:rFonts w:hint="eastAsia"/>
                <w:highlight w:val="none"/>
              </w:rPr>
              <w:t>电流测量精度</w:t>
            </w:r>
          </w:p>
        </w:tc>
        <w:tc>
          <w:tcPr>
            <w:tcW w:w="6355"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highlight w:val="none"/>
              </w:rPr>
            </w:pPr>
            <w:r>
              <w:rPr>
                <w:rFonts w:hint="eastAsia"/>
                <w:highlight w:val="none"/>
              </w:rPr>
              <w:t>10pA（电流不高于10nA）</w:t>
            </w:r>
          </w:p>
        </w:tc>
        <w:tc>
          <w:tcPr>
            <w:tcW w:w="1810"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83"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eastAsia="宋体"/>
                <w:highlight w:val="none"/>
                <w:lang w:val="en-US" w:eastAsia="zh-CN"/>
              </w:rPr>
            </w:pPr>
            <w:r>
              <w:rPr>
                <w:rFonts w:hint="eastAsia"/>
                <w:highlight w:val="none"/>
                <w:lang w:val="en-US" w:eastAsia="zh-CN"/>
              </w:rPr>
              <w:t>8</w:t>
            </w:r>
          </w:p>
        </w:tc>
        <w:tc>
          <w:tcPr>
            <w:tcW w:w="1900"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ascii="宋体" w:hAnsi="宋体"/>
                <w:szCs w:val="21"/>
                <w:highlight w:val="none"/>
              </w:rPr>
            </w:pPr>
            <w:r>
              <w:rPr>
                <w:rFonts w:hint="eastAsia"/>
                <w:highlight w:val="none"/>
              </w:rPr>
              <w:t>介损测量范围</w:t>
            </w:r>
          </w:p>
        </w:tc>
        <w:tc>
          <w:tcPr>
            <w:tcW w:w="6355"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highlight w:val="none"/>
              </w:rPr>
            </w:pPr>
            <w:r>
              <w:rPr>
                <w:rFonts w:hint="eastAsia"/>
                <w:highlight w:val="none"/>
              </w:rPr>
              <w:t>0-10</w:t>
            </w:r>
          </w:p>
        </w:tc>
        <w:tc>
          <w:tcPr>
            <w:tcW w:w="1810"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83"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eastAsia="宋体"/>
                <w:highlight w:val="none"/>
                <w:lang w:val="en-US" w:eastAsia="zh-CN"/>
              </w:rPr>
            </w:pPr>
            <w:r>
              <w:rPr>
                <w:rFonts w:hint="eastAsia"/>
                <w:highlight w:val="none"/>
                <w:lang w:val="en-US" w:eastAsia="zh-CN"/>
              </w:rPr>
              <w:t>9</w:t>
            </w:r>
          </w:p>
        </w:tc>
        <w:tc>
          <w:tcPr>
            <w:tcW w:w="1900"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ascii="宋体" w:hAnsi="宋体"/>
                <w:szCs w:val="21"/>
                <w:highlight w:val="none"/>
              </w:rPr>
            </w:pPr>
            <w:r>
              <w:rPr>
                <w:rFonts w:hint="eastAsia"/>
                <w:highlight w:val="none"/>
              </w:rPr>
              <w:t>电容量测量范围</w:t>
            </w:r>
          </w:p>
        </w:tc>
        <w:tc>
          <w:tcPr>
            <w:tcW w:w="6355"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highlight w:val="none"/>
              </w:rPr>
            </w:pPr>
            <w:r>
              <w:rPr>
                <w:rFonts w:hint="eastAsia"/>
                <w:highlight w:val="none"/>
              </w:rPr>
              <w:t>10pF-100μF（工频）</w:t>
            </w:r>
          </w:p>
        </w:tc>
        <w:tc>
          <w:tcPr>
            <w:tcW w:w="1810"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83"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default" w:eastAsia="宋体"/>
                <w:highlight w:val="none"/>
                <w:lang w:val="en-US" w:eastAsia="zh-CN"/>
              </w:rPr>
            </w:pPr>
            <w:r>
              <w:rPr>
                <w:rFonts w:hint="eastAsia"/>
                <w:highlight w:val="none"/>
                <w:lang w:val="en-US" w:eastAsia="zh-CN"/>
              </w:rPr>
              <w:t>10</w:t>
            </w:r>
          </w:p>
        </w:tc>
        <w:tc>
          <w:tcPr>
            <w:tcW w:w="1900"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ascii="宋体" w:hAnsi="宋体"/>
                <w:szCs w:val="21"/>
                <w:highlight w:val="none"/>
              </w:rPr>
            </w:pPr>
            <w:r>
              <w:rPr>
                <w:rFonts w:hint="eastAsia"/>
                <w:highlight w:val="none"/>
              </w:rPr>
              <w:t>测量时间</w:t>
            </w:r>
          </w:p>
        </w:tc>
        <w:tc>
          <w:tcPr>
            <w:tcW w:w="6355" w:type="dxa"/>
            <w:noWrap w:val="0"/>
            <w:vAlign w:val="top"/>
          </w:tcPr>
          <w:p>
            <w:pPr>
              <w:pStyle w:val="34"/>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kern w:val="2"/>
                <w:sz w:val="21"/>
                <w:szCs w:val="20"/>
                <w:highlight w:val="none"/>
              </w:rPr>
            </w:pPr>
            <w:r>
              <w:rPr>
                <w:rFonts w:hint="eastAsia" w:ascii="宋体" w:hAnsi="宋体" w:eastAsia="宋体" w:cs="宋体"/>
                <w:kern w:val="2"/>
                <w:sz w:val="24"/>
                <w:szCs w:val="24"/>
                <w:highlight w:val="none"/>
              </w:rPr>
              <w:t>1mHz-10kHz少于20分钟</w:t>
            </w:r>
          </w:p>
        </w:tc>
        <w:tc>
          <w:tcPr>
            <w:tcW w:w="1810" w:type="dxa"/>
            <w:noWrap w:val="0"/>
            <w:vAlign w:val="top"/>
          </w:tcPr>
          <w:p>
            <w:pPr>
              <w:pStyle w:val="34"/>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kern w:val="2"/>
                <w:sz w:val="21"/>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83"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default" w:eastAsia="宋体"/>
                <w:highlight w:val="none"/>
                <w:lang w:val="en-US" w:eastAsia="zh-CN"/>
              </w:rPr>
            </w:pPr>
            <w:r>
              <w:rPr>
                <w:rFonts w:hint="eastAsia"/>
                <w:highlight w:val="none"/>
                <w:lang w:val="en-US" w:eastAsia="zh-CN"/>
              </w:rPr>
              <w:t>11</w:t>
            </w:r>
          </w:p>
        </w:tc>
        <w:tc>
          <w:tcPr>
            <w:tcW w:w="1900"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ascii="宋体" w:hAnsi="宋体"/>
                <w:szCs w:val="21"/>
                <w:highlight w:val="none"/>
              </w:rPr>
            </w:pPr>
            <w:r>
              <w:rPr>
                <w:rFonts w:hint="eastAsia"/>
                <w:highlight w:val="none"/>
              </w:rPr>
              <w:t>计算机接口</w:t>
            </w:r>
          </w:p>
        </w:tc>
        <w:tc>
          <w:tcPr>
            <w:tcW w:w="6355"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highlight w:val="none"/>
              </w:rPr>
            </w:pPr>
            <w:r>
              <w:rPr>
                <w:rFonts w:hint="eastAsia"/>
                <w:highlight w:val="none"/>
              </w:rPr>
              <w:t xml:space="preserve">标准RS232接口或USB接口 </w:t>
            </w:r>
          </w:p>
        </w:tc>
        <w:tc>
          <w:tcPr>
            <w:tcW w:w="1810"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83" w:type="dxa"/>
            <w:noWrap w:val="0"/>
            <w:vAlign w:val="top"/>
          </w:tcPr>
          <w:p>
            <w:pPr>
              <w:pStyle w:val="12"/>
              <w:keepNext w:val="0"/>
              <w:keepLines w:val="0"/>
              <w:pageBreakBefore w:val="0"/>
              <w:widowControl/>
              <w:kinsoku/>
              <w:wordWrap/>
              <w:overflowPunct/>
              <w:autoSpaceDE/>
              <w:autoSpaceDN/>
              <w:bidi w:val="0"/>
              <w:adjustRightInd/>
              <w:snapToGrid w:val="0"/>
              <w:spacing w:before="0" w:beforeAutospacing="0" w:after="0" w:afterAutospacing="0" w:line="360" w:lineRule="auto"/>
              <w:ind w:left="0" w:leftChars="0" w:firstLine="0" w:firstLineChars="0"/>
              <w:textAlignment w:val="auto"/>
              <w:rPr>
                <w:rFonts w:hint="default" w:eastAsia="宋体"/>
                <w:kern w:val="2"/>
                <w:sz w:val="21"/>
                <w:highlight w:val="none"/>
                <w:lang w:val="en-US" w:eastAsia="zh-CN"/>
              </w:rPr>
            </w:pPr>
            <w:r>
              <w:rPr>
                <w:rFonts w:hint="eastAsia"/>
                <w:kern w:val="2"/>
                <w:sz w:val="21"/>
                <w:highlight w:val="none"/>
                <w:lang w:val="en-US" w:eastAsia="zh-CN"/>
              </w:rPr>
              <w:t>12</w:t>
            </w:r>
          </w:p>
        </w:tc>
        <w:tc>
          <w:tcPr>
            <w:tcW w:w="1900" w:type="dxa"/>
            <w:noWrap w:val="0"/>
            <w:vAlign w:val="top"/>
          </w:tcPr>
          <w:p>
            <w:pPr>
              <w:pStyle w:val="12"/>
              <w:keepNext w:val="0"/>
              <w:keepLines w:val="0"/>
              <w:pageBreakBefore w:val="0"/>
              <w:widowControl/>
              <w:kinsoku/>
              <w:wordWrap/>
              <w:overflowPunct/>
              <w:autoSpaceDE/>
              <w:autoSpaceDN/>
              <w:bidi w:val="0"/>
              <w:adjustRightInd/>
              <w:snapToGrid w:val="0"/>
              <w:spacing w:before="0" w:beforeAutospacing="0" w:after="0" w:afterAutospacing="0" w:line="360" w:lineRule="auto"/>
              <w:ind w:left="0" w:leftChars="0" w:firstLine="0" w:firstLineChars="0"/>
              <w:textAlignment w:val="auto"/>
              <w:rPr>
                <w:rFonts w:hint="eastAsia" w:ascii="宋体" w:hAnsi="宋体"/>
                <w:kern w:val="2"/>
                <w:sz w:val="21"/>
                <w:szCs w:val="21"/>
                <w:highlight w:val="none"/>
              </w:rPr>
            </w:pPr>
            <w:r>
              <w:rPr>
                <w:rFonts w:hint="eastAsia"/>
                <w:kern w:val="2"/>
                <w:sz w:val="21"/>
                <w:highlight w:val="none"/>
              </w:rPr>
              <w:t>外部放大器</w:t>
            </w:r>
          </w:p>
        </w:tc>
        <w:tc>
          <w:tcPr>
            <w:tcW w:w="6355"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highlight w:val="none"/>
              </w:rPr>
            </w:pPr>
            <w:r>
              <w:rPr>
                <w:rFonts w:hint="eastAsia"/>
                <w:highlight w:val="none"/>
              </w:rPr>
              <w:t>0-2kV</w:t>
            </w:r>
          </w:p>
        </w:tc>
        <w:tc>
          <w:tcPr>
            <w:tcW w:w="1810"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83"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default" w:eastAsia="宋体"/>
                <w:highlight w:val="none"/>
                <w:lang w:val="en-US" w:eastAsia="zh-CN"/>
              </w:rPr>
            </w:pPr>
            <w:r>
              <w:rPr>
                <w:rFonts w:hint="eastAsia"/>
                <w:highlight w:val="none"/>
                <w:lang w:val="en-US" w:eastAsia="zh-CN"/>
              </w:rPr>
              <w:t>13</w:t>
            </w:r>
          </w:p>
        </w:tc>
        <w:tc>
          <w:tcPr>
            <w:tcW w:w="1900"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ascii="宋体" w:hAnsi="宋体"/>
                <w:szCs w:val="21"/>
                <w:highlight w:val="none"/>
              </w:rPr>
            </w:pPr>
            <w:r>
              <w:rPr>
                <w:rFonts w:hint="eastAsia"/>
                <w:highlight w:val="none"/>
              </w:rPr>
              <w:t>抗干扰技术</w:t>
            </w:r>
          </w:p>
        </w:tc>
        <w:tc>
          <w:tcPr>
            <w:tcW w:w="6355"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ascii="宋体" w:hAnsi="宋体"/>
                <w:szCs w:val="21"/>
                <w:highlight w:val="none"/>
              </w:rPr>
            </w:pPr>
            <w:r>
              <w:rPr>
                <w:rFonts w:hint="eastAsia"/>
                <w:highlight w:val="none"/>
              </w:rPr>
              <w:t>采用干扰抑制技术消除现场工频干扰，在强电磁干扰的环境下也能测得可靠的数据。</w:t>
            </w:r>
          </w:p>
        </w:tc>
        <w:tc>
          <w:tcPr>
            <w:tcW w:w="1810"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83"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default" w:eastAsia="宋体"/>
                <w:highlight w:val="none"/>
                <w:lang w:val="en-US" w:eastAsia="zh-CN"/>
              </w:rPr>
            </w:pPr>
            <w:r>
              <w:rPr>
                <w:rFonts w:hint="eastAsia"/>
                <w:highlight w:val="none"/>
                <w:lang w:val="en-US" w:eastAsia="zh-CN"/>
              </w:rPr>
              <w:t>14</w:t>
            </w:r>
          </w:p>
        </w:tc>
        <w:tc>
          <w:tcPr>
            <w:tcW w:w="1900"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ascii="宋体" w:hAnsi="宋体"/>
                <w:szCs w:val="21"/>
                <w:highlight w:val="none"/>
              </w:rPr>
            </w:pPr>
            <w:r>
              <w:rPr>
                <w:rFonts w:hint="eastAsia"/>
                <w:highlight w:val="none"/>
              </w:rPr>
              <w:t>温度补偿</w:t>
            </w:r>
          </w:p>
        </w:tc>
        <w:tc>
          <w:tcPr>
            <w:tcW w:w="6355" w:type="dxa"/>
            <w:noWrap w:val="0"/>
            <w:vAlign w:val="top"/>
          </w:tcPr>
          <w:p>
            <w:pPr>
              <w:keepNext w:val="0"/>
              <w:keepLines w:val="0"/>
              <w:pageBreakBefore w:val="0"/>
              <w:tabs>
                <w:tab w:val="left" w:pos="1125"/>
                <w:tab w:val="left" w:pos="3960"/>
              </w:tabs>
              <w:kinsoku/>
              <w:wordWrap/>
              <w:overflowPunct/>
              <w:autoSpaceDE/>
              <w:autoSpaceDN/>
              <w:bidi w:val="0"/>
              <w:adjustRightInd/>
              <w:snapToGrid w:val="0"/>
              <w:spacing w:beforeAutospacing="0" w:afterAutospacing="0" w:line="360" w:lineRule="auto"/>
              <w:ind w:left="0" w:leftChars="0" w:firstLine="0" w:firstLineChars="0"/>
              <w:textAlignment w:val="auto"/>
              <w:rPr>
                <w:rFonts w:hint="eastAsia" w:ascii="宋体" w:hAnsi="宋体" w:eastAsia="宋体"/>
                <w:szCs w:val="21"/>
                <w:highlight w:val="none"/>
                <w:lang w:eastAsia="zh-CN"/>
              </w:rPr>
            </w:pPr>
            <w:r>
              <w:rPr>
                <w:rFonts w:hint="eastAsia"/>
                <w:highlight w:val="none"/>
              </w:rPr>
              <w:t>采用IEC Arrhenius公式（独特温度校正）计算和补偿温度对材料的影响</w:t>
            </w:r>
            <w:r>
              <w:rPr>
                <w:rFonts w:hint="eastAsia"/>
                <w:highlight w:val="none"/>
                <w:lang w:eastAsia="zh-CN"/>
              </w:rPr>
              <w:t>，</w:t>
            </w:r>
            <w:r>
              <w:rPr>
                <w:rFonts w:hint="eastAsia" w:ascii="宋体" w:hAnsi="宋体"/>
                <w:szCs w:val="21"/>
                <w:highlight w:val="none"/>
                <w:lang w:val="en-US" w:eastAsia="zh-CN"/>
              </w:rPr>
              <w:t>涵盖的材料包括树脂浸渍纸、油浸渍纸和树脂装订纸。</w:t>
            </w:r>
          </w:p>
        </w:tc>
        <w:tc>
          <w:tcPr>
            <w:tcW w:w="1810" w:type="dxa"/>
            <w:noWrap w:val="0"/>
            <w:vAlign w:val="top"/>
          </w:tcPr>
          <w:p>
            <w:pPr>
              <w:keepNext w:val="0"/>
              <w:keepLines w:val="0"/>
              <w:pageBreakBefore w:val="0"/>
              <w:tabs>
                <w:tab w:val="left" w:pos="1125"/>
                <w:tab w:val="left" w:pos="3960"/>
              </w:tabs>
              <w:kinsoku/>
              <w:wordWrap/>
              <w:overflowPunct/>
              <w:autoSpaceDE/>
              <w:autoSpaceDN/>
              <w:bidi w:val="0"/>
              <w:adjustRightInd/>
              <w:snapToGrid w:val="0"/>
              <w:spacing w:beforeAutospacing="0" w:afterAutospacing="0" w:line="360" w:lineRule="auto"/>
              <w:ind w:left="0" w:leftChars="0" w:firstLine="0" w:firstLineChars="0"/>
              <w:textAlignment w:val="auto"/>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83"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default" w:eastAsia="宋体"/>
                <w:highlight w:val="none"/>
                <w:lang w:val="en-US" w:eastAsia="zh-CN"/>
              </w:rPr>
            </w:pPr>
            <w:r>
              <w:rPr>
                <w:rFonts w:hint="eastAsia"/>
                <w:highlight w:val="none"/>
                <w:lang w:val="en-US" w:eastAsia="zh-CN"/>
              </w:rPr>
              <w:t>15</w:t>
            </w:r>
          </w:p>
        </w:tc>
        <w:tc>
          <w:tcPr>
            <w:tcW w:w="1900"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ascii="宋体" w:hAnsi="宋体"/>
                <w:szCs w:val="21"/>
                <w:highlight w:val="none"/>
              </w:rPr>
            </w:pPr>
            <w:r>
              <w:rPr>
                <w:rFonts w:hint="eastAsia"/>
                <w:highlight w:val="none"/>
              </w:rPr>
              <w:t>外部放大器</w:t>
            </w:r>
          </w:p>
        </w:tc>
        <w:tc>
          <w:tcPr>
            <w:tcW w:w="6355"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ascii="宋体" w:hAnsi="宋体"/>
                <w:szCs w:val="21"/>
                <w:highlight w:val="none"/>
              </w:rPr>
            </w:pPr>
            <w:r>
              <w:rPr>
                <w:rFonts w:hint="eastAsia"/>
                <w:highlight w:val="none"/>
              </w:rPr>
              <w:t>必须具备外部电压放大器，最大输出电压可达到2KV</w:t>
            </w:r>
          </w:p>
        </w:tc>
        <w:tc>
          <w:tcPr>
            <w:tcW w:w="1810"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83"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default"/>
                <w:highlight w:val="none"/>
                <w:lang w:val="en-US" w:eastAsia="zh-CN"/>
              </w:rPr>
            </w:pPr>
            <w:r>
              <w:rPr>
                <w:rFonts w:hint="eastAsia"/>
                <w:highlight w:val="none"/>
                <w:lang w:val="en-US" w:eastAsia="zh-CN"/>
              </w:rPr>
              <w:t>16</w:t>
            </w:r>
          </w:p>
        </w:tc>
        <w:tc>
          <w:tcPr>
            <w:tcW w:w="1900"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eastAsia="宋体"/>
                <w:highlight w:val="none"/>
                <w:lang w:val="en-US" w:eastAsia="zh-CN"/>
              </w:rPr>
            </w:pPr>
            <w:r>
              <w:rPr>
                <w:rFonts w:hint="eastAsia"/>
                <w:highlight w:val="none"/>
                <w:lang w:val="en-US" w:eastAsia="zh-CN"/>
              </w:rPr>
              <w:t>校准</w:t>
            </w:r>
          </w:p>
        </w:tc>
        <w:tc>
          <w:tcPr>
            <w:tcW w:w="6355"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default" w:eastAsia="宋体"/>
                <w:highlight w:val="none"/>
                <w:lang w:val="en-US" w:eastAsia="zh-CN"/>
              </w:rPr>
            </w:pPr>
            <w:r>
              <w:rPr>
                <w:rFonts w:hint="eastAsia"/>
                <w:highlight w:val="none"/>
                <w:lang w:val="en-US" w:eastAsia="zh-CN"/>
              </w:rPr>
              <w:t>提供自校准模块、具备现场校准功能和自检方法</w:t>
            </w:r>
          </w:p>
        </w:tc>
        <w:tc>
          <w:tcPr>
            <w:tcW w:w="1810"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83"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default" w:eastAsia="宋体"/>
                <w:highlight w:val="none"/>
                <w:lang w:val="en-US" w:eastAsia="zh-CN"/>
              </w:rPr>
            </w:pPr>
            <w:r>
              <w:rPr>
                <w:rFonts w:hint="eastAsia"/>
                <w:highlight w:val="none"/>
                <w:lang w:val="en-US" w:eastAsia="zh-CN"/>
              </w:rPr>
              <w:t>17</w:t>
            </w:r>
          </w:p>
        </w:tc>
        <w:tc>
          <w:tcPr>
            <w:tcW w:w="1900"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ascii="宋体" w:hAnsi="宋体"/>
                <w:szCs w:val="21"/>
                <w:highlight w:val="none"/>
              </w:rPr>
            </w:pPr>
            <w:r>
              <w:rPr>
                <w:rFonts w:hint="eastAsia"/>
                <w:highlight w:val="none"/>
              </w:rPr>
              <w:t>数据库对比评估</w:t>
            </w:r>
          </w:p>
        </w:tc>
        <w:tc>
          <w:tcPr>
            <w:tcW w:w="6355"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ascii="宋体" w:hAnsi="宋体"/>
                <w:szCs w:val="21"/>
                <w:highlight w:val="none"/>
              </w:rPr>
            </w:pPr>
            <w:r>
              <w:rPr>
                <w:rFonts w:hint="eastAsia"/>
                <w:highlight w:val="none"/>
              </w:rPr>
              <w:t>基于国际化标准 IEC 60422 进行水分评估，经ITC校正的频率扫描评估变压器、互感器、电抗器和套管。</w:t>
            </w:r>
          </w:p>
        </w:tc>
        <w:tc>
          <w:tcPr>
            <w:tcW w:w="1810" w:type="dxa"/>
            <w:noWrap w:val="0"/>
            <w:vAlign w:val="top"/>
          </w:tcPr>
          <w:p>
            <w:pPr>
              <w:keepNext w:val="0"/>
              <w:keepLines w:val="0"/>
              <w:pageBreakBefore w:val="0"/>
              <w:kinsoku/>
              <w:wordWrap/>
              <w:overflowPunct/>
              <w:autoSpaceDE/>
              <w:autoSpaceDN/>
              <w:bidi w:val="0"/>
              <w:adjustRightInd/>
              <w:snapToGrid w:val="0"/>
              <w:spacing w:beforeAutospacing="0" w:afterAutospacing="0" w:line="360" w:lineRule="auto"/>
              <w:ind w:left="0" w:leftChars="0" w:firstLine="0" w:firstLineChars="0"/>
              <w:jc w:val="left"/>
              <w:textAlignment w:val="auto"/>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83" w:type="dxa"/>
            <w:noWrap w:val="0"/>
            <w:vAlign w:val="top"/>
          </w:tcPr>
          <w:p>
            <w:pPr>
              <w:keepNext w:val="0"/>
              <w:keepLines w:val="0"/>
              <w:pageBreakBefore w:val="0"/>
              <w:kinsoku/>
              <w:wordWrap/>
              <w:overflowPunct/>
              <w:topLinePunct/>
              <w:autoSpaceDE/>
              <w:autoSpaceDN/>
              <w:bidi w:val="0"/>
              <w:adjustRightInd/>
              <w:snapToGrid w:val="0"/>
              <w:spacing w:beforeAutospacing="0" w:afterAutospacing="0" w:line="360" w:lineRule="auto"/>
              <w:ind w:left="0" w:leftChars="0" w:firstLine="0" w:firstLineChars="0"/>
              <w:jc w:val="center"/>
              <w:textAlignment w:val="auto"/>
              <w:rPr>
                <w:rFonts w:hint="default" w:eastAsia="宋体"/>
                <w:highlight w:val="none"/>
                <w:lang w:val="en-US" w:eastAsia="zh-CN"/>
              </w:rPr>
            </w:pPr>
            <w:r>
              <w:rPr>
                <w:rFonts w:hint="eastAsia"/>
                <w:highlight w:val="none"/>
                <w:lang w:val="en-US" w:eastAsia="zh-CN"/>
              </w:rPr>
              <w:t>18</w:t>
            </w:r>
          </w:p>
        </w:tc>
        <w:tc>
          <w:tcPr>
            <w:tcW w:w="1900" w:type="dxa"/>
            <w:noWrap w:val="0"/>
            <w:vAlign w:val="top"/>
          </w:tcPr>
          <w:p>
            <w:pPr>
              <w:keepNext w:val="0"/>
              <w:keepLines w:val="0"/>
              <w:pageBreakBefore w:val="0"/>
              <w:kinsoku/>
              <w:wordWrap/>
              <w:overflowPunct/>
              <w:topLinePunct/>
              <w:autoSpaceDE/>
              <w:autoSpaceDN/>
              <w:bidi w:val="0"/>
              <w:adjustRightInd/>
              <w:snapToGrid w:val="0"/>
              <w:spacing w:beforeAutospacing="0" w:afterAutospacing="0" w:line="360" w:lineRule="auto"/>
              <w:ind w:left="0" w:leftChars="0" w:firstLine="0" w:firstLineChars="0"/>
              <w:jc w:val="center"/>
              <w:textAlignment w:val="auto"/>
              <w:rPr>
                <w:highlight w:val="none"/>
              </w:rPr>
            </w:pPr>
          </w:p>
          <w:p>
            <w:pPr>
              <w:keepNext w:val="0"/>
              <w:keepLines w:val="0"/>
              <w:pageBreakBefore w:val="0"/>
              <w:kinsoku/>
              <w:wordWrap/>
              <w:overflowPunct/>
              <w:topLinePunct/>
              <w:autoSpaceDE/>
              <w:autoSpaceDN/>
              <w:bidi w:val="0"/>
              <w:adjustRightInd/>
              <w:snapToGrid w:val="0"/>
              <w:spacing w:beforeAutospacing="0" w:afterAutospacing="0" w:line="360" w:lineRule="auto"/>
              <w:ind w:left="0" w:leftChars="0" w:firstLine="0" w:firstLineChars="0"/>
              <w:jc w:val="center"/>
              <w:textAlignment w:val="auto"/>
              <w:rPr>
                <w:highlight w:val="none"/>
              </w:rPr>
            </w:pPr>
          </w:p>
          <w:p>
            <w:pPr>
              <w:keepNext w:val="0"/>
              <w:keepLines w:val="0"/>
              <w:pageBreakBefore w:val="0"/>
              <w:kinsoku/>
              <w:wordWrap/>
              <w:overflowPunct/>
              <w:topLinePunct/>
              <w:autoSpaceDE/>
              <w:autoSpaceDN/>
              <w:bidi w:val="0"/>
              <w:adjustRightInd/>
              <w:snapToGrid w:val="0"/>
              <w:spacing w:beforeAutospacing="0" w:afterAutospacing="0" w:line="360" w:lineRule="auto"/>
              <w:ind w:left="0" w:leftChars="0" w:firstLine="0" w:firstLineChars="0"/>
              <w:jc w:val="center"/>
              <w:textAlignment w:val="auto"/>
              <w:rPr>
                <w:rFonts w:hint="eastAsia"/>
                <w:highlight w:val="none"/>
              </w:rPr>
            </w:pPr>
            <w:r>
              <w:rPr>
                <w:rFonts w:hint="eastAsia"/>
                <w:highlight w:val="none"/>
              </w:rPr>
              <w:t>EMI扫描</w:t>
            </w:r>
          </w:p>
        </w:tc>
        <w:tc>
          <w:tcPr>
            <w:tcW w:w="6355" w:type="dxa"/>
            <w:noWrap w:val="0"/>
            <w:vAlign w:val="top"/>
          </w:tcPr>
          <w:p>
            <w:pPr>
              <w:keepNext w:val="0"/>
              <w:keepLines w:val="0"/>
              <w:pageBreakBefore w:val="0"/>
              <w:kinsoku/>
              <w:wordWrap/>
              <w:overflowPunct/>
              <w:topLinePunct/>
              <w:autoSpaceDE/>
              <w:autoSpaceDN/>
              <w:bidi w:val="0"/>
              <w:adjustRightInd/>
              <w:snapToGrid w:val="0"/>
              <w:spacing w:beforeAutospacing="0" w:afterAutospacing="0" w:line="360" w:lineRule="auto"/>
              <w:ind w:left="0" w:leftChars="0" w:firstLine="0" w:firstLineChars="0"/>
              <w:jc w:val="left"/>
              <w:textAlignment w:val="auto"/>
              <w:rPr>
                <w:highlight w:val="none"/>
              </w:rPr>
            </w:pPr>
            <w:r>
              <w:rPr>
                <w:rFonts w:hint="eastAsia"/>
                <w:highlight w:val="none"/>
              </w:rPr>
              <w:t>具有EMI高频感知定位器模块，具备EMI扫描功能：</w:t>
            </w:r>
          </w:p>
          <w:p>
            <w:pPr>
              <w:keepNext w:val="0"/>
              <w:keepLines w:val="0"/>
              <w:pageBreakBefore w:val="0"/>
              <w:kinsoku/>
              <w:wordWrap/>
              <w:overflowPunct/>
              <w:topLinePunct/>
              <w:autoSpaceDE/>
              <w:autoSpaceDN/>
              <w:bidi w:val="0"/>
              <w:adjustRightInd/>
              <w:snapToGrid w:val="0"/>
              <w:spacing w:beforeAutospacing="0" w:afterAutospacing="0" w:line="360" w:lineRule="auto"/>
              <w:ind w:left="0" w:leftChars="0" w:firstLine="0" w:firstLineChars="0"/>
              <w:jc w:val="left"/>
              <w:textAlignment w:val="auto"/>
              <w:rPr>
                <w:rFonts w:hint="eastAsia"/>
                <w:highlight w:val="none"/>
              </w:rPr>
            </w:pPr>
            <w:r>
              <w:rPr>
                <w:rFonts w:hint="eastAsia"/>
                <w:highlight w:val="none"/>
              </w:rPr>
              <w:t>50kHz-30MHz 比参考电平低10dB；</w:t>
            </w:r>
          </w:p>
          <w:p>
            <w:pPr>
              <w:keepNext w:val="0"/>
              <w:keepLines w:val="0"/>
              <w:pageBreakBefore w:val="0"/>
              <w:kinsoku/>
              <w:wordWrap/>
              <w:overflowPunct/>
              <w:topLinePunct/>
              <w:autoSpaceDE/>
              <w:autoSpaceDN/>
              <w:bidi w:val="0"/>
              <w:adjustRightInd/>
              <w:snapToGrid w:val="0"/>
              <w:spacing w:beforeAutospacing="0" w:afterAutospacing="0" w:line="360" w:lineRule="auto"/>
              <w:ind w:left="0" w:leftChars="0" w:firstLine="0" w:firstLineChars="0"/>
              <w:jc w:val="left"/>
              <w:textAlignment w:val="auto"/>
              <w:rPr>
                <w:rFonts w:hint="eastAsia"/>
                <w:highlight w:val="none"/>
              </w:rPr>
            </w:pPr>
            <w:r>
              <w:rPr>
                <w:rFonts w:hint="eastAsia"/>
                <w:highlight w:val="none"/>
              </w:rPr>
              <w:t>30MHz-50MH  比参考电平低0dB；</w:t>
            </w:r>
          </w:p>
          <w:p>
            <w:pPr>
              <w:keepNext w:val="0"/>
              <w:keepLines w:val="0"/>
              <w:pageBreakBefore w:val="0"/>
              <w:kinsoku/>
              <w:wordWrap/>
              <w:overflowPunct/>
              <w:topLinePunct/>
              <w:autoSpaceDE/>
              <w:autoSpaceDN/>
              <w:bidi w:val="0"/>
              <w:adjustRightInd/>
              <w:snapToGrid w:val="0"/>
              <w:spacing w:beforeAutospacing="0" w:afterAutospacing="0" w:line="360" w:lineRule="auto"/>
              <w:ind w:left="0" w:leftChars="0" w:firstLine="0" w:firstLineChars="0"/>
              <w:jc w:val="left"/>
              <w:textAlignment w:val="auto"/>
              <w:rPr>
                <w:rFonts w:hint="eastAsia"/>
                <w:highlight w:val="none"/>
              </w:rPr>
            </w:pPr>
            <w:r>
              <w:rPr>
                <w:rFonts w:hint="eastAsia"/>
                <w:highlight w:val="none"/>
              </w:rPr>
              <w:t>50MHz-100MHz比参考电平低20dB；</w:t>
            </w:r>
          </w:p>
          <w:p>
            <w:pPr>
              <w:keepNext w:val="0"/>
              <w:keepLines w:val="0"/>
              <w:pageBreakBefore w:val="0"/>
              <w:kinsoku/>
              <w:wordWrap/>
              <w:overflowPunct/>
              <w:topLinePunct/>
              <w:autoSpaceDE/>
              <w:autoSpaceDN/>
              <w:bidi w:val="0"/>
              <w:adjustRightInd/>
              <w:snapToGrid w:val="0"/>
              <w:spacing w:beforeAutospacing="0" w:afterAutospacing="0" w:line="360" w:lineRule="auto"/>
              <w:ind w:left="0" w:leftChars="0" w:firstLine="0" w:firstLineChars="0"/>
              <w:jc w:val="left"/>
              <w:textAlignment w:val="auto"/>
              <w:rPr>
                <w:rFonts w:hint="eastAsia"/>
                <w:highlight w:val="none"/>
              </w:rPr>
            </w:pPr>
            <w:r>
              <w:rPr>
                <w:rFonts w:hint="eastAsia"/>
                <w:highlight w:val="none"/>
              </w:rPr>
              <w:t>50 MHz-1GHz使用120k带宽的VHF调谐器，比参考电平低 20dB</w:t>
            </w:r>
          </w:p>
        </w:tc>
        <w:tc>
          <w:tcPr>
            <w:tcW w:w="1810" w:type="dxa"/>
            <w:noWrap w:val="0"/>
            <w:vAlign w:val="top"/>
          </w:tcPr>
          <w:p>
            <w:pPr>
              <w:keepNext w:val="0"/>
              <w:keepLines w:val="0"/>
              <w:pageBreakBefore w:val="0"/>
              <w:kinsoku/>
              <w:wordWrap/>
              <w:overflowPunct/>
              <w:topLinePunct/>
              <w:autoSpaceDE/>
              <w:autoSpaceDN/>
              <w:bidi w:val="0"/>
              <w:adjustRightInd/>
              <w:snapToGrid w:val="0"/>
              <w:spacing w:beforeAutospacing="0" w:afterAutospacing="0" w:line="360" w:lineRule="auto"/>
              <w:ind w:left="0" w:leftChars="0" w:firstLine="0" w:firstLineChars="0"/>
              <w:jc w:val="left"/>
              <w:textAlignment w:val="auto"/>
              <w:rPr>
                <w:rFonts w:hint="eastAsia"/>
                <w:highlight w:val="none"/>
              </w:rPr>
            </w:pPr>
          </w:p>
        </w:tc>
      </w:tr>
    </w:tbl>
    <w:p>
      <w:pPr>
        <w:pStyle w:val="3"/>
        <w:bidi w:val="0"/>
        <w:rPr>
          <w:rFonts w:cs="宋体"/>
          <w:spacing w:val="1"/>
          <w:highlight w:val="none"/>
        </w:rPr>
      </w:pPr>
      <w:bookmarkStart w:id="37" w:name="_Toc14198"/>
      <w:r>
        <w:rPr>
          <w:rFonts w:hint="eastAsia"/>
          <w:highlight w:val="none"/>
          <w:lang w:val="en-US" w:eastAsia="zh-CN"/>
        </w:rPr>
        <w:t>5</w:t>
      </w:r>
      <w:r>
        <w:rPr>
          <w:highlight w:val="none"/>
        </w:rPr>
        <w:t>.</w:t>
      </w:r>
      <w:r>
        <w:rPr>
          <w:rFonts w:cs="宋体"/>
          <w:spacing w:val="1"/>
          <w:highlight w:val="none"/>
        </w:rPr>
        <w:t>质量保证和试验</w:t>
      </w:r>
      <w:bookmarkEnd w:id="37"/>
    </w:p>
    <w:p>
      <w:pPr>
        <w:keepLines w:val="0"/>
        <w:pageBreakBefore w:val="0"/>
        <w:kinsoku/>
        <w:wordWrap/>
        <w:bidi w:val="0"/>
        <w:spacing w:line="500" w:lineRule="exact"/>
        <w:ind w:left="410"/>
        <w:rPr>
          <w:b/>
          <w:bCs/>
          <w:highlight w:val="none"/>
        </w:rPr>
      </w:pPr>
      <w:r>
        <w:rPr>
          <w:rFonts w:hint="eastAsia"/>
          <w:highlight w:val="none"/>
          <w:lang w:eastAsia="zh-CN"/>
        </w:rPr>
        <w:t>5.</w:t>
      </w:r>
      <w:r>
        <w:rPr>
          <w:highlight w:val="none"/>
        </w:rPr>
        <w:t xml:space="preserve">1 </w:t>
      </w:r>
      <w:r>
        <w:rPr>
          <w:rFonts w:hint="eastAsia" w:cs="宋体"/>
          <w:spacing w:val="-2"/>
          <w:highlight w:val="none"/>
          <w:lang w:eastAsia="zh-CN"/>
        </w:rPr>
        <w:t>投标人</w:t>
      </w:r>
      <w:r>
        <w:rPr>
          <w:rFonts w:cs="宋体"/>
          <w:spacing w:val="-2"/>
          <w:highlight w:val="none"/>
        </w:rPr>
        <w:t>提供的设备试验标准应符合国标、行标及</w:t>
      </w:r>
      <w:r>
        <w:rPr>
          <w:spacing w:val="2"/>
          <w:highlight w:val="none"/>
        </w:rPr>
        <w:t xml:space="preserve"> </w:t>
      </w:r>
      <w:r>
        <w:rPr>
          <w:highlight w:val="none"/>
        </w:rPr>
        <w:t>IEC</w:t>
      </w:r>
      <w:r>
        <w:rPr>
          <w:spacing w:val="1"/>
          <w:highlight w:val="none"/>
        </w:rPr>
        <w:t xml:space="preserve"> </w:t>
      </w:r>
      <w:r>
        <w:rPr>
          <w:rFonts w:cs="宋体"/>
          <w:highlight w:val="none"/>
        </w:rPr>
        <w:t>的有关规</w:t>
      </w:r>
      <w:r>
        <w:rPr>
          <w:rFonts w:cs="宋体"/>
          <w:spacing w:val="1"/>
          <w:highlight w:val="none"/>
        </w:rPr>
        <w:t>范，</w:t>
      </w:r>
      <w:r>
        <w:rPr>
          <w:rFonts w:cs="宋体"/>
          <w:b/>
          <w:bCs/>
          <w:spacing w:val="1"/>
          <w:highlight w:val="none"/>
        </w:rPr>
        <w:t>并提供中国合格评定国家认可委员会</w:t>
      </w:r>
      <w:r>
        <w:rPr>
          <w:rFonts w:hint="eastAsia" w:cs="宋体"/>
          <w:b/>
          <w:bCs/>
          <w:spacing w:val="1"/>
          <w:highlight w:val="none"/>
        </w:rPr>
        <w:t>(CNAS)</w:t>
      </w:r>
      <w:r>
        <w:rPr>
          <w:rFonts w:cs="宋体"/>
          <w:b/>
          <w:bCs/>
          <w:spacing w:val="1"/>
          <w:highlight w:val="none"/>
        </w:rPr>
        <w:t>认可的校准机构出具的检定</w:t>
      </w:r>
      <w:r>
        <w:rPr>
          <w:b/>
          <w:bCs/>
          <w:spacing w:val="3"/>
          <w:highlight w:val="none"/>
        </w:rPr>
        <w:t>/</w:t>
      </w:r>
      <w:r>
        <w:rPr>
          <w:rFonts w:cs="宋体"/>
          <w:b/>
          <w:bCs/>
          <w:spacing w:val="1"/>
          <w:highlight w:val="none"/>
        </w:rPr>
        <w:t>校准报告、</w:t>
      </w:r>
      <w:r>
        <w:rPr>
          <w:rFonts w:cs="宋体"/>
          <w:b/>
          <w:bCs/>
          <w:highlight w:val="none"/>
        </w:rPr>
        <w:t>出厂试验报告及产品合格证；</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2</w:t>
      </w:r>
      <w:r>
        <w:rPr>
          <w:spacing w:val="60"/>
          <w:highlight w:val="none"/>
        </w:rPr>
        <w:t xml:space="preserve"> </w:t>
      </w:r>
      <w:r>
        <w:rPr>
          <w:rFonts w:hint="eastAsia" w:cs="宋体"/>
          <w:highlight w:val="none"/>
          <w:lang w:eastAsia="zh-CN"/>
        </w:rPr>
        <w:t>投标人</w:t>
      </w:r>
      <w:r>
        <w:rPr>
          <w:rFonts w:cs="宋体"/>
          <w:highlight w:val="none"/>
        </w:rPr>
        <w:t>所生产的该装置所选用的主要元器件均为目前先进的器件；所有的材料供应商都具有良好的质量保证体系，确保材料的质量。</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3</w:t>
      </w:r>
      <w:r>
        <w:rPr>
          <w:spacing w:val="60"/>
          <w:highlight w:val="none"/>
        </w:rPr>
        <w:t xml:space="preserve"> </w:t>
      </w:r>
      <w:r>
        <w:rPr>
          <w:rFonts w:cs="宋体"/>
          <w:spacing w:val="-2"/>
          <w:highlight w:val="none"/>
        </w:rPr>
        <w:t>所有产品在生产过程的各个环节都得到有效的检验和控制，出厂前均通</w:t>
      </w:r>
      <w:r>
        <w:rPr>
          <w:rFonts w:cs="宋体"/>
          <w:spacing w:val="3"/>
          <w:highlight w:val="none"/>
        </w:rPr>
        <w:t>过严格的出厂试验。</w:t>
      </w:r>
      <w:r>
        <w:rPr>
          <w:rFonts w:hint="eastAsia" w:cs="宋体"/>
          <w:spacing w:val="3"/>
          <w:highlight w:val="none"/>
          <w:lang w:eastAsia="zh-CN"/>
        </w:rPr>
        <w:t>投标人</w:t>
      </w:r>
      <w:r>
        <w:rPr>
          <w:rFonts w:cs="宋体"/>
          <w:spacing w:val="3"/>
          <w:highlight w:val="none"/>
        </w:rPr>
        <w:t>须配备有完善的检验器具和设备，考核设备各项功能</w:t>
      </w:r>
      <w:r>
        <w:rPr>
          <w:rFonts w:cs="宋体"/>
          <w:highlight w:val="none"/>
        </w:rPr>
        <w:t>指标和保护功能等。</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4</w:t>
      </w:r>
      <w:r>
        <w:rPr>
          <w:spacing w:val="60"/>
          <w:highlight w:val="none"/>
        </w:rPr>
        <w:t xml:space="preserve"> </w:t>
      </w:r>
      <w:r>
        <w:rPr>
          <w:rFonts w:hint="eastAsia" w:cs="宋体"/>
          <w:highlight w:val="none"/>
          <w:lang w:eastAsia="zh-CN"/>
        </w:rPr>
        <w:t>投标人</w:t>
      </w:r>
      <w:r>
        <w:rPr>
          <w:rFonts w:cs="宋体"/>
          <w:highlight w:val="none"/>
        </w:rPr>
        <w:t>保证制造过程中的所有工艺、材料试验等均符合采购文件的规定。若采购方根据运行经验要求提供某种外购零部件，采购方须积极配合。</w:t>
      </w:r>
    </w:p>
    <w:p>
      <w:pPr>
        <w:pStyle w:val="3"/>
        <w:bidi w:val="0"/>
        <w:rPr>
          <w:highlight w:val="none"/>
        </w:rPr>
      </w:pPr>
      <w:bookmarkStart w:id="38" w:name="_Toc18433"/>
      <w:r>
        <w:rPr>
          <w:rFonts w:hint="eastAsia"/>
          <w:highlight w:val="none"/>
          <w:lang w:eastAsia="zh-CN"/>
        </w:rPr>
        <w:t>6.</w:t>
      </w:r>
      <w:r>
        <w:rPr>
          <w:rFonts w:cs="宋体"/>
          <w:spacing w:val="1"/>
          <w:highlight w:val="none"/>
        </w:rPr>
        <w:t>包装、运输和储存</w:t>
      </w:r>
      <w:bookmarkEnd w:id="38"/>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1 </w:t>
      </w:r>
      <w:r>
        <w:rPr>
          <w:rFonts w:cs="宋体"/>
          <w:highlight w:val="none"/>
        </w:rPr>
        <w:t>包装</w:t>
      </w:r>
    </w:p>
    <w:p>
      <w:pPr>
        <w:keepLines w:val="0"/>
        <w:pageBreakBefore w:val="0"/>
        <w:kinsoku/>
        <w:wordWrap/>
        <w:bidi w:val="0"/>
        <w:spacing w:line="500" w:lineRule="exact"/>
        <w:ind w:left="410" w:firstLine="492" w:firstLineChars="200"/>
        <w:rPr>
          <w:highlight w:val="none"/>
        </w:rPr>
      </w:pPr>
      <w:r>
        <w:rPr>
          <w:rFonts w:cs="宋体"/>
          <w:spacing w:val="3"/>
          <w:highlight w:val="none"/>
        </w:rPr>
        <w:t>主机、附件和资料应全部装入包装箱内，包装箱应采用纸或木箱。装箱时在</w:t>
      </w:r>
      <w:r>
        <w:rPr>
          <w:rFonts w:cs="宋体"/>
          <w:highlight w:val="none"/>
        </w:rPr>
        <w:t>箱内必须附有装箱清单，包装箱侧面应注明设备名称、规格，两端面应注明轻放、</w:t>
      </w:r>
      <w:r>
        <w:rPr>
          <w:rFonts w:cs="宋体"/>
          <w:spacing w:val="3"/>
          <w:highlight w:val="none"/>
        </w:rPr>
        <w:t>防雨，各种包装应能确保设备在运输过程中不致遭到损坏、丢失、变形、受潮和</w:t>
      </w:r>
      <w:r>
        <w:rPr>
          <w:rFonts w:cs="宋体"/>
          <w:highlight w:val="none"/>
        </w:rPr>
        <w:t>腐蚀。</w:t>
      </w:r>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2 </w:t>
      </w:r>
      <w:r>
        <w:rPr>
          <w:rFonts w:cs="宋体"/>
          <w:highlight w:val="none"/>
        </w:rPr>
        <w:t>运输</w:t>
      </w:r>
    </w:p>
    <w:p>
      <w:pPr>
        <w:keepLines w:val="0"/>
        <w:pageBreakBefore w:val="0"/>
        <w:kinsoku/>
        <w:wordWrap/>
        <w:bidi w:val="0"/>
        <w:spacing w:line="500" w:lineRule="exact"/>
        <w:ind w:left="410" w:firstLine="492" w:firstLineChars="200"/>
        <w:rPr>
          <w:highlight w:val="none"/>
        </w:rPr>
      </w:pPr>
      <w:r>
        <w:rPr>
          <w:rFonts w:cs="宋体"/>
          <w:spacing w:val="3"/>
          <w:highlight w:val="none"/>
        </w:rPr>
        <w:t>应采取有效的预防措施防止在运输过程中振动给设备造成的影响和损伤，运输过程中的包装应符合运输部门的有关规定，设备及附件经妥善包装或装箱后，</w:t>
      </w:r>
      <w:r>
        <w:rPr>
          <w:rFonts w:cs="宋体"/>
          <w:highlight w:val="none"/>
        </w:rPr>
        <w:t>在运输过程中尚应采取其它防护措施，以免散失损坏或被盗。</w:t>
      </w:r>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3 </w:t>
      </w:r>
      <w:r>
        <w:rPr>
          <w:rFonts w:cs="宋体"/>
          <w:highlight w:val="none"/>
        </w:rPr>
        <w:t>储存</w:t>
      </w:r>
    </w:p>
    <w:p>
      <w:pPr>
        <w:keepLines w:val="0"/>
        <w:pageBreakBefore w:val="0"/>
        <w:kinsoku/>
        <w:wordWrap/>
        <w:bidi w:val="0"/>
        <w:spacing w:line="500" w:lineRule="exact"/>
        <w:ind w:left="410" w:firstLine="492" w:firstLineChars="200"/>
        <w:rPr>
          <w:highlight w:val="none"/>
        </w:rPr>
      </w:pPr>
      <w:r>
        <w:rPr>
          <w:rFonts w:cs="宋体"/>
          <w:spacing w:val="3"/>
          <w:highlight w:val="none"/>
        </w:rPr>
        <w:t>设备及附件应采用防潮包装，并存放在正常环境温度、干燥的室内保管，以</w:t>
      </w:r>
      <w:r>
        <w:rPr>
          <w:rFonts w:cs="宋体"/>
          <w:highlight w:val="none"/>
        </w:rPr>
        <w:t>防止储存过程中密封破坏而受潮。</w:t>
      </w:r>
    </w:p>
    <w:p>
      <w:pPr>
        <w:pStyle w:val="3"/>
        <w:bidi w:val="0"/>
        <w:rPr>
          <w:rFonts w:hint="default"/>
          <w:highlight w:val="none"/>
          <w:lang w:val="en-US" w:eastAsia="zh-CN"/>
        </w:rPr>
      </w:pPr>
      <w:bookmarkStart w:id="39" w:name="_Toc22301"/>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bookmarkEnd w:id="39"/>
    </w:p>
    <w:p>
      <w:pPr>
        <w:keepLines w:val="0"/>
        <w:pageBreakBefore w:val="0"/>
        <w:kinsoku/>
        <w:wordWrap/>
        <w:bidi w:val="0"/>
        <w:spacing w:line="500" w:lineRule="exact"/>
        <w:ind w:left="410"/>
        <w:rPr>
          <w:rFonts w:hint="eastAsia"/>
          <w:highlight w:val="none"/>
          <w:lang w:val="en-US" w:eastAsia="zh-CN"/>
        </w:rPr>
      </w:pPr>
      <w:r>
        <w:rPr>
          <w:rFonts w:hint="eastAsia" w:cs="Times New Roman"/>
          <w:sz w:val="24"/>
          <w:szCs w:val="24"/>
          <w:highlight w:val="none"/>
          <w:lang w:val="en-US" w:eastAsia="zh-CN"/>
        </w:rPr>
        <w:t xml:space="preserve">7.1 </w:t>
      </w:r>
      <w:r>
        <w:rPr>
          <w:rFonts w:hint="eastAsia"/>
          <w:highlight w:val="none"/>
          <w:lang w:val="en-US" w:eastAsia="zh-CN"/>
        </w:rPr>
        <w:t>功能验收</w:t>
      </w:r>
    </w:p>
    <w:p>
      <w:pPr>
        <w:keepLines w:val="0"/>
        <w:pageBreakBefore w:val="0"/>
        <w:kinsoku/>
        <w:wordWrap/>
        <w:bidi w:val="0"/>
        <w:spacing w:line="500" w:lineRule="exact"/>
        <w:ind w:left="410"/>
        <w:rPr>
          <w:rFonts w:hint="default"/>
          <w:highlight w:val="none"/>
          <w:lang w:val="en-US" w:eastAsia="zh-CN"/>
        </w:rPr>
      </w:pPr>
      <w:r>
        <w:rPr>
          <w:rFonts w:hint="eastAsia" w:ascii="宋体" w:hAnsi="宋体" w:eastAsia="宋体" w:cs="Times New Roman"/>
          <w:sz w:val="24"/>
          <w:szCs w:val="24"/>
          <w:highlight w:val="none"/>
        </w:rPr>
        <w:t>本标书采购设备</w:t>
      </w:r>
      <w:r>
        <w:rPr>
          <w:rFonts w:ascii="宋体" w:hAnsi="宋体" w:eastAsia="宋体" w:cs="Times New Roman"/>
          <w:sz w:val="24"/>
          <w:szCs w:val="24"/>
          <w:highlight w:val="none"/>
        </w:rPr>
        <w:t>应进行现场交接试验</w:t>
      </w:r>
      <w:r>
        <w:rPr>
          <w:rFonts w:hint="eastAsia" w:ascii="宋体" w:hAnsi="宋体" w:eastAsia="宋体" w:cs="Times New Roman"/>
          <w:sz w:val="24"/>
          <w:szCs w:val="24"/>
          <w:highlight w:val="none"/>
        </w:rPr>
        <w:t>和功能</w:t>
      </w:r>
      <w:r>
        <w:rPr>
          <w:rFonts w:hint="eastAsia" w:ascii="宋体" w:hAnsi="宋体" w:eastAsia="宋体" w:cs="Times New Roman"/>
          <w:sz w:val="24"/>
          <w:szCs w:val="24"/>
          <w:highlight w:val="none"/>
          <w:lang w:val="en-US" w:eastAsia="zh-CN"/>
        </w:rPr>
        <w:t>性</w:t>
      </w:r>
      <w:r>
        <w:rPr>
          <w:rFonts w:hint="eastAsia" w:ascii="宋体" w:hAnsi="宋体" w:eastAsia="宋体" w:cs="Times New Roman"/>
          <w:sz w:val="24"/>
          <w:szCs w:val="24"/>
          <w:highlight w:val="none"/>
        </w:rPr>
        <w:t>验收</w:t>
      </w:r>
      <w:r>
        <w:rPr>
          <w:rFonts w:ascii="宋体" w:hAnsi="宋体" w:eastAsia="宋体" w:cs="Times New Roman"/>
          <w:sz w:val="24"/>
          <w:szCs w:val="24"/>
          <w:highlight w:val="none"/>
        </w:rPr>
        <w:t>。交接试验</w:t>
      </w:r>
      <w:r>
        <w:rPr>
          <w:rFonts w:hint="eastAsia" w:ascii="宋体" w:hAnsi="宋体" w:eastAsia="宋体" w:cs="Times New Roman"/>
          <w:sz w:val="24"/>
          <w:szCs w:val="24"/>
          <w:highlight w:val="none"/>
        </w:rPr>
        <w:t>和功能验收</w:t>
      </w:r>
      <w:r>
        <w:rPr>
          <w:rFonts w:ascii="宋体" w:hAnsi="宋体" w:eastAsia="宋体" w:cs="Times New Roman"/>
          <w:sz w:val="24"/>
          <w:szCs w:val="24"/>
          <w:highlight w:val="none"/>
        </w:rPr>
        <w:t>是为了确认</w:t>
      </w:r>
      <w:r>
        <w:rPr>
          <w:rFonts w:hint="eastAsia" w:ascii="宋体" w:hAnsi="宋体" w:eastAsia="宋体" w:cs="Times New Roman"/>
          <w:sz w:val="24"/>
          <w:szCs w:val="24"/>
          <w:highlight w:val="none"/>
        </w:rPr>
        <w:t>设备</w:t>
      </w:r>
      <w:r>
        <w:rPr>
          <w:rFonts w:ascii="宋体" w:hAnsi="宋体" w:eastAsia="宋体" w:cs="Times New Roman"/>
          <w:sz w:val="24"/>
          <w:szCs w:val="24"/>
          <w:highlight w:val="none"/>
        </w:rPr>
        <w:t>经过运输、储存、现场安装或调整等过程后是否存在损坏、各个单元的兼容性、装配是否正确</w:t>
      </w:r>
      <w:r>
        <w:rPr>
          <w:rFonts w:hint="eastAsia" w:ascii="宋体" w:hAnsi="宋体" w:eastAsia="宋体" w:cs="Times New Roman"/>
          <w:sz w:val="24"/>
          <w:szCs w:val="24"/>
          <w:highlight w:val="none"/>
          <w:lang w:eastAsia="zh-CN"/>
        </w:rPr>
        <w:t>、</w:t>
      </w:r>
      <w:r>
        <w:rPr>
          <w:rFonts w:hint="eastAsia" w:ascii="宋体" w:hAnsi="宋体" w:eastAsia="宋体" w:cs="Times New Roman"/>
          <w:sz w:val="24"/>
          <w:szCs w:val="24"/>
          <w:highlight w:val="none"/>
          <w:lang w:val="en-US" w:eastAsia="zh-CN"/>
        </w:rPr>
        <w:t>功能是否符合技术要求</w:t>
      </w:r>
      <w:r>
        <w:rPr>
          <w:rFonts w:ascii="宋体" w:hAnsi="宋体" w:eastAsia="宋体" w:cs="Times New Roman"/>
          <w:sz w:val="24"/>
          <w:szCs w:val="24"/>
          <w:highlight w:val="none"/>
        </w:rPr>
        <w:t>。</w:t>
      </w:r>
      <w:r>
        <w:rPr>
          <w:rFonts w:hint="eastAsia" w:ascii="宋体" w:hAnsi="宋体" w:eastAsia="宋体" w:cs="Times New Roman"/>
          <w:sz w:val="24"/>
          <w:szCs w:val="24"/>
          <w:highlight w:val="none"/>
        </w:rPr>
        <w:t>本标书采购现场交接试验和设备功能验收应</w:t>
      </w:r>
      <w:r>
        <w:rPr>
          <w:rFonts w:hint="eastAsia" w:ascii="宋体" w:hAnsi="宋体" w:eastAsia="宋体" w:cs="Times New Roman"/>
          <w:sz w:val="24"/>
          <w:szCs w:val="24"/>
          <w:highlight w:val="none"/>
          <w:lang w:val="en-US" w:eastAsia="zh-CN"/>
        </w:rPr>
        <w:t>严格</w:t>
      </w:r>
      <w:r>
        <w:rPr>
          <w:rFonts w:hint="eastAsia" w:ascii="宋体" w:hAnsi="宋体" w:eastAsia="宋体" w:cs="Times New Roman"/>
          <w:sz w:val="24"/>
          <w:szCs w:val="24"/>
          <w:highlight w:val="none"/>
        </w:rPr>
        <w:t>按</w:t>
      </w:r>
      <w:r>
        <w:rPr>
          <w:rFonts w:hint="eastAsia" w:ascii="宋体" w:hAnsi="宋体" w:eastAsia="宋体" w:cs="Times New Roman"/>
          <w:sz w:val="24"/>
          <w:szCs w:val="24"/>
          <w:highlight w:val="none"/>
          <w:lang w:val="en-US" w:eastAsia="zh-CN"/>
        </w:rPr>
        <w:t>功能及技术参数</w:t>
      </w:r>
      <w:r>
        <w:rPr>
          <w:rFonts w:hint="eastAsia" w:ascii="宋体" w:hAnsi="宋体" w:eastAsia="宋体" w:cs="Times New Roman"/>
          <w:sz w:val="24"/>
          <w:szCs w:val="24"/>
          <w:highlight w:val="none"/>
        </w:rPr>
        <w:t>要求执行</w:t>
      </w:r>
      <w:r>
        <w:rPr>
          <w:rFonts w:hint="eastAsia" w:ascii="宋体" w:hAnsi="宋体" w:eastAsia="宋体" w:cs="Times New Roman"/>
          <w:sz w:val="24"/>
          <w:szCs w:val="24"/>
          <w:highlight w:val="none"/>
          <w:lang w:eastAsia="zh-CN"/>
        </w:rPr>
        <w:t>，</w:t>
      </w:r>
      <w:r>
        <w:rPr>
          <w:rFonts w:hint="eastAsia" w:ascii="宋体" w:hAnsi="宋体" w:eastAsia="宋体" w:cs="Times New Roman"/>
          <w:b/>
          <w:bCs/>
          <w:sz w:val="24"/>
          <w:szCs w:val="24"/>
          <w:highlight w:val="none"/>
          <w:lang w:val="en-US" w:eastAsia="zh-CN"/>
        </w:rPr>
        <w:t>如实际供货产品与招标采购所需功能及技术参数不符，视为虚假中标，</w:t>
      </w:r>
      <w:r>
        <w:rPr>
          <w:rFonts w:hint="eastAsia" w:cs="Times New Roman"/>
          <w:b/>
          <w:bCs/>
          <w:sz w:val="24"/>
          <w:szCs w:val="24"/>
          <w:highlight w:val="none"/>
          <w:lang w:val="en-US" w:eastAsia="zh-CN"/>
        </w:rPr>
        <w:t>有权进行</w:t>
      </w:r>
      <w:r>
        <w:rPr>
          <w:rFonts w:hint="eastAsia" w:ascii="宋体" w:hAnsi="宋体" w:eastAsia="宋体" w:cs="Times New Roman"/>
          <w:b/>
          <w:bCs/>
          <w:sz w:val="24"/>
          <w:szCs w:val="24"/>
          <w:highlight w:val="none"/>
          <w:lang w:val="en-US" w:eastAsia="zh-CN"/>
        </w:rPr>
        <w:t>退货处理</w:t>
      </w:r>
      <w:r>
        <w:rPr>
          <w:rFonts w:hint="eastAsia" w:cs="Times New Roman"/>
          <w:b/>
          <w:bCs/>
          <w:sz w:val="24"/>
          <w:szCs w:val="24"/>
          <w:highlight w:val="none"/>
          <w:lang w:val="en-US" w:eastAsia="zh-CN"/>
        </w:rPr>
        <w:t>，</w:t>
      </w:r>
      <w:r>
        <w:rPr>
          <w:rFonts w:hint="eastAsia" w:ascii="宋体" w:hAnsi="宋体" w:eastAsia="宋体" w:cs="Times New Roman"/>
          <w:b/>
          <w:bCs/>
          <w:sz w:val="24"/>
          <w:szCs w:val="24"/>
          <w:highlight w:val="none"/>
          <w:lang w:val="en-US" w:eastAsia="zh-CN"/>
        </w:rPr>
        <w:t>并</w:t>
      </w:r>
      <w:r>
        <w:rPr>
          <w:rFonts w:hint="eastAsia"/>
          <w:b/>
          <w:bCs/>
          <w:highlight w:val="none"/>
          <w:lang w:val="en-US" w:eastAsia="zh-CN"/>
        </w:rPr>
        <w:t>按照《中国南方电网有限责任公司供应商不良行为处理管理细则》进行处理，同时纳入履约评价。</w:t>
      </w:r>
    </w:p>
    <w:p>
      <w:pPr>
        <w:keepLines w:val="0"/>
        <w:pageBreakBefore w:val="0"/>
        <w:kinsoku/>
        <w:wordWrap/>
        <w:bidi w:val="0"/>
        <w:spacing w:line="500" w:lineRule="exact"/>
        <w:ind w:left="410"/>
        <w:rPr>
          <w:rFonts w:hint="eastAsia"/>
          <w:highlight w:val="none"/>
        </w:rPr>
      </w:pPr>
      <w:r>
        <w:rPr>
          <w:rFonts w:hint="eastAsia"/>
          <w:highlight w:val="none"/>
          <w:lang w:eastAsia="zh-CN"/>
        </w:rPr>
        <w:t>7.</w:t>
      </w:r>
      <w:r>
        <w:rPr>
          <w:rFonts w:hint="eastAsia"/>
          <w:highlight w:val="none"/>
        </w:rPr>
        <w:t>2 交货期：合同签订后</w:t>
      </w:r>
      <w:r>
        <w:rPr>
          <w:rFonts w:hint="eastAsia"/>
          <w:color w:val="auto"/>
          <w:highlight w:val="none"/>
          <w:lang w:val="en-US" w:eastAsia="zh-CN"/>
        </w:rPr>
        <w:t>15</w:t>
      </w:r>
      <w:r>
        <w:rPr>
          <w:rFonts w:hint="eastAsia"/>
          <w:highlight w:val="none"/>
        </w:rPr>
        <w:t>天内。</w:t>
      </w:r>
    </w:p>
    <w:p>
      <w:pPr>
        <w:keepLines w:val="0"/>
        <w:pageBreakBefore w:val="0"/>
        <w:kinsoku/>
        <w:wordWrap/>
        <w:bidi w:val="0"/>
        <w:spacing w:line="500" w:lineRule="exact"/>
        <w:ind w:left="410"/>
        <w:rPr>
          <w:rFonts w:hint="eastAsia" w:ascii="宋体" w:hAnsi="宋体" w:eastAsia="宋体"/>
          <w:sz w:val="24"/>
          <w:highlight w:val="none"/>
        </w:rPr>
      </w:pPr>
      <w:r>
        <w:rPr>
          <w:rFonts w:hint="eastAsia"/>
          <w:sz w:val="24"/>
          <w:highlight w:val="none"/>
          <w:lang w:val="en-US" w:eastAsia="zh-CN"/>
        </w:rPr>
        <w:t>7.3 交货资料：</w:t>
      </w:r>
      <w:r>
        <w:rPr>
          <w:rFonts w:hint="eastAsia" w:ascii="宋体" w:hAnsi="宋体" w:eastAsia="宋体"/>
          <w:sz w:val="24"/>
          <w:highlight w:val="none"/>
        </w:rPr>
        <w:t>随产品提供的技术资料应完整无缺，并为中文版本。</w:t>
      </w:r>
    </w:p>
    <w:p>
      <w:pPr>
        <w:pStyle w:val="33"/>
        <w:ind w:firstLine="0" w:firstLineChars="0"/>
        <w:rPr>
          <w:rFonts w:hint="eastAsia" w:ascii="宋体" w:hAnsi="宋体" w:eastAsia="宋体"/>
          <w:sz w:val="24"/>
          <w:highlight w:val="none"/>
        </w:rPr>
      </w:pPr>
      <w:r>
        <w:rPr>
          <w:rFonts w:hint="eastAsia" w:ascii="宋体" w:hAnsi="宋体" w:eastAsia="宋体"/>
          <w:b w:val="0"/>
          <w:bCs w:val="0"/>
          <w:sz w:val="24"/>
          <w:highlight w:val="none"/>
        </w:rPr>
        <w:t>①装箱资料应包括：</w:t>
      </w:r>
      <w:r>
        <w:rPr>
          <w:rFonts w:hint="eastAsia" w:ascii="宋体" w:hAnsi="宋体" w:eastAsia="宋体"/>
          <w:sz w:val="24"/>
          <w:highlight w:val="none"/>
        </w:rPr>
        <w:t>仪器清单，出厂合格证，说明书，</w:t>
      </w:r>
      <w:r>
        <w:rPr>
          <w:rFonts w:hint="eastAsia" w:cs="宋体"/>
          <w:spacing w:val="1"/>
          <w:highlight w:val="none"/>
          <w:lang w:val="en-US" w:eastAsia="zh-CN"/>
        </w:rPr>
        <w:t>第三方校准</w:t>
      </w:r>
      <w:r>
        <w:rPr>
          <w:rFonts w:cs="宋体"/>
          <w:spacing w:val="1"/>
          <w:highlight w:val="none"/>
        </w:rPr>
        <w:t>报告</w:t>
      </w:r>
      <w:r>
        <w:rPr>
          <w:rFonts w:hint="eastAsia" w:ascii="宋体" w:hAnsi="宋体" w:eastAsia="宋体"/>
          <w:sz w:val="24"/>
          <w:highlight w:val="none"/>
        </w:rPr>
        <w:t>。</w:t>
      </w:r>
    </w:p>
    <w:p>
      <w:pPr>
        <w:pStyle w:val="33"/>
        <w:ind w:firstLine="0" w:firstLineChars="0"/>
        <w:rPr>
          <w:rFonts w:hint="eastAsia" w:ascii="宋体" w:hAnsi="宋体" w:eastAsia="宋体"/>
          <w:sz w:val="24"/>
          <w:highlight w:val="none"/>
        </w:rPr>
      </w:pPr>
      <w:r>
        <w:rPr>
          <w:rFonts w:hint="eastAsia" w:ascii="宋体" w:hAnsi="宋体" w:eastAsia="宋体"/>
          <w:sz w:val="24"/>
          <w:highlight w:val="none"/>
        </w:rPr>
        <w:t>②使用说明书、技术说明书以及配套产品资料等各4份，另提供电子版全套资料1份。</w:t>
      </w:r>
    </w:p>
    <w:p>
      <w:pPr>
        <w:keepLines w:val="0"/>
        <w:pageBreakBefore w:val="0"/>
        <w:kinsoku/>
        <w:wordWrap/>
        <w:bidi w:val="0"/>
        <w:spacing w:line="500" w:lineRule="exact"/>
        <w:ind w:left="410"/>
        <w:rPr>
          <w:highlight w:val="none"/>
        </w:rPr>
      </w:pPr>
      <w:r>
        <w:rPr>
          <w:rFonts w:hint="eastAsia" w:cs="宋体"/>
          <w:b/>
          <w:bCs/>
          <w:highlight w:val="none"/>
          <w:lang w:val="en-US" w:eastAsia="zh-CN"/>
        </w:rPr>
        <w:t>其中设备</w:t>
      </w:r>
      <w:r>
        <w:rPr>
          <w:rFonts w:hint="eastAsia" w:cs="宋体"/>
          <w:b/>
          <w:bCs/>
          <w:spacing w:val="1"/>
          <w:highlight w:val="none"/>
          <w:lang w:val="en-US" w:eastAsia="zh-CN"/>
        </w:rPr>
        <w:t>校准</w:t>
      </w:r>
      <w:r>
        <w:rPr>
          <w:rFonts w:cs="宋体"/>
          <w:b/>
          <w:bCs/>
          <w:spacing w:val="1"/>
          <w:highlight w:val="none"/>
        </w:rPr>
        <w:t>报告</w:t>
      </w:r>
      <w:r>
        <w:rPr>
          <w:rFonts w:hint="eastAsia" w:cs="宋体"/>
          <w:b/>
          <w:bCs/>
          <w:spacing w:val="1"/>
          <w:highlight w:val="none"/>
          <w:lang w:val="en-US" w:eastAsia="zh-CN"/>
        </w:rPr>
        <w:t>需经</w:t>
      </w:r>
      <w:r>
        <w:rPr>
          <w:rFonts w:cs="宋体"/>
          <w:b/>
          <w:bCs/>
          <w:spacing w:val="1"/>
          <w:highlight w:val="none"/>
        </w:rPr>
        <w:t>中国合格评定国家认可委员会</w:t>
      </w:r>
      <w:r>
        <w:rPr>
          <w:rFonts w:hint="eastAsia" w:cs="宋体"/>
          <w:b/>
          <w:bCs/>
          <w:spacing w:val="1"/>
          <w:highlight w:val="none"/>
        </w:rPr>
        <w:t>(CNAS)</w:t>
      </w:r>
      <w:r>
        <w:rPr>
          <w:rFonts w:cs="宋体"/>
          <w:b/>
          <w:bCs/>
          <w:spacing w:val="1"/>
          <w:highlight w:val="none"/>
        </w:rPr>
        <w:t>认可的校准机构出具</w:t>
      </w:r>
      <w:r>
        <w:rPr>
          <w:rFonts w:hint="eastAsia" w:cs="宋体"/>
          <w:b/>
          <w:bCs/>
          <w:spacing w:val="1"/>
          <w:highlight w:val="none"/>
          <w:lang w:eastAsia="zh-CN"/>
        </w:rPr>
        <w:t>。</w:t>
      </w:r>
    </w:p>
    <w:p>
      <w:pPr>
        <w:pStyle w:val="3"/>
        <w:numPr>
          <w:ilvl w:val="0"/>
          <w:numId w:val="1"/>
        </w:numPr>
        <w:bidi w:val="0"/>
        <w:rPr>
          <w:rFonts w:hint="eastAsia"/>
          <w:highlight w:val="none"/>
        </w:rPr>
      </w:pPr>
      <w:bookmarkStart w:id="40" w:name="_Toc25792"/>
      <w:r>
        <w:rPr>
          <w:rFonts w:hint="eastAsia"/>
          <w:highlight w:val="none"/>
        </w:rPr>
        <w:t>供货范围清单</w:t>
      </w:r>
      <w:bookmarkEnd w:id="40"/>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3350"/>
        <w:gridCol w:w="1708"/>
        <w:gridCol w:w="2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noWrap w:val="0"/>
            <w:vAlign w:val="center"/>
          </w:tcPr>
          <w:p>
            <w:pPr>
              <w:pStyle w:val="35"/>
              <w:widowControl w:val="0"/>
              <w:suppressAutoHyphens/>
              <w:rPr>
                <w:sz w:val="24"/>
                <w:szCs w:val="24"/>
                <w:highlight w:val="none"/>
              </w:rPr>
            </w:pPr>
            <w:bookmarkStart w:id="45" w:name="_GoBack" w:colFirst="0" w:colLast="3"/>
            <w:r>
              <w:rPr>
                <w:rFonts w:hAnsi="宋体"/>
                <w:sz w:val="24"/>
                <w:szCs w:val="24"/>
                <w:highlight w:val="none"/>
              </w:rPr>
              <w:t>序号</w:t>
            </w:r>
          </w:p>
        </w:tc>
        <w:tc>
          <w:tcPr>
            <w:tcW w:w="3350" w:type="dxa"/>
            <w:noWrap w:val="0"/>
            <w:vAlign w:val="center"/>
          </w:tcPr>
          <w:p>
            <w:pPr>
              <w:pStyle w:val="35"/>
              <w:widowControl w:val="0"/>
              <w:suppressAutoHyphens/>
              <w:rPr>
                <w:sz w:val="24"/>
                <w:szCs w:val="24"/>
                <w:highlight w:val="none"/>
              </w:rPr>
            </w:pPr>
            <w:r>
              <w:rPr>
                <w:rFonts w:hAnsi="宋体"/>
                <w:sz w:val="24"/>
                <w:szCs w:val="24"/>
                <w:highlight w:val="none"/>
              </w:rPr>
              <w:t>供货设备</w:t>
            </w:r>
          </w:p>
        </w:tc>
        <w:tc>
          <w:tcPr>
            <w:tcW w:w="1708" w:type="dxa"/>
            <w:noWrap w:val="0"/>
            <w:vAlign w:val="center"/>
          </w:tcPr>
          <w:p>
            <w:pPr>
              <w:pStyle w:val="35"/>
              <w:widowControl w:val="0"/>
              <w:suppressAutoHyphens/>
              <w:rPr>
                <w:sz w:val="24"/>
                <w:szCs w:val="24"/>
                <w:highlight w:val="none"/>
              </w:rPr>
            </w:pPr>
            <w:r>
              <w:rPr>
                <w:rFonts w:hAnsi="宋体"/>
                <w:sz w:val="24"/>
                <w:szCs w:val="24"/>
                <w:highlight w:val="none"/>
              </w:rPr>
              <w:t>数量</w:t>
            </w:r>
          </w:p>
        </w:tc>
        <w:tc>
          <w:tcPr>
            <w:tcW w:w="2604" w:type="dxa"/>
            <w:noWrap w:val="0"/>
            <w:vAlign w:val="center"/>
          </w:tcPr>
          <w:p>
            <w:pPr>
              <w:pStyle w:val="35"/>
              <w:widowControl w:val="0"/>
              <w:suppressAutoHyphens/>
              <w:rPr>
                <w:rFonts w:hint="default" w:eastAsia="宋体"/>
                <w:sz w:val="24"/>
                <w:szCs w:val="24"/>
                <w:highlight w:val="none"/>
                <w:lang w:val="en-US" w:eastAsia="zh-CN"/>
              </w:rPr>
            </w:pPr>
            <w:r>
              <w:rPr>
                <w:rFonts w:hint="eastAsia"/>
                <w:sz w:val="24"/>
                <w:szCs w:val="24"/>
                <w:highlight w:val="none"/>
                <w:lang w:val="en-US" w:eastAsia="zh-CN"/>
              </w:rPr>
              <w:t>投标人响应值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noWrap w:val="0"/>
            <w:vAlign w:val="center"/>
          </w:tcPr>
          <w:p>
            <w:pPr>
              <w:pStyle w:val="35"/>
              <w:widowControl w:val="0"/>
              <w:suppressAutoHyphens/>
              <w:rPr>
                <w:rFonts w:hint="eastAsia" w:ascii="宋体" w:hAnsi="宋体" w:eastAsia="宋体"/>
                <w:sz w:val="24"/>
                <w:szCs w:val="24"/>
                <w:highlight w:val="none"/>
              </w:rPr>
            </w:pPr>
            <w:r>
              <w:rPr>
                <w:rFonts w:ascii="宋体" w:hAnsi="宋体" w:eastAsia="宋体"/>
                <w:sz w:val="24"/>
                <w:szCs w:val="24"/>
                <w:highlight w:val="none"/>
              </w:rPr>
              <w:t>1</w:t>
            </w:r>
          </w:p>
        </w:tc>
        <w:tc>
          <w:tcPr>
            <w:tcW w:w="3350" w:type="dxa"/>
            <w:noWrap w:val="0"/>
            <w:vAlign w:val="center"/>
          </w:tcPr>
          <w:p>
            <w:pPr>
              <w:jc w:val="center"/>
              <w:rPr>
                <w:rFonts w:hint="eastAsia"/>
                <w:sz w:val="24"/>
                <w:szCs w:val="24"/>
                <w:highlight w:val="none"/>
              </w:rPr>
            </w:pPr>
            <w:r>
              <w:rPr>
                <w:rFonts w:hint="eastAsia"/>
                <w:sz w:val="24"/>
                <w:szCs w:val="24"/>
                <w:highlight w:val="none"/>
              </w:rPr>
              <w:t>介质响应分析仪</w:t>
            </w:r>
          </w:p>
        </w:tc>
        <w:tc>
          <w:tcPr>
            <w:tcW w:w="1708" w:type="dxa"/>
            <w:noWrap w:val="0"/>
            <w:vAlign w:val="center"/>
          </w:tcPr>
          <w:p>
            <w:pPr>
              <w:pStyle w:val="35"/>
              <w:widowControl w:val="0"/>
              <w:suppressAutoHyphens/>
              <w:rPr>
                <w:rFonts w:hint="eastAsia" w:ascii="宋体" w:hAnsi="宋体" w:eastAsia="宋体"/>
                <w:sz w:val="24"/>
                <w:szCs w:val="24"/>
                <w:highlight w:val="none"/>
                <w:lang w:eastAsia="zh-CN"/>
              </w:rPr>
            </w:pPr>
            <w:r>
              <w:rPr>
                <w:rFonts w:hint="eastAsia" w:ascii="宋体" w:hAnsi="宋体" w:eastAsia="宋体"/>
                <w:sz w:val="24"/>
                <w:szCs w:val="24"/>
                <w:highlight w:val="none"/>
                <w:lang w:eastAsia="zh-CN"/>
              </w:rPr>
              <w:t>1套</w:t>
            </w:r>
          </w:p>
        </w:tc>
        <w:tc>
          <w:tcPr>
            <w:tcW w:w="2604" w:type="dxa"/>
            <w:noWrap w:val="0"/>
            <w:vAlign w:val="center"/>
          </w:tcPr>
          <w:p>
            <w:pPr>
              <w:pStyle w:val="35"/>
              <w:widowControl w:val="0"/>
              <w:suppressAutoHyphens/>
              <w:rPr>
                <w:rFonts w:hint="eastAsia" w:ascii="宋体" w:hAnsi="宋体" w:eastAsia="宋体"/>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noWrap w:val="0"/>
            <w:vAlign w:val="center"/>
          </w:tcPr>
          <w:p>
            <w:pPr>
              <w:pStyle w:val="35"/>
              <w:widowControl w:val="0"/>
              <w:suppressAutoHyphens/>
              <w:rPr>
                <w:rFonts w:hint="eastAsia" w:ascii="宋体" w:hAnsi="宋体" w:eastAsia="宋体"/>
                <w:sz w:val="24"/>
                <w:szCs w:val="24"/>
                <w:highlight w:val="none"/>
                <w:lang w:eastAsia="zh-CN"/>
              </w:rPr>
            </w:pPr>
            <w:r>
              <w:rPr>
                <w:rFonts w:hint="eastAsia" w:ascii="宋体" w:hAnsi="宋体" w:eastAsia="宋体"/>
                <w:sz w:val="24"/>
                <w:szCs w:val="24"/>
                <w:highlight w:val="none"/>
                <w:lang w:eastAsia="zh-CN"/>
              </w:rPr>
              <w:t>2</w:t>
            </w:r>
          </w:p>
        </w:tc>
        <w:tc>
          <w:tcPr>
            <w:tcW w:w="3350" w:type="dxa"/>
            <w:noWrap w:val="0"/>
            <w:vAlign w:val="center"/>
          </w:tcPr>
          <w:p>
            <w:pPr>
              <w:jc w:val="center"/>
              <w:rPr>
                <w:rFonts w:hint="eastAsia"/>
                <w:sz w:val="24"/>
                <w:szCs w:val="24"/>
                <w:highlight w:val="none"/>
              </w:rPr>
            </w:pPr>
            <w:r>
              <w:rPr>
                <w:rFonts w:hint="eastAsia"/>
                <w:sz w:val="24"/>
                <w:szCs w:val="24"/>
                <w:highlight w:val="none"/>
              </w:rPr>
              <w:t>高压放大器</w:t>
            </w:r>
          </w:p>
        </w:tc>
        <w:tc>
          <w:tcPr>
            <w:tcW w:w="1708" w:type="dxa"/>
            <w:noWrap w:val="0"/>
            <w:vAlign w:val="center"/>
          </w:tcPr>
          <w:p>
            <w:pPr>
              <w:pStyle w:val="35"/>
              <w:widowControl w:val="0"/>
              <w:suppressAutoHyphens/>
              <w:rPr>
                <w:rFonts w:hint="eastAsia" w:ascii="宋体" w:hAnsi="宋体" w:eastAsia="宋体"/>
                <w:sz w:val="24"/>
                <w:szCs w:val="24"/>
                <w:highlight w:val="none"/>
                <w:lang w:eastAsia="zh-CN"/>
              </w:rPr>
            </w:pPr>
            <w:r>
              <w:rPr>
                <w:rFonts w:hint="eastAsia" w:ascii="宋体" w:hAnsi="宋体" w:eastAsia="宋体"/>
                <w:sz w:val="24"/>
                <w:szCs w:val="24"/>
                <w:highlight w:val="none"/>
                <w:lang w:eastAsia="zh-CN"/>
              </w:rPr>
              <w:t>1套</w:t>
            </w:r>
          </w:p>
        </w:tc>
        <w:tc>
          <w:tcPr>
            <w:tcW w:w="2604" w:type="dxa"/>
            <w:noWrap w:val="0"/>
            <w:vAlign w:val="center"/>
          </w:tcPr>
          <w:p>
            <w:pPr>
              <w:pStyle w:val="35"/>
              <w:widowControl w:val="0"/>
              <w:suppressAutoHyphens/>
              <w:rPr>
                <w:rFonts w:hint="eastAsia" w:ascii="宋体" w:hAnsi="宋体" w:eastAsia="宋体"/>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noWrap w:val="0"/>
            <w:vAlign w:val="center"/>
          </w:tcPr>
          <w:p>
            <w:pPr>
              <w:pStyle w:val="35"/>
              <w:widowControl w:val="0"/>
              <w:suppressAutoHyphens/>
              <w:rPr>
                <w:rFonts w:hint="default" w:ascii="宋体" w:hAnsi="宋体" w:eastAsia="宋体"/>
                <w:sz w:val="24"/>
                <w:szCs w:val="24"/>
                <w:highlight w:val="none"/>
                <w:lang w:val="en-US" w:eastAsia="zh-CN"/>
              </w:rPr>
            </w:pPr>
            <w:r>
              <w:rPr>
                <w:rFonts w:hint="eastAsia" w:ascii="宋体" w:hAnsi="宋体" w:eastAsia="宋体"/>
                <w:sz w:val="24"/>
                <w:szCs w:val="24"/>
                <w:highlight w:val="none"/>
                <w:lang w:val="en-US" w:eastAsia="zh-CN"/>
              </w:rPr>
              <w:t>3</w:t>
            </w:r>
          </w:p>
        </w:tc>
        <w:tc>
          <w:tcPr>
            <w:tcW w:w="3350" w:type="dxa"/>
            <w:noWrap w:val="0"/>
            <w:vAlign w:val="center"/>
          </w:tcPr>
          <w:p>
            <w:pPr>
              <w:jc w:val="center"/>
              <w:rPr>
                <w:rFonts w:hint="default" w:eastAsia="宋体"/>
                <w:sz w:val="24"/>
                <w:szCs w:val="24"/>
                <w:highlight w:val="none"/>
                <w:lang w:val="en-US" w:eastAsia="zh-CN"/>
              </w:rPr>
            </w:pPr>
            <w:r>
              <w:rPr>
                <w:rFonts w:hint="eastAsia"/>
                <w:sz w:val="24"/>
                <w:szCs w:val="24"/>
                <w:highlight w:val="none"/>
                <w:lang w:val="en-US" w:eastAsia="zh-CN"/>
              </w:rPr>
              <w:t>自校准模块</w:t>
            </w:r>
          </w:p>
        </w:tc>
        <w:tc>
          <w:tcPr>
            <w:tcW w:w="1708" w:type="dxa"/>
            <w:noWrap w:val="0"/>
            <w:vAlign w:val="center"/>
          </w:tcPr>
          <w:p>
            <w:pPr>
              <w:pStyle w:val="35"/>
              <w:widowControl w:val="0"/>
              <w:suppressAutoHyphens/>
              <w:rPr>
                <w:rFonts w:hint="eastAsia" w:ascii="宋体" w:hAnsi="宋体" w:eastAsia="宋体"/>
                <w:sz w:val="24"/>
                <w:szCs w:val="24"/>
                <w:highlight w:val="none"/>
                <w:lang w:eastAsia="zh-CN"/>
              </w:rPr>
            </w:pPr>
            <w:r>
              <w:rPr>
                <w:rFonts w:hint="eastAsia" w:ascii="宋体" w:hAnsi="宋体" w:eastAsia="宋体"/>
                <w:sz w:val="24"/>
                <w:szCs w:val="24"/>
                <w:highlight w:val="none"/>
                <w:lang w:val="en-US" w:eastAsia="zh-CN"/>
              </w:rPr>
              <w:t>1套</w:t>
            </w:r>
          </w:p>
        </w:tc>
        <w:tc>
          <w:tcPr>
            <w:tcW w:w="2604" w:type="dxa"/>
            <w:noWrap w:val="0"/>
            <w:vAlign w:val="center"/>
          </w:tcPr>
          <w:p>
            <w:pPr>
              <w:pStyle w:val="35"/>
              <w:widowControl w:val="0"/>
              <w:suppressAutoHyphens/>
              <w:rPr>
                <w:rFonts w:hint="default" w:ascii="宋体" w:hAnsi="宋体" w:eastAsia="宋体"/>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noWrap w:val="0"/>
            <w:vAlign w:val="center"/>
          </w:tcPr>
          <w:p>
            <w:pPr>
              <w:pStyle w:val="35"/>
              <w:widowControl w:val="0"/>
              <w:suppressAutoHyphens/>
              <w:rPr>
                <w:rFonts w:hint="default" w:ascii="宋体" w:hAnsi="宋体" w:eastAsia="宋体"/>
                <w:sz w:val="24"/>
                <w:szCs w:val="24"/>
                <w:highlight w:val="none"/>
                <w:lang w:val="en-US" w:eastAsia="zh-CN"/>
              </w:rPr>
            </w:pPr>
            <w:r>
              <w:rPr>
                <w:rFonts w:hint="eastAsia" w:ascii="宋体" w:hAnsi="宋体" w:eastAsia="宋体"/>
                <w:sz w:val="24"/>
                <w:szCs w:val="24"/>
                <w:highlight w:val="none"/>
                <w:lang w:val="en-US" w:eastAsia="zh-CN"/>
              </w:rPr>
              <w:t>4</w:t>
            </w:r>
          </w:p>
        </w:tc>
        <w:tc>
          <w:tcPr>
            <w:tcW w:w="3350" w:type="dxa"/>
            <w:noWrap w:val="0"/>
            <w:vAlign w:val="center"/>
          </w:tcPr>
          <w:p>
            <w:pPr>
              <w:jc w:val="center"/>
              <w:rPr>
                <w:rFonts w:hint="eastAsia"/>
                <w:sz w:val="24"/>
                <w:szCs w:val="24"/>
                <w:highlight w:val="none"/>
              </w:rPr>
            </w:pPr>
            <w:r>
              <w:rPr>
                <w:rFonts w:hint="eastAsia"/>
                <w:sz w:val="24"/>
                <w:szCs w:val="24"/>
                <w:highlight w:val="none"/>
              </w:rPr>
              <w:t>EMI扫描模块</w:t>
            </w:r>
          </w:p>
        </w:tc>
        <w:tc>
          <w:tcPr>
            <w:tcW w:w="1708" w:type="dxa"/>
            <w:noWrap w:val="0"/>
            <w:vAlign w:val="center"/>
          </w:tcPr>
          <w:p>
            <w:pPr>
              <w:pStyle w:val="35"/>
              <w:widowControl w:val="0"/>
              <w:suppressAutoHyphens/>
              <w:rPr>
                <w:rFonts w:hint="eastAsia" w:ascii="宋体" w:hAnsi="宋体" w:eastAsia="宋体"/>
                <w:sz w:val="24"/>
                <w:szCs w:val="24"/>
                <w:highlight w:val="none"/>
                <w:lang w:eastAsia="zh-CN"/>
              </w:rPr>
            </w:pPr>
            <w:r>
              <w:rPr>
                <w:rFonts w:hint="eastAsia" w:ascii="宋体" w:hAnsi="宋体" w:eastAsia="宋体"/>
                <w:sz w:val="24"/>
                <w:szCs w:val="24"/>
                <w:highlight w:val="none"/>
                <w:lang w:eastAsia="zh-CN"/>
              </w:rPr>
              <w:t>1套</w:t>
            </w:r>
          </w:p>
        </w:tc>
        <w:tc>
          <w:tcPr>
            <w:tcW w:w="2604" w:type="dxa"/>
            <w:noWrap w:val="0"/>
            <w:vAlign w:val="center"/>
          </w:tcPr>
          <w:p>
            <w:pPr>
              <w:pStyle w:val="35"/>
              <w:widowControl w:val="0"/>
              <w:suppressAutoHyphens/>
              <w:rPr>
                <w:rFonts w:hint="eastAsia" w:ascii="宋体" w:hAnsi="宋体" w:eastAsia="宋体"/>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98" w:type="dxa"/>
            <w:noWrap w:val="0"/>
            <w:vAlign w:val="center"/>
          </w:tcPr>
          <w:p>
            <w:pPr>
              <w:pStyle w:val="35"/>
              <w:widowControl w:val="0"/>
              <w:suppressAutoHyphens/>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5</w:t>
            </w:r>
          </w:p>
        </w:tc>
        <w:tc>
          <w:tcPr>
            <w:tcW w:w="3350" w:type="dxa"/>
            <w:noWrap w:val="0"/>
            <w:vAlign w:val="center"/>
          </w:tcPr>
          <w:p>
            <w:pPr>
              <w:jc w:val="center"/>
              <w:rPr>
                <w:rFonts w:hint="eastAsia"/>
                <w:sz w:val="24"/>
                <w:szCs w:val="24"/>
                <w:highlight w:val="none"/>
              </w:rPr>
            </w:pPr>
            <w:r>
              <w:rPr>
                <w:rFonts w:hint="eastAsia"/>
                <w:sz w:val="24"/>
                <w:szCs w:val="24"/>
                <w:highlight w:val="none"/>
              </w:rPr>
              <w:t>测试电缆及配套接线等</w:t>
            </w:r>
          </w:p>
        </w:tc>
        <w:tc>
          <w:tcPr>
            <w:tcW w:w="1708" w:type="dxa"/>
            <w:noWrap w:val="0"/>
            <w:vAlign w:val="center"/>
          </w:tcPr>
          <w:p>
            <w:pPr>
              <w:pStyle w:val="35"/>
              <w:widowControl w:val="0"/>
              <w:suppressAutoHyphens/>
              <w:rPr>
                <w:rFonts w:hint="eastAsia" w:ascii="宋体" w:hAnsi="宋体" w:eastAsia="宋体"/>
                <w:sz w:val="24"/>
                <w:szCs w:val="24"/>
                <w:highlight w:val="none"/>
                <w:lang w:eastAsia="zh-CN"/>
              </w:rPr>
            </w:pPr>
            <w:r>
              <w:rPr>
                <w:rFonts w:hint="eastAsia" w:ascii="宋体" w:hAnsi="宋体" w:eastAsia="宋体"/>
                <w:sz w:val="24"/>
                <w:szCs w:val="24"/>
                <w:highlight w:val="none"/>
                <w:lang w:eastAsia="zh-CN"/>
              </w:rPr>
              <w:t>1套</w:t>
            </w:r>
          </w:p>
        </w:tc>
        <w:tc>
          <w:tcPr>
            <w:tcW w:w="2604" w:type="dxa"/>
            <w:noWrap w:val="0"/>
            <w:vAlign w:val="center"/>
          </w:tcPr>
          <w:p>
            <w:pPr>
              <w:pStyle w:val="35"/>
              <w:widowControl w:val="0"/>
              <w:suppressAutoHyphens/>
              <w:rPr>
                <w:rFonts w:hint="eastAsia" w:ascii="宋体" w:hAnsi="宋体" w:eastAsia="宋体"/>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noWrap w:val="0"/>
            <w:vAlign w:val="center"/>
          </w:tcPr>
          <w:p>
            <w:pPr>
              <w:pStyle w:val="35"/>
              <w:widowControl w:val="0"/>
              <w:suppressAutoHyphens/>
              <w:rPr>
                <w:rFonts w:hint="default" w:ascii="宋体" w:hAnsi="宋体" w:eastAsia="宋体"/>
                <w:sz w:val="24"/>
                <w:szCs w:val="24"/>
                <w:highlight w:val="none"/>
                <w:lang w:val="en-US" w:eastAsia="zh-CN"/>
              </w:rPr>
            </w:pPr>
            <w:r>
              <w:rPr>
                <w:rFonts w:hint="eastAsia" w:ascii="宋体" w:hAnsi="宋体" w:eastAsia="宋体"/>
                <w:sz w:val="24"/>
                <w:szCs w:val="24"/>
                <w:highlight w:val="none"/>
                <w:lang w:val="en-US" w:eastAsia="zh-CN"/>
              </w:rPr>
              <w:t>6</w:t>
            </w:r>
          </w:p>
        </w:tc>
        <w:tc>
          <w:tcPr>
            <w:tcW w:w="3350" w:type="dxa"/>
            <w:noWrap w:val="0"/>
            <w:vAlign w:val="center"/>
          </w:tcPr>
          <w:p>
            <w:pPr>
              <w:jc w:val="center"/>
              <w:rPr>
                <w:rFonts w:hint="eastAsia"/>
                <w:sz w:val="24"/>
                <w:szCs w:val="24"/>
                <w:highlight w:val="none"/>
              </w:rPr>
            </w:pPr>
            <w:r>
              <w:rPr>
                <w:rFonts w:hint="eastAsia"/>
                <w:sz w:val="24"/>
                <w:szCs w:val="24"/>
                <w:highlight w:val="none"/>
              </w:rPr>
              <w:t>便携式数据处理电脑</w:t>
            </w:r>
          </w:p>
        </w:tc>
        <w:tc>
          <w:tcPr>
            <w:tcW w:w="1708" w:type="dxa"/>
            <w:noWrap w:val="0"/>
            <w:vAlign w:val="center"/>
          </w:tcPr>
          <w:p>
            <w:pPr>
              <w:pStyle w:val="35"/>
              <w:widowControl w:val="0"/>
              <w:suppressAutoHyphens/>
              <w:rPr>
                <w:rFonts w:hint="eastAsia" w:ascii="宋体" w:hAnsi="宋体" w:eastAsia="宋体"/>
                <w:sz w:val="24"/>
                <w:szCs w:val="24"/>
                <w:highlight w:val="none"/>
                <w:lang w:eastAsia="zh-CN"/>
              </w:rPr>
            </w:pPr>
            <w:r>
              <w:rPr>
                <w:rFonts w:hint="eastAsia" w:ascii="宋体" w:hAnsi="宋体" w:eastAsia="宋体"/>
                <w:sz w:val="24"/>
                <w:szCs w:val="24"/>
                <w:highlight w:val="none"/>
                <w:lang w:eastAsia="zh-CN"/>
              </w:rPr>
              <w:t>1套</w:t>
            </w:r>
          </w:p>
        </w:tc>
        <w:tc>
          <w:tcPr>
            <w:tcW w:w="2604" w:type="dxa"/>
            <w:noWrap w:val="0"/>
            <w:vAlign w:val="center"/>
          </w:tcPr>
          <w:p>
            <w:pPr>
              <w:pStyle w:val="35"/>
              <w:widowControl w:val="0"/>
              <w:suppressAutoHyphens/>
              <w:rPr>
                <w:rFonts w:hint="eastAsia" w:ascii="宋体" w:hAnsi="宋体" w:eastAsia="宋体"/>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noWrap w:val="0"/>
            <w:vAlign w:val="center"/>
          </w:tcPr>
          <w:p>
            <w:pPr>
              <w:pStyle w:val="35"/>
              <w:widowControl w:val="0"/>
              <w:suppressAutoHyphens/>
              <w:rPr>
                <w:rFonts w:hint="default" w:ascii="宋体" w:hAnsi="宋体" w:eastAsia="宋体"/>
                <w:sz w:val="24"/>
                <w:szCs w:val="24"/>
                <w:highlight w:val="none"/>
                <w:lang w:val="en-US" w:eastAsia="zh-CN"/>
              </w:rPr>
            </w:pPr>
            <w:r>
              <w:rPr>
                <w:rFonts w:hint="eastAsia" w:ascii="宋体" w:hAnsi="宋体" w:eastAsia="宋体"/>
                <w:sz w:val="24"/>
                <w:szCs w:val="24"/>
                <w:highlight w:val="none"/>
                <w:lang w:val="en-US" w:eastAsia="zh-CN"/>
              </w:rPr>
              <w:t>7</w:t>
            </w:r>
          </w:p>
        </w:tc>
        <w:tc>
          <w:tcPr>
            <w:tcW w:w="3350" w:type="dxa"/>
            <w:noWrap w:val="0"/>
            <w:vAlign w:val="center"/>
          </w:tcPr>
          <w:p>
            <w:pPr>
              <w:jc w:val="center"/>
              <w:rPr>
                <w:rFonts w:hint="eastAsia"/>
                <w:sz w:val="24"/>
                <w:szCs w:val="24"/>
                <w:highlight w:val="none"/>
              </w:rPr>
            </w:pPr>
            <w:r>
              <w:rPr>
                <w:rFonts w:hint="eastAsia"/>
                <w:sz w:val="24"/>
                <w:szCs w:val="24"/>
                <w:highlight w:val="none"/>
              </w:rPr>
              <w:t>仪器专用箱</w:t>
            </w:r>
          </w:p>
        </w:tc>
        <w:tc>
          <w:tcPr>
            <w:tcW w:w="1708" w:type="dxa"/>
            <w:noWrap w:val="0"/>
            <w:vAlign w:val="center"/>
          </w:tcPr>
          <w:p>
            <w:pPr>
              <w:pStyle w:val="35"/>
              <w:widowControl w:val="0"/>
              <w:suppressAutoHyphens/>
              <w:rPr>
                <w:rFonts w:hint="eastAsia" w:ascii="宋体" w:hAnsi="宋体" w:eastAsia="宋体"/>
                <w:sz w:val="24"/>
                <w:szCs w:val="24"/>
                <w:highlight w:val="none"/>
                <w:lang w:eastAsia="zh-CN"/>
              </w:rPr>
            </w:pPr>
            <w:r>
              <w:rPr>
                <w:rFonts w:hint="eastAsia" w:ascii="宋体" w:hAnsi="宋体" w:eastAsia="宋体"/>
                <w:sz w:val="24"/>
                <w:szCs w:val="24"/>
                <w:highlight w:val="none"/>
                <w:lang w:eastAsia="zh-CN"/>
              </w:rPr>
              <w:t>1个</w:t>
            </w:r>
          </w:p>
        </w:tc>
        <w:tc>
          <w:tcPr>
            <w:tcW w:w="2604" w:type="dxa"/>
            <w:noWrap w:val="0"/>
            <w:vAlign w:val="center"/>
          </w:tcPr>
          <w:p>
            <w:pPr>
              <w:pStyle w:val="35"/>
              <w:widowControl w:val="0"/>
              <w:suppressAutoHyphens/>
              <w:rPr>
                <w:rFonts w:hint="eastAsia" w:ascii="宋体" w:hAnsi="宋体" w:eastAsia="宋体"/>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noWrap w:val="0"/>
            <w:vAlign w:val="center"/>
          </w:tcPr>
          <w:p>
            <w:pPr>
              <w:pStyle w:val="35"/>
              <w:widowControl w:val="0"/>
              <w:suppressAutoHyphens/>
              <w:rPr>
                <w:rFonts w:hint="default" w:ascii="宋体" w:hAnsi="宋体" w:eastAsia="宋体"/>
                <w:sz w:val="24"/>
                <w:szCs w:val="24"/>
                <w:highlight w:val="none"/>
                <w:lang w:val="en-US" w:eastAsia="zh-CN"/>
              </w:rPr>
            </w:pPr>
            <w:r>
              <w:rPr>
                <w:rFonts w:hint="eastAsia" w:ascii="宋体" w:hAnsi="宋体" w:eastAsia="宋体"/>
                <w:sz w:val="24"/>
                <w:szCs w:val="24"/>
                <w:highlight w:val="none"/>
                <w:lang w:val="en-US" w:eastAsia="zh-CN"/>
              </w:rPr>
              <w:t>8</w:t>
            </w:r>
          </w:p>
        </w:tc>
        <w:tc>
          <w:tcPr>
            <w:tcW w:w="3350" w:type="dxa"/>
            <w:noWrap w:val="0"/>
            <w:vAlign w:val="center"/>
          </w:tcPr>
          <w:p>
            <w:pPr>
              <w:jc w:val="center"/>
              <w:rPr>
                <w:rFonts w:hint="eastAsia"/>
                <w:sz w:val="24"/>
                <w:szCs w:val="24"/>
                <w:highlight w:val="none"/>
              </w:rPr>
            </w:pPr>
            <w:r>
              <w:rPr>
                <w:rFonts w:hint="eastAsia"/>
                <w:sz w:val="24"/>
                <w:szCs w:val="24"/>
                <w:highlight w:val="none"/>
              </w:rPr>
              <w:t>装箱清单</w:t>
            </w:r>
          </w:p>
        </w:tc>
        <w:tc>
          <w:tcPr>
            <w:tcW w:w="1708" w:type="dxa"/>
            <w:noWrap w:val="0"/>
            <w:vAlign w:val="center"/>
          </w:tcPr>
          <w:p>
            <w:pPr>
              <w:pStyle w:val="35"/>
              <w:widowControl w:val="0"/>
              <w:suppressAutoHyphens/>
              <w:rPr>
                <w:rFonts w:hint="eastAsia" w:ascii="宋体" w:hAnsi="宋体" w:eastAsia="宋体"/>
                <w:sz w:val="24"/>
                <w:szCs w:val="24"/>
                <w:highlight w:val="none"/>
                <w:lang w:eastAsia="zh-CN"/>
              </w:rPr>
            </w:pPr>
            <w:r>
              <w:rPr>
                <w:rFonts w:hint="eastAsia" w:ascii="宋体" w:hAnsi="宋体" w:eastAsia="宋体"/>
                <w:sz w:val="24"/>
                <w:szCs w:val="24"/>
                <w:highlight w:val="none"/>
                <w:lang w:eastAsia="zh-CN"/>
              </w:rPr>
              <w:t>1份</w:t>
            </w:r>
          </w:p>
        </w:tc>
        <w:tc>
          <w:tcPr>
            <w:tcW w:w="2604" w:type="dxa"/>
            <w:noWrap w:val="0"/>
            <w:vAlign w:val="center"/>
          </w:tcPr>
          <w:p>
            <w:pPr>
              <w:pStyle w:val="35"/>
              <w:widowControl w:val="0"/>
              <w:suppressAutoHyphens/>
              <w:rPr>
                <w:rFonts w:hint="eastAsia" w:ascii="宋体" w:hAnsi="宋体" w:eastAsia="宋体"/>
                <w:sz w:val="24"/>
                <w:szCs w:val="24"/>
                <w:highlight w:val="none"/>
                <w:lang w:eastAsia="zh-CN"/>
              </w:rPr>
            </w:pPr>
          </w:p>
        </w:tc>
      </w:tr>
      <w:bookmarkEnd w:id="45"/>
    </w:tbl>
    <w:p>
      <w:pPr>
        <w:numPr>
          <w:ilvl w:val="0"/>
          <w:numId w:val="0"/>
        </w:numPr>
        <w:rPr>
          <w:highlight w:val="none"/>
        </w:rPr>
      </w:pPr>
    </w:p>
    <w:p>
      <w:pPr>
        <w:pStyle w:val="21"/>
        <w:keepLines w:val="0"/>
        <w:pageBreakBefore w:val="0"/>
        <w:kinsoku/>
        <w:wordWrap/>
        <w:bidi w:val="0"/>
        <w:spacing w:line="500" w:lineRule="exact"/>
        <w:ind w:left="0" w:leftChars="0" w:firstLine="480" w:firstLineChars="200"/>
        <w:rPr>
          <w:highlight w:val="none"/>
        </w:rPr>
      </w:pPr>
      <w:r>
        <w:rPr>
          <w:rFonts w:hint="eastAsia"/>
          <w:highlight w:val="none"/>
        </w:rPr>
        <w:t>备品备件及专用工具：</w:t>
      </w:r>
    </w:p>
    <w:p>
      <w:pPr>
        <w:pStyle w:val="21"/>
        <w:keepLines w:val="0"/>
        <w:pageBreakBefore w:val="0"/>
        <w:kinsoku/>
        <w:wordWrap/>
        <w:bidi w:val="0"/>
        <w:spacing w:line="500" w:lineRule="exact"/>
        <w:ind w:left="410" w:firstLine="480"/>
        <w:rPr>
          <w:rFonts w:hint="eastAsia"/>
          <w:highlight w:val="none"/>
        </w:rPr>
      </w:pPr>
      <w:r>
        <w:rPr>
          <w:rFonts w:hint="eastAsia"/>
          <w:highlight w:val="none"/>
          <w:lang w:eastAsia="zh-CN"/>
        </w:rPr>
        <w:t>投标人</w:t>
      </w:r>
      <w:r>
        <w:rPr>
          <w:rFonts w:hint="eastAsia"/>
          <w:highlight w:val="none"/>
        </w:rPr>
        <w:t>应向采购方提供必备的备品备件、专用工具和仪器仪表清单见下表, 要求提供的备品备件、专用工具和仪器仪表应是新品, 与仪器同型号、同工艺。需单独购买的配件在下表中列明。</w:t>
      </w:r>
      <w:bookmarkStart w:id="41" w:name="_Toc397006841"/>
    </w:p>
    <w:p>
      <w:pPr>
        <w:pStyle w:val="21"/>
        <w:keepLines w:val="0"/>
        <w:pageBreakBefore w:val="0"/>
        <w:kinsoku/>
        <w:wordWrap/>
        <w:bidi w:val="0"/>
        <w:spacing w:line="500" w:lineRule="exact"/>
        <w:ind w:left="410" w:firstLine="480"/>
        <w:rPr>
          <w:b/>
          <w:bCs/>
          <w:kern w:val="2"/>
          <w:highlight w:val="none"/>
        </w:rPr>
      </w:pPr>
      <w:r>
        <w:rPr>
          <w:rFonts w:hint="eastAsia"/>
          <w:b/>
          <w:bCs/>
          <w:kern w:val="2"/>
          <w:highlight w:val="none"/>
        </w:rPr>
        <w:t>备品备件及专用工具一览表</w:t>
      </w:r>
      <w:bookmarkEnd w:id="41"/>
    </w:p>
    <w:tbl>
      <w:tblPr>
        <w:tblStyle w:val="14"/>
        <w:tblW w:w="897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3"/>
        <w:gridCol w:w="1377"/>
        <w:gridCol w:w="1447"/>
        <w:gridCol w:w="1033"/>
        <w:gridCol w:w="829"/>
        <w:gridCol w:w="1114"/>
        <w:gridCol w:w="244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tblHeader/>
          <w:jc w:val="center"/>
        </w:trPr>
        <w:tc>
          <w:tcPr>
            <w:tcW w:w="733" w:type="dxa"/>
            <w:tcBorders>
              <w:top w:val="single" w:color="auto" w:sz="4" w:space="0"/>
              <w:left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序号</w:t>
            </w:r>
          </w:p>
        </w:tc>
        <w:tc>
          <w:tcPr>
            <w:tcW w:w="1377"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配件名称</w:t>
            </w:r>
          </w:p>
        </w:tc>
        <w:tc>
          <w:tcPr>
            <w:tcW w:w="1447"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型号及规格</w:t>
            </w:r>
          </w:p>
        </w:tc>
        <w:tc>
          <w:tcPr>
            <w:tcW w:w="1033"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单位</w:t>
            </w:r>
          </w:p>
        </w:tc>
        <w:tc>
          <w:tcPr>
            <w:tcW w:w="829"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数量</w:t>
            </w:r>
          </w:p>
        </w:tc>
        <w:tc>
          <w:tcPr>
            <w:tcW w:w="1114" w:type="dxa"/>
            <w:tcBorders>
              <w:top w:val="single" w:color="auto" w:sz="4" w:space="0"/>
              <w:bottom w:val="single" w:color="auto" w:sz="4" w:space="0"/>
            </w:tcBorders>
            <w:vAlign w:val="center"/>
          </w:tcPr>
          <w:p>
            <w:pPr>
              <w:pStyle w:val="5"/>
              <w:keepLines w:val="0"/>
              <w:pageBreakBefore w:val="0"/>
              <w:kinsoku/>
              <w:wordWrap/>
              <w:bidi w:val="0"/>
              <w:spacing w:line="500" w:lineRule="exact"/>
              <w:ind w:left="410"/>
              <w:rPr>
                <w:color w:val="000000"/>
                <w:szCs w:val="21"/>
                <w:highlight w:val="none"/>
              </w:rPr>
            </w:pPr>
            <w:r>
              <w:rPr>
                <w:rFonts w:hint="eastAsia"/>
                <w:color w:val="000000"/>
                <w:szCs w:val="21"/>
                <w:highlight w:val="none"/>
              </w:rPr>
              <w:t>用途</w:t>
            </w:r>
          </w:p>
        </w:tc>
        <w:tc>
          <w:tcPr>
            <w:tcW w:w="2445" w:type="dxa"/>
            <w:tcBorders>
              <w:top w:val="single" w:color="auto" w:sz="4" w:space="0"/>
              <w:bottom w:val="single" w:color="auto" w:sz="4" w:space="0"/>
              <w:right w:val="single" w:color="auto" w:sz="4" w:space="0"/>
            </w:tcBorders>
            <w:vAlign w:val="center"/>
          </w:tcPr>
          <w:p>
            <w:pPr>
              <w:pStyle w:val="5"/>
              <w:keepLines w:val="0"/>
              <w:pageBreakBefore w:val="0"/>
              <w:kinsoku/>
              <w:wordWrap/>
              <w:bidi w:val="0"/>
              <w:spacing w:line="500" w:lineRule="exact"/>
              <w:ind w:left="410"/>
              <w:rPr>
                <w:color w:val="000000"/>
                <w:szCs w:val="21"/>
                <w:highlight w:val="none"/>
              </w:rPr>
            </w:pPr>
            <w:r>
              <w:rPr>
                <w:rFonts w:hint="eastAsia"/>
                <w:color w:val="000000"/>
                <w:szCs w:val="21"/>
                <w:highlight w:val="none"/>
              </w:rPr>
              <w:t>备  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5"/>
              <w:keepLines w:val="0"/>
              <w:pageBreakBefore w:val="0"/>
              <w:kinsoku/>
              <w:wordWrap/>
              <w:bidi w:val="0"/>
              <w:spacing w:line="500" w:lineRule="exact"/>
              <w:ind w:left="410"/>
              <w:rPr>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733" w:type="dxa"/>
            <w:tcBorders>
              <w:top w:val="single" w:color="auto" w:sz="4" w:space="0"/>
              <w:left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5"/>
              <w:keepLines w:val="0"/>
              <w:pageBreakBefore w:val="0"/>
              <w:kinsoku/>
              <w:wordWrap/>
              <w:bidi w:val="0"/>
              <w:spacing w:line="500" w:lineRule="exact"/>
              <w:ind w:left="410"/>
              <w:rPr>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5"/>
              <w:keepLines w:val="0"/>
              <w:pageBreakBefore w:val="0"/>
              <w:kinsoku/>
              <w:wordWrap/>
              <w:bidi w:val="0"/>
              <w:spacing w:line="500" w:lineRule="exact"/>
              <w:ind w:left="410"/>
              <w:rPr>
                <w:color w:val="000000"/>
                <w:sz w:val="24"/>
                <w:highlight w:val="none"/>
              </w:rPr>
            </w:pPr>
          </w:p>
        </w:tc>
      </w:tr>
    </w:tbl>
    <w:p>
      <w:pPr>
        <w:keepLines w:val="0"/>
        <w:pageBreakBefore w:val="0"/>
        <w:kinsoku/>
        <w:wordWrap/>
        <w:bidi w:val="0"/>
        <w:spacing w:line="500" w:lineRule="exact"/>
        <w:ind w:left="0" w:leftChars="0" w:firstLine="0" w:firstLineChars="0"/>
        <w:rPr>
          <w:highlight w:val="none"/>
        </w:rPr>
      </w:pPr>
    </w:p>
    <w:p>
      <w:pPr>
        <w:pStyle w:val="3"/>
        <w:bidi w:val="0"/>
        <w:rPr>
          <w:highlight w:val="none"/>
        </w:rPr>
      </w:pPr>
      <w:bookmarkStart w:id="42" w:name="_Toc21346"/>
      <w:r>
        <w:rPr>
          <w:rFonts w:hint="eastAsia"/>
          <w:highlight w:val="none"/>
          <w:lang w:eastAsia="zh-CN"/>
        </w:rPr>
        <w:t>9.</w:t>
      </w:r>
      <w:r>
        <w:rPr>
          <w:rFonts w:cs="宋体"/>
          <w:spacing w:val="1"/>
          <w:highlight w:val="none"/>
        </w:rPr>
        <w:t>设备的售后服务要求</w:t>
      </w:r>
      <w:bookmarkEnd w:id="42"/>
    </w:p>
    <w:p>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1现场验收和试验在</w:t>
      </w:r>
      <w:r>
        <w:rPr>
          <w:rFonts w:hint="eastAsia"/>
          <w:highlight w:val="none"/>
          <w:lang w:eastAsia="zh-CN"/>
        </w:rPr>
        <w:t>投标人</w:t>
      </w:r>
      <w:r>
        <w:rPr>
          <w:rFonts w:hint="eastAsia"/>
          <w:highlight w:val="none"/>
        </w:rPr>
        <w:t>的技术指导下由采购方完成，</w:t>
      </w:r>
      <w:r>
        <w:rPr>
          <w:rFonts w:hint="eastAsia"/>
          <w:highlight w:val="none"/>
          <w:lang w:eastAsia="zh-CN"/>
        </w:rPr>
        <w:t>投标人</w:t>
      </w:r>
      <w:r>
        <w:rPr>
          <w:rFonts w:hint="eastAsia"/>
          <w:highlight w:val="none"/>
        </w:rPr>
        <w:t>协助采购方按标准检查仪器质量, 处理调试运行过程中出现的问题，并提供备品、备件，做好销售服务工作。</w:t>
      </w:r>
    </w:p>
    <w:p>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2</w:t>
      </w:r>
      <w:r>
        <w:rPr>
          <w:rFonts w:hint="eastAsia"/>
          <w:highlight w:val="none"/>
          <w:lang w:eastAsia="zh-CN"/>
        </w:rPr>
        <w:t>投标人</w:t>
      </w:r>
      <w:r>
        <w:rPr>
          <w:rFonts w:hint="eastAsia"/>
          <w:highlight w:val="none"/>
        </w:rPr>
        <w:t>应协助采购方解决仪器运行中出现的问题。</w:t>
      </w:r>
    </w:p>
    <w:p>
      <w:pPr>
        <w:keepLines w:val="0"/>
        <w:pageBreakBefore w:val="0"/>
        <w:kinsoku/>
        <w:wordWrap/>
        <w:bidi w:val="0"/>
        <w:spacing w:line="500" w:lineRule="exact"/>
        <w:ind w:left="410"/>
        <w:rPr>
          <w:b w:val="0"/>
          <w:bCs w:val="0"/>
          <w:highlight w:val="none"/>
        </w:rPr>
      </w:pPr>
      <w:r>
        <w:rPr>
          <w:rFonts w:hint="eastAsia"/>
          <w:highlight w:val="none"/>
          <w:lang w:eastAsia="zh-CN"/>
        </w:rPr>
        <w:t>9.</w:t>
      </w:r>
      <w:r>
        <w:rPr>
          <w:rFonts w:hint="eastAsia"/>
          <w:highlight w:val="none"/>
        </w:rPr>
        <w:t>3</w:t>
      </w:r>
      <w:r>
        <w:rPr>
          <w:rFonts w:hint="eastAsia" w:ascii="宋体" w:hAnsi="宋体" w:eastAsia="宋体" w:cs="Times New Roman"/>
          <w:b/>
          <w:bCs/>
          <w:sz w:val="24"/>
          <w:szCs w:val="24"/>
          <w:highlight w:val="none"/>
        </w:rPr>
        <w:t>本标书采购设备安装、调试</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lang w:val="en-US" w:eastAsia="zh-CN"/>
        </w:rPr>
        <w:t>并经招标方</w:t>
      </w:r>
      <w:r>
        <w:rPr>
          <w:rFonts w:hint="eastAsia" w:ascii="宋体" w:hAnsi="宋体" w:eastAsia="宋体" w:cs="Times New Roman"/>
          <w:b/>
          <w:bCs/>
          <w:sz w:val="24"/>
          <w:szCs w:val="24"/>
          <w:highlight w:val="none"/>
        </w:rPr>
        <w:t>现场</w:t>
      </w:r>
      <w:r>
        <w:rPr>
          <w:rFonts w:hint="eastAsia" w:ascii="宋体" w:hAnsi="宋体" w:eastAsia="宋体" w:cs="Times New Roman"/>
          <w:b/>
          <w:bCs/>
          <w:sz w:val="24"/>
          <w:szCs w:val="24"/>
          <w:highlight w:val="none"/>
          <w:lang w:val="en-US" w:eastAsia="zh-CN"/>
        </w:rPr>
        <w:t>收货</w:t>
      </w:r>
      <w:r>
        <w:rPr>
          <w:rFonts w:hint="eastAsia" w:ascii="宋体" w:hAnsi="宋体" w:eastAsia="宋体" w:cs="Times New Roman"/>
          <w:b/>
          <w:bCs/>
          <w:sz w:val="24"/>
          <w:szCs w:val="24"/>
          <w:highlight w:val="none"/>
        </w:rPr>
        <w:t>交接验收和</w:t>
      </w:r>
      <w:r>
        <w:rPr>
          <w:rFonts w:hint="eastAsia" w:ascii="宋体" w:hAnsi="宋体" w:eastAsia="宋体" w:cs="Times New Roman"/>
          <w:b/>
          <w:bCs/>
          <w:sz w:val="24"/>
          <w:szCs w:val="24"/>
          <w:highlight w:val="none"/>
          <w:lang w:val="en-US" w:eastAsia="zh-CN"/>
        </w:rPr>
        <w:t>性能性验收</w:t>
      </w:r>
      <w:r>
        <w:rPr>
          <w:rFonts w:hint="eastAsia" w:ascii="宋体" w:hAnsi="宋体" w:eastAsia="宋体" w:cs="Times New Roman"/>
          <w:b/>
          <w:bCs/>
          <w:sz w:val="24"/>
          <w:szCs w:val="24"/>
          <w:highlight w:val="none"/>
        </w:rPr>
        <w:t>合格后</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rPr>
        <w:t>方可</w:t>
      </w:r>
      <w:r>
        <w:rPr>
          <w:rFonts w:hint="eastAsia" w:ascii="宋体" w:hAnsi="宋体" w:eastAsia="宋体" w:cs="Times New Roman"/>
          <w:b/>
          <w:bCs/>
          <w:sz w:val="24"/>
          <w:szCs w:val="24"/>
          <w:highlight w:val="none"/>
          <w:lang w:val="en-US" w:eastAsia="zh-CN"/>
        </w:rPr>
        <w:t>视为合同履约正式完成</w:t>
      </w:r>
      <w:r>
        <w:rPr>
          <w:rFonts w:hint="eastAsia" w:ascii="宋体" w:hAnsi="宋体" w:eastAsia="宋体" w:cs="Times New Roman"/>
          <w:b/>
          <w:bCs/>
          <w:sz w:val="24"/>
          <w:szCs w:val="24"/>
          <w:highlight w:val="none"/>
        </w:rPr>
        <w:t>。</w:t>
      </w:r>
      <w:r>
        <w:rPr>
          <w:rFonts w:hint="eastAsia" w:ascii="宋体" w:hAnsi="宋体" w:eastAsia="宋体" w:cs="Times New Roman"/>
          <w:b w:val="0"/>
          <w:bCs w:val="0"/>
          <w:sz w:val="24"/>
          <w:szCs w:val="24"/>
          <w:highlight w:val="none"/>
        </w:rPr>
        <w:t>设备正常使用后，</w:t>
      </w:r>
      <w:r>
        <w:rPr>
          <w:rFonts w:hint="eastAsia" w:ascii="宋体" w:hAnsi="宋体" w:eastAsia="宋体" w:cs="Times New Roman"/>
          <w:b w:val="0"/>
          <w:bCs w:val="0"/>
          <w:sz w:val="24"/>
          <w:szCs w:val="24"/>
          <w:highlight w:val="none"/>
          <w:lang w:eastAsia="zh-CN"/>
        </w:rPr>
        <w:t>报价人</w:t>
      </w:r>
      <w:r>
        <w:rPr>
          <w:rFonts w:hint="eastAsia" w:ascii="宋体" w:hAnsi="宋体" w:eastAsia="宋体" w:cs="Times New Roman"/>
          <w:b w:val="0"/>
          <w:bCs w:val="0"/>
          <w:sz w:val="24"/>
          <w:szCs w:val="24"/>
          <w:highlight w:val="none"/>
        </w:rPr>
        <w:t>和</w:t>
      </w:r>
      <w:r>
        <w:rPr>
          <w:rFonts w:hint="eastAsia" w:ascii="宋体" w:hAnsi="宋体" w:eastAsia="宋体" w:cs="Times New Roman"/>
          <w:b w:val="0"/>
          <w:bCs w:val="0"/>
          <w:sz w:val="24"/>
          <w:szCs w:val="24"/>
          <w:highlight w:val="none"/>
          <w:lang w:val="en-US" w:eastAsia="zh-CN"/>
        </w:rPr>
        <w:t>采购</w:t>
      </w:r>
      <w:r>
        <w:rPr>
          <w:rFonts w:hint="eastAsia" w:ascii="宋体" w:hAnsi="宋体" w:eastAsia="宋体" w:cs="Times New Roman"/>
          <w:b w:val="0"/>
          <w:bCs w:val="0"/>
          <w:sz w:val="24"/>
          <w:szCs w:val="24"/>
          <w:highlight w:val="none"/>
        </w:rPr>
        <w:t>方双方应根据相关法律、法规和公司管理制度签署合同设备的验收证明书。该证明书共两份，双方各执一份</w:t>
      </w:r>
      <w:r>
        <w:rPr>
          <w:rFonts w:hint="eastAsia"/>
          <w:b w:val="0"/>
          <w:bCs w:val="0"/>
          <w:highlight w:val="none"/>
        </w:rPr>
        <w:t>。</w:t>
      </w:r>
    </w:p>
    <w:p>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highlight w:val="none"/>
          <w:lang w:eastAsia="zh-CN"/>
        </w:rPr>
        <w:t>9.</w:t>
      </w:r>
      <w:r>
        <w:rPr>
          <w:rFonts w:hint="eastAsia"/>
          <w:highlight w:val="none"/>
        </w:rPr>
        <w:t>4如果验收、调试、性能试</w:t>
      </w:r>
      <w:r>
        <w:rPr>
          <w:rFonts w:hint="eastAsia"/>
          <w:color w:val="000000" w:themeColor="text1"/>
          <w:highlight w:val="none"/>
          <w14:textFill>
            <w14:solidFill>
              <w14:schemeClr w14:val="tx1"/>
            </w14:solidFill>
          </w14:textFill>
        </w:rPr>
        <w:t>验、使用中及质保期内技术指标一项或多项不能满足合同技术部分要求，</w:t>
      </w:r>
      <w:r>
        <w:rPr>
          <w:rFonts w:hint="eastAsia"/>
          <w:color w:val="000000" w:themeColor="text1"/>
          <w:highlight w:val="none"/>
          <w:lang w:eastAsia="zh-CN"/>
          <w14:textFill>
            <w14:solidFill>
              <w14:schemeClr w14:val="tx1"/>
            </w14:solidFill>
          </w14:textFill>
        </w:rPr>
        <w:t>招投标人</w:t>
      </w:r>
      <w:r>
        <w:rPr>
          <w:rFonts w:hint="eastAsia"/>
          <w:color w:val="000000" w:themeColor="text1"/>
          <w:highlight w:val="none"/>
          <w14:textFill>
            <w14:solidFill>
              <w14:schemeClr w14:val="tx1"/>
            </w14:solidFill>
          </w14:textFill>
        </w:rPr>
        <w:t>共同分析原因，分清责任，如属制造方面的原因，或涉及索赔部分，按商务部分有关条款执行。</w:t>
      </w:r>
    </w:p>
    <w:p>
      <w:pPr>
        <w:keepLines w:val="0"/>
        <w:pageBreakBefore w:val="0"/>
        <w:kinsoku/>
        <w:wordWrap/>
        <w:bidi w:val="0"/>
        <w:spacing w:line="500" w:lineRule="exact"/>
        <w:ind w:left="410"/>
        <w:rPr>
          <w:b/>
          <w:bCs/>
          <w:color w:val="000000" w:themeColor="text1"/>
          <w:highlight w:val="none"/>
          <w14:textFill>
            <w14:solidFill>
              <w14:schemeClr w14:val="tx1"/>
            </w14:solidFill>
          </w14:textFill>
        </w:rPr>
      </w:pPr>
      <w:r>
        <w:rPr>
          <w:rFonts w:hint="eastAsia" w:cs="宋体"/>
          <w:b/>
          <w:bCs/>
          <w:color w:val="000000" w:themeColor="text1"/>
          <w:spacing w:val="3"/>
          <w:highlight w:val="none"/>
          <w:lang w:eastAsia="zh-CN"/>
          <w14:textFill>
            <w14:solidFill>
              <w14:schemeClr w14:val="tx1"/>
            </w14:solidFill>
          </w14:textFill>
        </w:rPr>
        <w:t>9.</w:t>
      </w:r>
      <w:r>
        <w:rPr>
          <w:rFonts w:hint="eastAsia" w:cs="宋体"/>
          <w:b/>
          <w:bCs/>
          <w:color w:val="000000" w:themeColor="text1"/>
          <w:spacing w:val="3"/>
          <w:highlight w:val="none"/>
          <w14:textFill>
            <w14:solidFill>
              <w14:schemeClr w14:val="tx1"/>
            </w14:solidFill>
          </w14:textFill>
        </w:rPr>
        <w:t>5</w:t>
      </w:r>
      <w:r>
        <w:rPr>
          <w:rFonts w:cs="宋体"/>
          <w:b/>
          <w:bCs/>
          <w:color w:val="000000" w:themeColor="text1"/>
          <w:spacing w:val="3"/>
          <w:highlight w:val="none"/>
          <w14:textFill>
            <w14:solidFill>
              <w14:schemeClr w14:val="tx1"/>
            </w14:solidFill>
          </w14:textFill>
        </w:rPr>
        <w:t>从最终验收通过双方签字之日起开始计算设备质保期，保修质保周期不</w:t>
      </w:r>
      <w:r>
        <w:rPr>
          <w:rFonts w:cs="宋体"/>
          <w:b/>
          <w:bCs/>
          <w:color w:val="000000" w:themeColor="text1"/>
          <w:highlight w:val="none"/>
          <w14:textFill>
            <w14:solidFill>
              <w14:schemeClr w14:val="tx1"/>
            </w14:solidFill>
          </w14:textFill>
        </w:rPr>
        <w:t>少于</w:t>
      </w:r>
      <w:r>
        <w:rPr>
          <w:b/>
          <w:bCs/>
          <w:color w:val="000000" w:themeColor="text1"/>
          <w:highlight w:val="none"/>
          <w14:textFill>
            <w14:solidFill>
              <w14:schemeClr w14:val="tx1"/>
            </w14:solidFill>
          </w14:textFill>
        </w:rPr>
        <w:t>3</w:t>
      </w:r>
      <w:r>
        <w:rPr>
          <w:rFonts w:cs="宋体"/>
          <w:b/>
          <w:bCs/>
          <w:color w:val="000000" w:themeColor="text1"/>
          <w:highlight w:val="none"/>
          <w14:textFill>
            <w14:solidFill>
              <w14:schemeClr w14:val="tx1"/>
            </w14:solidFill>
          </w14:textFill>
        </w:rPr>
        <w:t>年（</w:t>
      </w:r>
      <w:r>
        <w:rPr>
          <w:rFonts w:hint="eastAsia"/>
          <w:b/>
          <w:bCs/>
          <w:color w:val="000000" w:themeColor="text1"/>
          <w:highlight w:val="none"/>
          <w14:textFill>
            <w14:solidFill>
              <w14:schemeClr w14:val="tx1"/>
            </w14:solidFill>
          </w14:textFill>
        </w:rPr>
        <w:t>36</w:t>
      </w:r>
      <w:r>
        <w:rPr>
          <w:rFonts w:cs="宋体"/>
          <w:b/>
          <w:bCs/>
          <w:color w:val="000000" w:themeColor="text1"/>
          <w:highlight w:val="none"/>
          <w14:textFill>
            <w14:solidFill>
              <w14:schemeClr w14:val="tx1"/>
            </w14:solidFill>
          </w14:textFill>
        </w:rPr>
        <w:t>个月），质保期内免费维修设备；</w:t>
      </w:r>
    </w:p>
    <w:p>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cs="宋体"/>
          <w:color w:val="000000" w:themeColor="text1"/>
          <w:spacing w:val="3"/>
          <w:highlight w:val="none"/>
          <w:lang w:eastAsia="zh-CN"/>
          <w14:textFill>
            <w14:solidFill>
              <w14:schemeClr w14:val="tx1"/>
            </w14:solidFill>
          </w14:textFill>
        </w:rPr>
        <w:t>9.</w:t>
      </w:r>
      <w:r>
        <w:rPr>
          <w:rFonts w:hint="eastAsia" w:cs="宋体"/>
          <w:color w:val="000000" w:themeColor="text1"/>
          <w:spacing w:val="3"/>
          <w:highlight w:val="none"/>
          <w14:textFill>
            <w14:solidFill>
              <w14:schemeClr w14:val="tx1"/>
            </w14:solidFill>
          </w14:textFill>
        </w:rPr>
        <w:t>6</w:t>
      </w:r>
      <w:r>
        <w:rPr>
          <w:rFonts w:cs="宋体"/>
          <w:color w:val="000000" w:themeColor="text1"/>
          <w:spacing w:val="3"/>
          <w:highlight w:val="none"/>
          <w14:textFill>
            <w14:solidFill>
              <w14:schemeClr w14:val="tx1"/>
            </w14:solidFill>
          </w14:textFill>
        </w:rPr>
        <w:t>在质保期内系统运行发生故障或一般零部件损坏，由</w:t>
      </w:r>
      <w:r>
        <w:rPr>
          <w:rFonts w:hint="eastAsia" w:cs="宋体"/>
          <w:color w:val="000000" w:themeColor="text1"/>
          <w:spacing w:val="3"/>
          <w:highlight w:val="none"/>
          <w:lang w:eastAsia="zh-CN"/>
          <w14:textFill>
            <w14:solidFill>
              <w14:schemeClr w14:val="tx1"/>
            </w14:solidFill>
          </w14:textFill>
        </w:rPr>
        <w:t>投标人</w:t>
      </w:r>
      <w:r>
        <w:rPr>
          <w:rFonts w:cs="宋体"/>
          <w:color w:val="000000" w:themeColor="text1"/>
          <w:spacing w:val="3"/>
          <w:highlight w:val="none"/>
          <w14:textFill>
            <w14:solidFill>
              <w14:schemeClr w14:val="tx1"/>
            </w14:solidFill>
          </w14:textFill>
        </w:rPr>
        <w:t>在</w:t>
      </w:r>
      <w:r>
        <w:rPr>
          <w:color w:val="000000" w:themeColor="text1"/>
          <w:spacing w:val="-1"/>
          <w:highlight w:val="none"/>
          <w14:textFill>
            <w14:solidFill>
              <w14:schemeClr w14:val="tx1"/>
            </w14:solidFill>
          </w14:textFill>
        </w:rPr>
        <w:t>15</w:t>
      </w:r>
      <w:r>
        <w:rPr>
          <w:rFonts w:cs="宋体"/>
          <w:color w:val="000000" w:themeColor="text1"/>
          <w:spacing w:val="4"/>
          <w:highlight w:val="none"/>
          <w14:textFill>
            <w14:solidFill>
              <w14:schemeClr w14:val="tx1"/>
            </w14:solidFill>
          </w14:textFill>
        </w:rPr>
        <w:t>工作日</w:t>
      </w:r>
      <w:r>
        <w:rPr>
          <w:rFonts w:cs="宋体"/>
          <w:color w:val="000000" w:themeColor="text1"/>
          <w:highlight w:val="none"/>
          <w14:textFill>
            <w14:solidFill>
              <w14:schemeClr w14:val="tx1"/>
            </w14:solidFill>
          </w14:textFill>
        </w:rPr>
        <w:t>内免费检修或更换部件，检修期从质保期内扣除；在质保期内系统运行发生重大部件损坏，由</w:t>
      </w:r>
      <w:r>
        <w:rPr>
          <w:rFonts w:hint="eastAsia" w:cs="宋体"/>
          <w:color w:val="000000" w:themeColor="text1"/>
          <w:highlight w:val="none"/>
          <w:lang w:eastAsia="zh-CN"/>
          <w14:textFill>
            <w14:solidFill>
              <w14:schemeClr w14:val="tx1"/>
            </w14:solidFill>
          </w14:textFill>
        </w:rPr>
        <w:t>投标人</w:t>
      </w:r>
      <w:r>
        <w:rPr>
          <w:rFonts w:cs="宋体"/>
          <w:color w:val="000000" w:themeColor="text1"/>
          <w:highlight w:val="none"/>
          <w14:textFill>
            <w14:solidFill>
              <w14:schemeClr w14:val="tx1"/>
            </w14:solidFill>
          </w14:textFill>
        </w:rPr>
        <w:t>在</w:t>
      </w:r>
      <w:r>
        <w:rPr>
          <w:color w:val="000000" w:themeColor="text1"/>
          <w:highlight w:val="none"/>
          <w14:textFill>
            <w14:solidFill>
              <w14:schemeClr w14:val="tx1"/>
            </w14:solidFill>
          </w14:textFill>
        </w:rPr>
        <w:t>15</w:t>
      </w:r>
      <w:r>
        <w:rPr>
          <w:rFonts w:cs="宋体"/>
          <w:color w:val="000000" w:themeColor="text1"/>
          <w:highlight w:val="none"/>
          <w14:textFill>
            <w14:solidFill>
              <w14:schemeClr w14:val="tx1"/>
            </w14:solidFill>
          </w14:textFill>
        </w:rPr>
        <w:t>工作日内免费检修或更换部件，检修期从质保期内扣除；</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7</w:t>
      </w:r>
      <w:r>
        <w:rPr>
          <w:rFonts w:cs="宋体"/>
          <w:spacing w:val="3"/>
          <w:highlight w:val="none"/>
        </w:rPr>
        <w:t>在质保期内，通过有效证据证明设备存在缺陷，包括潜在的缺陷或使用</w:t>
      </w:r>
      <w:r>
        <w:rPr>
          <w:rFonts w:cs="宋体"/>
          <w:spacing w:val="-1"/>
          <w:highlight w:val="none"/>
        </w:rPr>
        <w:t>不符合要求的材料等，采购方以书面形式通知</w:t>
      </w:r>
      <w:r>
        <w:rPr>
          <w:rFonts w:hint="eastAsia" w:cs="宋体"/>
          <w:spacing w:val="-1"/>
          <w:highlight w:val="none"/>
          <w:lang w:eastAsia="zh-CN"/>
        </w:rPr>
        <w:t>投标人</w:t>
      </w:r>
      <w:r>
        <w:rPr>
          <w:rFonts w:cs="宋体"/>
          <w:spacing w:val="-1"/>
          <w:highlight w:val="none"/>
        </w:rPr>
        <w:t>。</w:t>
      </w:r>
      <w:r>
        <w:rPr>
          <w:rFonts w:hint="eastAsia" w:cs="宋体"/>
          <w:spacing w:val="-1"/>
          <w:highlight w:val="none"/>
          <w:lang w:eastAsia="zh-CN"/>
        </w:rPr>
        <w:t>投标人</w:t>
      </w:r>
      <w:r>
        <w:rPr>
          <w:rFonts w:cs="宋体"/>
          <w:spacing w:val="-1"/>
          <w:highlight w:val="none"/>
        </w:rPr>
        <w:t>在收到通知后</w:t>
      </w:r>
      <w:r>
        <w:rPr>
          <w:spacing w:val="1"/>
          <w:highlight w:val="none"/>
        </w:rPr>
        <w:t xml:space="preserve"> </w:t>
      </w:r>
      <w:r>
        <w:rPr>
          <w:rFonts w:hint="eastAsia"/>
          <w:color w:val="FF0000"/>
          <w:highlight w:val="none"/>
        </w:rPr>
        <w:t>15</w:t>
      </w:r>
      <w:r>
        <w:rPr>
          <w:rFonts w:cs="宋体"/>
          <w:highlight w:val="none"/>
        </w:rPr>
        <w:t>日内应免费补齐、检修或更换有质量缺陷的设备或部件；</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8</w:t>
      </w:r>
      <w:r>
        <w:rPr>
          <w:rFonts w:hint="eastAsia" w:cs="宋体"/>
          <w:spacing w:val="3"/>
          <w:highlight w:val="none"/>
          <w:lang w:eastAsia="zh-CN"/>
        </w:rPr>
        <w:t>投标人</w:t>
      </w:r>
      <w:r>
        <w:rPr>
          <w:rFonts w:cs="宋体"/>
          <w:spacing w:val="3"/>
          <w:highlight w:val="none"/>
        </w:rPr>
        <w:t>有责任对其供货产品提供终身维护，质保期内如设备出现重大故</w:t>
      </w:r>
      <w:r>
        <w:rPr>
          <w:rFonts w:cs="宋体"/>
          <w:highlight w:val="none"/>
        </w:rPr>
        <w:t>障导致设备停止工作，质保期顺延，自故障修复之日起重新开始计算；</w:t>
      </w:r>
      <w:r>
        <w:rPr>
          <w:rFonts w:hint="eastAsia" w:ascii="宋体" w:hAnsi="宋体" w:eastAsia="宋体"/>
          <w:b/>
          <w:bCs/>
          <w:sz w:val="24"/>
          <w:highlight w:val="none"/>
        </w:rPr>
        <w:t>软件终身免费升级。</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9</w:t>
      </w:r>
      <w:r>
        <w:rPr>
          <w:rFonts w:hint="eastAsia" w:cs="宋体"/>
          <w:spacing w:val="3"/>
          <w:highlight w:val="none"/>
          <w:lang w:eastAsia="zh-CN"/>
        </w:rPr>
        <w:t>投标人</w:t>
      </w:r>
      <w:r>
        <w:rPr>
          <w:rFonts w:cs="宋体"/>
          <w:spacing w:val="3"/>
          <w:highlight w:val="none"/>
        </w:rPr>
        <w:t>应提供本设备所使用的易损易耗产品清单（如有），内容包括名</w:t>
      </w:r>
      <w:r>
        <w:rPr>
          <w:rFonts w:cs="宋体"/>
          <w:highlight w:val="none"/>
        </w:rPr>
        <w:t>称、代号、规格型号、厂商等；</w:t>
      </w:r>
    </w:p>
    <w:p>
      <w:pPr>
        <w:keepLines w:val="0"/>
        <w:pageBreakBefore w:val="0"/>
        <w:kinsoku/>
        <w:wordWrap/>
        <w:bidi w:val="0"/>
        <w:spacing w:line="500" w:lineRule="exact"/>
        <w:ind w:left="410"/>
        <w:rPr>
          <w:b/>
          <w:bCs/>
          <w:highlight w:val="none"/>
        </w:rPr>
      </w:pPr>
      <w:r>
        <w:rPr>
          <w:rFonts w:hint="eastAsia" w:cs="宋体"/>
          <w:spacing w:val="3"/>
          <w:highlight w:val="none"/>
          <w:lang w:eastAsia="zh-CN"/>
        </w:rPr>
        <w:t>9.</w:t>
      </w:r>
      <w:r>
        <w:rPr>
          <w:rFonts w:hint="eastAsia" w:cs="宋体"/>
          <w:spacing w:val="3"/>
          <w:highlight w:val="none"/>
        </w:rPr>
        <w:t>10</w:t>
      </w:r>
      <w:r>
        <w:rPr>
          <w:rFonts w:cs="宋体"/>
          <w:b/>
          <w:bCs/>
          <w:spacing w:val="3"/>
          <w:highlight w:val="none"/>
        </w:rPr>
        <w:t>厂商技术工程师须免费到现场对采购方技术人员进行不少</w:t>
      </w:r>
      <w:r>
        <w:rPr>
          <w:rFonts w:cs="宋体"/>
          <w:b/>
          <w:bCs/>
          <w:color w:val="000000" w:themeColor="text1"/>
          <w:spacing w:val="3"/>
          <w:highlight w:val="none"/>
          <w14:textFill>
            <w14:solidFill>
              <w14:schemeClr w14:val="tx1"/>
            </w14:solidFill>
          </w14:textFill>
        </w:rPr>
        <w:t>于</w:t>
      </w:r>
      <w:r>
        <w:rPr>
          <w:rFonts w:hint="eastAsia"/>
          <w:b/>
          <w:bCs/>
          <w:color w:val="000000" w:themeColor="text1"/>
          <w:highlight w:val="none"/>
          <w14:textFill>
            <w14:solidFill>
              <w14:schemeClr w14:val="tx1"/>
            </w14:solidFill>
          </w14:textFill>
        </w:rPr>
        <w:t>3</w:t>
      </w:r>
      <w:r>
        <w:rPr>
          <w:rFonts w:cs="宋体"/>
          <w:b/>
          <w:bCs/>
          <w:color w:val="000000" w:themeColor="text1"/>
          <w:spacing w:val="3"/>
          <w:highlight w:val="none"/>
          <w14:textFill>
            <w14:solidFill>
              <w14:schemeClr w14:val="tx1"/>
            </w14:solidFill>
          </w14:textFill>
        </w:rPr>
        <w:t>天</w:t>
      </w:r>
      <w:r>
        <w:rPr>
          <w:rFonts w:cs="宋体"/>
          <w:b/>
          <w:bCs/>
          <w:spacing w:val="3"/>
          <w:highlight w:val="none"/>
        </w:rPr>
        <w:t>的设备</w:t>
      </w:r>
      <w:r>
        <w:rPr>
          <w:rFonts w:cs="宋体"/>
          <w:b/>
          <w:bCs/>
          <w:highlight w:val="none"/>
        </w:rPr>
        <w:t>使用培训；</w:t>
      </w:r>
    </w:p>
    <w:p>
      <w:pPr>
        <w:keepLines w:val="0"/>
        <w:pageBreakBefore w:val="0"/>
        <w:kinsoku/>
        <w:wordWrap/>
        <w:bidi w:val="0"/>
        <w:spacing w:line="500" w:lineRule="exact"/>
        <w:ind w:left="410"/>
        <w:rPr>
          <w:b/>
          <w:bCs/>
          <w:highlight w:val="none"/>
        </w:rPr>
      </w:pPr>
      <w:r>
        <w:rPr>
          <w:rFonts w:hint="eastAsia" w:cs="宋体"/>
          <w:b/>
          <w:bCs/>
          <w:spacing w:val="3"/>
          <w:highlight w:val="none"/>
          <w:lang w:eastAsia="zh-CN"/>
        </w:rPr>
        <w:t>9.</w:t>
      </w:r>
      <w:r>
        <w:rPr>
          <w:rFonts w:hint="eastAsia" w:cs="宋体"/>
          <w:b/>
          <w:bCs/>
          <w:spacing w:val="3"/>
          <w:highlight w:val="none"/>
        </w:rPr>
        <w:t>11</w:t>
      </w:r>
      <w:r>
        <w:rPr>
          <w:rFonts w:hint="eastAsia" w:cs="宋体"/>
          <w:b/>
          <w:bCs/>
          <w:spacing w:val="3"/>
          <w:highlight w:val="none"/>
          <w:lang w:eastAsia="zh-CN"/>
        </w:rPr>
        <w:t>投标人</w:t>
      </w:r>
      <w:r>
        <w:rPr>
          <w:rFonts w:cs="宋体"/>
          <w:b/>
          <w:bCs/>
          <w:spacing w:val="3"/>
          <w:highlight w:val="none"/>
        </w:rPr>
        <w:t>应在接到采购方通知后</w:t>
      </w:r>
      <w:r>
        <w:rPr>
          <w:b/>
          <w:bCs/>
          <w:spacing w:val="1"/>
          <w:highlight w:val="none"/>
        </w:rPr>
        <w:t xml:space="preserve"> </w:t>
      </w:r>
      <w:r>
        <w:rPr>
          <w:b/>
          <w:bCs/>
          <w:highlight w:val="none"/>
        </w:rPr>
        <w:t>24</w:t>
      </w:r>
      <w:r>
        <w:rPr>
          <w:b/>
          <w:bCs/>
          <w:spacing w:val="2"/>
          <w:highlight w:val="none"/>
        </w:rPr>
        <w:t xml:space="preserve"> </w:t>
      </w:r>
      <w:r>
        <w:rPr>
          <w:rFonts w:cs="宋体"/>
          <w:b/>
          <w:bCs/>
          <w:spacing w:val="4"/>
          <w:highlight w:val="none"/>
        </w:rPr>
        <w:t>小时内响应，必要时</w:t>
      </w:r>
      <w:r>
        <w:rPr>
          <w:b/>
          <w:bCs/>
          <w:spacing w:val="1"/>
          <w:highlight w:val="none"/>
        </w:rPr>
        <w:t xml:space="preserve"> </w:t>
      </w:r>
      <w:r>
        <w:rPr>
          <w:b/>
          <w:bCs/>
          <w:highlight w:val="none"/>
        </w:rPr>
        <w:t>48</w:t>
      </w:r>
      <w:r>
        <w:rPr>
          <w:b/>
          <w:bCs/>
          <w:spacing w:val="2"/>
          <w:highlight w:val="none"/>
        </w:rPr>
        <w:t xml:space="preserve"> </w:t>
      </w:r>
      <w:r>
        <w:rPr>
          <w:rFonts w:cs="宋体"/>
          <w:b/>
          <w:bCs/>
          <w:spacing w:val="3"/>
          <w:highlight w:val="none"/>
        </w:rPr>
        <w:t>小时内赶到现</w:t>
      </w:r>
      <w:r>
        <w:rPr>
          <w:rFonts w:cs="宋体"/>
          <w:b/>
          <w:bCs/>
          <w:highlight w:val="none"/>
        </w:rPr>
        <w:t>场，期间产生的费用及损失，除属采购方责任和不可抗力除外，均由</w:t>
      </w:r>
      <w:r>
        <w:rPr>
          <w:rFonts w:hint="eastAsia" w:cs="宋体"/>
          <w:b/>
          <w:bCs/>
          <w:highlight w:val="none"/>
          <w:lang w:eastAsia="zh-CN"/>
        </w:rPr>
        <w:t>投标人</w:t>
      </w:r>
      <w:r>
        <w:rPr>
          <w:rFonts w:cs="宋体"/>
          <w:b/>
          <w:bCs/>
          <w:highlight w:val="none"/>
        </w:rPr>
        <w:t>负责。</w:t>
      </w:r>
    </w:p>
    <w:p>
      <w:pPr>
        <w:keepLines w:val="0"/>
        <w:pageBreakBefore w:val="0"/>
        <w:kinsoku/>
        <w:wordWrap/>
        <w:bidi w:val="0"/>
        <w:spacing w:line="500" w:lineRule="exact"/>
        <w:ind w:left="410"/>
        <w:rPr>
          <w:spacing w:val="-6"/>
          <w:highlight w:val="none"/>
        </w:rPr>
      </w:pPr>
    </w:p>
    <w:p>
      <w:pPr>
        <w:pStyle w:val="3"/>
        <w:bidi w:val="0"/>
        <w:rPr>
          <w:highlight w:val="none"/>
        </w:rPr>
      </w:pPr>
      <w:bookmarkStart w:id="43" w:name="_Toc10126"/>
      <w:r>
        <w:rPr>
          <w:rFonts w:hint="eastAsia"/>
          <w:spacing w:val="-6"/>
          <w:highlight w:val="none"/>
          <w:lang w:eastAsia="zh-CN"/>
        </w:rPr>
        <w:t>10.</w:t>
      </w:r>
      <w:r>
        <w:rPr>
          <w:rFonts w:cs="宋体"/>
          <w:highlight w:val="none"/>
        </w:rPr>
        <w:t>验收</w:t>
      </w:r>
      <w:bookmarkEnd w:id="43"/>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1</w:t>
      </w:r>
      <w:r>
        <w:rPr>
          <w:spacing w:val="60"/>
          <w:highlight w:val="none"/>
        </w:rPr>
        <w:t xml:space="preserve"> </w:t>
      </w:r>
      <w:r>
        <w:rPr>
          <w:rFonts w:hint="eastAsia" w:cs="宋体"/>
          <w:spacing w:val="2"/>
          <w:highlight w:val="none"/>
          <w:lang w:eastAsia="zh-CN"/>
        </w:rPr>
        <w:t>投标人</w:t>
      </w:r>
      <w:r>
        <w:rPr>
          <w:rFonts w:cs="宋体"/>
          <w:spacing w:val="2"/>
          <w:highlight w:val="none"/>
        </w:rPr>
        <w:t>依据技术规范所要求内容供货，采购方根据采购技术规范内容验</w:t>
      </w:r>
      <w:r>
        <w:rPr>
          <w:rFonts w:cs="宋体"/>
          <w:spacing w:val="3"/>
          <w:highlight w:val="none"/>
        </w:rPr>
        <w:t>收，如</w:t>
      </w:r>
      <w:r>
        <w:rPr>
          <w:rFonts w:hint="eastAsia" w:cs="宋体"/>
          <w:spacing w:val="3"/>
          <w:highlight w:val="none"/>
          <w:lang w:eastAsia="zh-CN"/>
        </w:rPr>
        <w:t>投标人</w:t>
      </w:r>
      <w:r>
        <w:rPr>
          <w:rFonts w:cs="宋体"/>
          <w:spacing w:val="3"/>
          <w:highlight w:val="none"/>
        </w:rPr>
        <w:t>提供货物与技术规范书存在差异，又未在报价差异表中列出的，采购</w:t>
      </w:r>
      <w:r>
        <w:rPr>
          <w:rFonts w:cs="宋体"/>
          <w:highlight w:val="none"/>
        </w:rPr>
        <w:t>方有权拒收。</w:t>
      </w:r>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2</w:t>
      </w:r>
      <w:r>
        <w:rPr>
          <w:spacing w:val="60"/>
          <w:highlight w:val="none"/>
        </w:rPr>
        <w:t xml:space="preserve"> </w:t>
      </w:r>
      <w:r>
        <w:rPr>
          <w:rFonts w:cs="宋体"/>
          <w:highlight w:val="none"/>
        </w:rPr>
        <w:t>到货验收</w:t>
      </w:r>
    </w:p>
    <w:p>
      <w:pPr>
        <w:keepLines w:val="0"/>
        <w:pageBreakBefore w:val="0"/>
        <w:kinsoku/>
        <w:wordWrap/>
        <w:bidi w:val="0"/>
        <w:spacing w:line="500" w:lineRule="exact"/>
        <w:ind w:left="410"/>
        <w:rPr>
          <w:rFonts w:hint="eastAsia" w:eastAsia="宋体" w:cs="宋体"/>
          <w:b/>
          <w:bCs/>
          <w:highlight w:val="none"/>
          <w:lang w:eastAsia="zh-CN"/>
        </w:rPr>
      </w:pPr>
      <w:r>
        <w:rPr>
          <w:rFonts w:cs="宋体"/>
          <w:spacing w:val="3"/>
          <w:highlight w:val="none"/>
        </w:rPr>
        <w:t>到货验收分为开箱验收和功能验收</w:t>
      </w:r>
      <w:r>
        <w:rPr>
          <w:rFonts w:hint="eastAsia" w:cs="宋体"/>
          <w:spacing w:val="3"/>
          <w:highlight w:val="none"/>
          <w:lang w:eastAsia="zh-CN"/>
        </w:rPr>
        <w:t>。</w:t>
      </w:r>
      <w:r>
        <w:rPr>
          <w:rFonts w:cs="宋体"/>
          <w:b/>
          <w:bCs/>
          <w:spacing w:val="3"/>
          <w:highlight w:val="none"/>
        </w:rPr>
        <w:t>开箱验收包括对</w:t>
      </w:r>
      <w:r>
        <w:rPr>
          <w:rFonts w:cs="宋体"/>
          <w:b/>
          <w:bCs/>
          <w:spacing w:val="1"/>
          <w:highlight w:val="none"/>
        </w:rPr>
        <w:t>仪</w:t>
      </w:r>
      <w:r>
        <w:rPr>
          <w:rFonts w:hint="eastAsia" w:cs="宋体"/>
          <w:b/>
          <w:bCs/>
          <w:spacing w:val="1"/>
          <w:highlight w:val="none"/>
        </w:rPr>
        <w:t>器</w:t>
      </w:r>
      <w:r>
        <w:rPr>
          <w:rFonts w:cs="宋体"/>
          <w:b/>
          <w:bCs/>
          <w:spacing w:val="1"/>
          <w:highlight w:val="none"/>
        </w:rPr>
        <w:t>、</w:t>
      </w:r>
      <w:r>
        <w:rPr>
          <w:rFonts w:hint="eastAsia" w:cs="宋体"/>
          <w:b/>
          <w:bCs/>
          <w:spacing w:val="1"/>
          <w:highlight w:val="none"/>
        </w:rPr>
        <w:t>配件</w:t>
      </w:r>
      <w:r>
        <w:rPr>
          <w:rFonts w:cs="宋体"/>
          <w:b/>
          <w:bCs/>
          <w:spacing w:val="1"/>
          <w:highlight w:val="none"/>
        </w:rPr>
        <w:t>、</w:t>
      </w:r>
      <w:r>
        <w:rPr>
          <w:rFonts w:hint="eastAsia" w:cs="宋体"/>
          <w:b/>
          <w:bCs/>
          <w:spacing w:val="1"/>
          <w:highlight w:val="none"/>
          <w:lang w:val="en-US" w:eastAsia="zh-CN"/>
        </w:rPr>
        <w:t>第三方校准</w:t>
      </w:r>
      <w:r>
        <w:rPr>
          <w:rFonts w:cs="宋体"/>
          <w:b/>
          <w:bCs/>
          <w:spacing w:val="1"/>
          <w:highlight w:val="none"/>
        </w:rPr>
        <w:t>报告和合格证等设备</w:t>
      </w:r>
      <w:r>
        <w:rPr>
          <w:b/>
          <w:bCs/>
          <w:spacing w:val="3"/>
          <w:highlight w:val="none"/>
        </w:rPr>
        <w:t>/</w:t>
      </w:r>
      <w:r>
        <w:rPr>
          <w:rFonts w:cs="宋体"/>
          <w:b/>
          <w:bCs/>
          <w:spacing w:val="1"/>
          <w:highlight w:val="none"/>
        </w:rPr>
        <w:t>材料是否齐全；功能验收指设备</w:t>
      </w:r>
      <w:r>
        <w:rPr>
          <w:rFonts w:cs="宋体"/>
          <w:b/>
          <w:bCs/>
          <w:highlight w:val="none"/>
        </w:rPr>
        <w:t>各项功能参数是否满足技术规范要求</w:t>
      </w:r>
      <w:r>
        <w:rPr>
          <w:rFonts w:hint="eastAsia" w:cs="宋体"/>
          <w:b/>
          <w:bCs/>
          <w:highlight w:val="none"/>
          <w:lang w:eastAsia="zh-CN"/>
        </w:rPr>
        <w:t>。</w:t>
      </w:r>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3</w:t>
      </w:r>
      <w:r>
        <w:rPr>
          <w:spacing w:val="60"/>
          <w:highlight w:val="none"/>
        </w:rPr>
        <w:t xml:space="preserve"> </w:t>
      </w:r>
      <w:r>
        <w:rPr>
          <w:rFonts w:cs="宋体"/>
          <w:highlight w:val="none"/>
        </w:rPr>
        <w:t>现场验收</w:t>
      </w:r>
    </w:p>
    <w:p>
      <w:pPr>
        <w:keepLines w:val="0"/>
        <w:pageBreakBefore w:val="0"/>
        <w:kinsoku/>
        <w:wordWrap/>
        <w:bidi w:val="0"/>
        <w:spacing w:line="500" w:lineRule="exact"/>
        <w:ind w:left="410"/>
        <w:rPr>
          <w:highlight w:val="none"/>
        </w:rPr>
      </w:pPr>
      <w:r>
        <w:rPr>
          <w:rFonts w:cs="宋体"/>
          <w:spacing w:val="3"/>
          <w:highlight w:val="none"/>
        </w:rPr>
        <w:t>在采购方指定试验室安装调试完成后，以</w:t>
      </w:r>
      <w:r>
        <w:rPr>
          <w:rFonts w:hint="eastAsia" w:cs="宋体"/>
          <w:spacing w:val="3"/>
          <w:highlight w:val="none"/>
          <w:lang w:eastAsia="zh-CN"/>
        </w:rPr>
        <w:t>投标人</w:t>
      </w:r>
      <w:r>
        <w:rPr>
          <w:rFonts w:cs="宋体"/>
          <w:spacing w:val="3"/>
          <w:highlight w:val="none"/>
        </w:rPr>
        <w:t>协助采购方完成技术培训内</w:t>
      </w:r>
      <w:r>
        <w:rPr>
          <w:rFonts w:cs="宋体"/>
          <w:highlight w:val="none"/>
        </w:rPr>
        <w:t>容为标准进行验收，验收合格后由</w:t>
      </w:r>
      <w:r>
        <w:rPr>
          <w:rFonts w:hint="eastAsia" w:cs="宋体"/>
          <w:highlight w:val="none"/>
          <w:lang w:eastAsia="zh-CN"/>
        </w:rPr>
        <w:t>投标人</w:t>
      </w:r>
      <w:r>
        <w:rPr>
          <w:rFonts w:cs="宋体"/>
          <w:highlight w:val="none"/>
        </w:rPr>
        <w:t>提供验收报告。</w:t>
      </w:r>
    </w:p>
    <w:p>
      <w:pPr>
        <w:pStyle w:val="3"/>
        <w:bidi w:val="0"/>
        <w:rPr>
          <w:highlight w:val="none"/>
        </w:rPr>
      </w:pPr>
      <w:bookmarkStart w:id="44" w:name="_Toc22211"/>
      <w:r>
        <w:rPr>
          <w:highlight w:val="none"/>
        </w:rPr>
        <w:t>1</w:t>
      </w:r>
      <w:r>
        <w:rPr>
          <w:rFonts w:hint="eastAsia"/>
          <w:highlight w:val="none"/>
          <w:lang w:val="en-US" w:eastAsia="zh-CN"/>
        </w:rPr>
        <w:t>1</w:t>
      </w:r>
      <w:r>
        <w:rPr>
          <w:highlight w:val="none"/>
        </w:rPr>
        <w:t>.</w:t>
      </w:r>
      <w:r>
        <w:rPr>
          <w:rFonts w:cs="宋体"/>
          <w:spacing w:val="1"/>
          <w:highlight w:val="none"/>
        </w:rPr>
        <w:t>技术差异表</w:t>
      </w:r>
      <w:bookmarkEnd w:id="44"/>
    </w:p>
    <w:p>
      <w:pPr>
        <w:keepLines w:val="0"/>
        <w:pageBreakBefore w:val="0"/>
        <w:kinsoku/>
        <w:wordWrap/>
        <w:bidi w:val="0"/>
        <w:spacing w:line="500" w:lineRule="exact"/>
        <w:ind w:left="410"/>
        <w:rPr>
          <w:highlight w:val="none"/>
        </w:rPr>
      </w:pPr>
      <w:r>
        <w:rPr>
          <w:rFonts w:hint="eastAsia" w:cs="宋体"/>
          <w:spacing w:val="-1"/>
          <w:highlight w:val="none"/>
        </w:rPr>
        <w:tab/>
      </w:r>
      <w:r>
        <w:rPr>
          <w:rFonts w:hint="eastAsia" w:cs="宋体"/>
          <w:spacing w:val="-1"/>
          <w:highlight w:val="none"/>
        </w:rPr>
        <w:tab/>
      </w:r>
      <w:r>
        <w:rPr>
          <w:rFonts w:hint="eastAsia" w:cs="宋体"/>
          <w:spacing w:val="-1"/>
          <w:highlight w:val="none"/>
          <w:lang w:eastAsia="zh-CN"/>
        </w:rPr>
        <w:t>投标人</w:t>
      </w:r>
      <w:r>
        <w:rPr>
          <w:rFonts w:cs="宋体"/>
          <w:spacing w:val="-1"/>
          <w:highlight w:val="none"/>
        </w:rPr>
        <w:t>应将所供设备与本采购书技术文件有差异之处，无论优于或劣于本</w:t>
      </w:r>
      <w:r>
        <w:rPr>
          <w:rFonts w:hint="eastAsia" w:cs="宋体"/>
          <w:spacing w:val="-1"/>
          <w:highlight w:val="none"/>
        </w:rPr>
        <w:t>规范书</w:t>
      </w:r>
      <w:r>
        <w:rPr>
          <w:rFonts w:cs="宋体"/>
          <w:highlight w:val="none"/>
        </w:rPr>
        <w:t>要求，均汇集成此表。</w:t>
      </w:r>
    </w:p>
    <w:p>
      <w:pPr>
        <w:keepLines w:val="0"/>
        <w:pageBreakBefore w:val="0"/>
        <w:kinsoku/>
        <w:wordWrap/>
        <w:bidi w:val="0"/>
        <w:spacing w:line="500" w:lineRule="exact"/>
        <w:ind w:left="410"/>
        <w:rPr>
          <w:highlight w:val="none"/>
        </w:rPr>
      </w:pPr>
      <w:r>
        <w:rPr>
          <w:rFonts w:cs="宋体"/>
          <w:highlight w:val="none"/>
        </w:rPr>
        <w:t>技术差异表</w:t>
      </w:r>
    </w:p>
    <w:tbl>
      <w:tblPr>
        <w:tblStyle w:val="14"/>
        <w:tblW w:w="0" w:type="auto"/>
        <w:tblInd w:w="5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7"/>
        <w:gridCol w:w="2077"/>
        <w:gridCol w:w="2236"/>
        <w:gridCol w:w="2077"/>
        <w:gridCol w:w="22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restart"/>
            <w:vAlign w:val="center"/>
          </w:tcPr>
          <w:p>
            <w:pPr>
              <w:keepLines w:val="0"/>
              <w:pageBreakBefore w:val="0"/>
              <w:kinsoku/>
              <w:wordWrap/>
              <w:bidi w:val="0"/>
              <w:spacing w:line="500" w:lineRule="exact"/>
              <w:ind w:left="0" w:leftChars="0"/>
              <w:rPr>
                <w:highlight w:val="none"/>
              </w:rPr>
            </w:pPr>
            <w:r>
              <w:rPr>
                <w:rFonts w:hint="eastAsia"/>
                <w:highlight w:val="none"/>
              </w:rPr>
              <w:t>序号</w:t>
            </w:r>
          </w:p>
        </w:tc>
        <w:tc>
          <w:tcPr>
            <w:tcW w:w="4313" w:type="dxa"/>
            <w:gridSpan w:val="2"/>
            <w:vAlign w:val="center"/>
          </w:tcPr>
          <w:p>
            <w:pPr>
              <w:keepLines w:val="0"/>
              <w:pageBreakBefore w:val="0"/>
              <w:kinsoku/>
              <w:wordWrap/>
              <w:bidi w:val="0"/>
              <w:spacing w:line="500" w:lineRule="exact"/>
              <w:ind w:left="410"/>
              <w:jc w:val="center"/>
              <w:rPr>
                <w:highlight w:val="none"/>
              </w:rPr>
            </w:pPr>
            <w:r>
              <w:rPr>
                <w:rFonts w:hint="eastAsia"/>
                <w:highlight w:val="none"/>
              </w:rPr>
              <w:t>采购文件</w:t>
            </w:r>
          </w:p>
        </w:tc>
        <w:tc>
          <w:tcPr>
            <w:tcW w:w="4369" w:type="dxa"/>
            <w:gridSpan w:val="2"/>
            <w:vAlign w:val="center"/>
          </w:tcPr>
          <w:p>
            <w:pPr>
              <w:keepLines w:val="0"/>
              <w:pageBreakBefore w:val="0"/>
              <w:kinsoku/>
              <w:wordWrap/>
              <w:bidi w:val="0"/>
              <w:spacing w:line="500" w:lineRule="exact"/>
              <w:ind w:left="410"/>
              <w:jc w:val="center"/>
              <w:rPr>
                <w:highlight w:val="none"/>
              </w:rPr>
            </w:pPr>
            <w:r>
              <w:rPr>
                <w:rFonts w:hint="eastAsia"/>
                <w:highlight w:val="none"/>
              </w:rPr>
              <w:t>报价文件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continue"/>
            <w:vAlign w:val="center"/>
          </w:tcPr>
          <w:p>
            <w:pPr>
              <w:keepLines w:val="0"/>
              <w:pageBreakBefore w:val="0"/>
              <w:kinsoku/>
              <w:wordWrap/>
              <w:bidi w:val="0"/>
              <w:spacing w:line="500" w:lineRule="exact"/>
              <w:ind w:left="410"/>
              <w:jc w:val="center"/>
              <w:rPr>
                <w:highlight w:val="none"/>
              </w:rPr>
            </w:pPr>
          </w:p>
        </w:tc>
        <w:tc>
          <w:tcPr>
            <w:tcW w:w="2077" w:type="dxa"/>
            <w:vAlign w:val="center"/>
          </w:tcPr>
          <w:p>
            <w:pPr>
              <w:keepLines w:val="0"/>
              <w:pageBreakBefore w:val="0"/>
              <w:kinsoku/>
              <w:wordWrap/>
              <w:bidi w:val="0"/>
              <w:spacing w:line="500" w:lineRule="exact"/>
              <w:ind w:left="410"/>
              <w:jc w:val="center"/>
              <w:rPr>
                <w:highlight w:val="none"/>
              </w:rPr>
            </w:pPr>
            <w:r>
              <w:rPr>
                <w:rFonts w:hint="eastAsia"/>
                <w:highlight w:val="none"/>
              </w:rPr>
              <w:t>条目</w:t>
            </w:r>
          </w:p>
        </w:tc>
        <w:tc>
          <w:tcPr>
            <w:tcW w:w="2236" w:type="dxa"/>
            <w:vAlign w:val="center"/>
          </w:tcPr>
          <w:p>
            <w:pPr>
              <w:keepLines w:val="0"/>
              <w:pageBreakBefore w:val="0"/>
              <w:kinsoku/>
              <w:wordWrap/>
              <w:bidi w:val="0"/>
              <w:spacing w:line="500" w:lineRule="exact"/>
              <w:ind w:left="410"/>
              <w:jc w:val="center"/>
              <w:rPr>
                <w:highlight w:val="none"/>
              </w:rPr>
            </w:pPr>
            <w:r>
              <w:rPr>
                <w:rFonts w:hint="eastAsia"/>
                <w:highlight w:val="none"/>
              </w:rPr>
              <w:t>简要内容</w:t>
            </w:r>
          </w:p>
        </w:tc>
        <w:tc>
          <w:tcPr>
            <w:tcW w:w="2077" w:type="dxa"/>
            <w:vAlign w:val="center"/>
          </w:tcPr>
          <w:p>
            <w:pPr>
              <w:keepLines w:val="0"/>
              <w:pageBreakBefore w:val="0"/>
              <w:kinsoku/>
              <w:wordWrap/>
              <w:bidi w:val="0"/>
              <w:spacing w:line="500" w:lineRule="exact"/>
              <w:ind w:left="410"/>
              <w:jc w:val="center"/>
              <w:rPr>
                <w:highlight w:val="none"/>
              </w:rPr>
            </w:pPr>
            <w:r>
              <w:rPr>
                <w:rFonts w:hint="eastAsia"/>
                <w:highlight w:val="none"/>
              </w:rPr>
              <w:t>条目</w:t>
            </w:r>
          </w:p>
        </w:tc>
        <w:tc>
          <w:tcPr>
            <w:tcW w:w="2292" w:type="dxa"/>
            <w:vAlign w:val="center"/>
          </w:tcPr>
          <w:p>
            <w:pPr>
              <w:keepLines w:val="0"/>
              <w:pageBreakBefore w:val="0"/>
              <w:kinsoku/>
              <w:wordWrap/>
              <w:bidi w:val="0"/>
              <w:spacing w:line="500" w:lineRule="exact"/>
              <w:ind w:left="410"/>
              <w:jc w:val="center"/>
              <w:rPr>
                <w:highlight w:val="none"/>
              </w:rPr>
            </w:pPr>
            <w:r>
              <w:rPr>
                <w:rFonts w:hint="eastAsia"/>
                <w:highlight w:val="none"/>
              </w:rPr>
              <w:t>简要内容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2"/>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jc w:val="center"/>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2"/>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2"/>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trPr>
        <w:tc>
          <w:tcPr>
            <w:tcW w:w="517" w:type="dxa"/>
          </w:tcPr>
          <w:p>
            <w:pPr>
              <w:keepLines w:val="0"/>
              <w:pageBreakBefore w:val="0"/>
              <w:numPr>
                <w:ilvl w:val="0"/>
                <w:numId w:val="2"/>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bl>
    <w:p>
      <w:pPr>
        <w:pStyle w:val="13"/>
        <w:keepLines w:val="0"/>
        <w:pageBreakBefore w:val="0"/>
        <w:kinsoku/>
        <w:wordWrap/>
        <w:bidi w:val="0"/>
        <w:spacing w:line="500" w:lineRule="exact"/>
        <w:ind w:left="410" w:firstLine="240"/>
        <w:rPr>
          <w:highlight w:val="none"/>
        </w:rPr>
      </w:pPr>
    </w:p>
    <w:sectPr>
      <w:headerReference r:id="rId5" w:type="default"/>
      <w:footerReference r:id="rId6" w:type="default"/>
      <w:pgSz w:w="11906" w:h="16838"/>
      <w:pgMar w:top="1440" w:right="1080" w:bottom="1440" w:left="1080" w:header="737" w:footer="340" w:gutter="0"/>
      <w:pgNumType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410"/>
      </w:pPr>
      <w:r>
        <w:separator/>
      </w:r>
    </w:p>
  </w:endnote>
  <w:endnote w:type="continuationSeparator" w:id="1">
    <w:p>
      <w:pPr>
        <w:spacing w:line="240" w:lineRule="auto"/>
        <w:ind w:left="4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体">
    <w:altName w:val="宋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书宋简体">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21706"/>
    </w:sdtPr>
    <w:sdtContent>
      <w:p>
        <w:pPr>
          <w:pStyle w:val="8"/>
          <w:ind w:left="410"/>
          <w:jc w:val="right"/>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3</w:t>
        </w:r>
        <w:r>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left="410"/>
      </w:pPr>
      <w:r>
        <w:separator/>
      </w:r>
    </w:p>
  </w:footnote>
  <w:footnote w:type="continuationSeparator" w:id="1">
    <w:p>
      <w:pPr>
        <w:spacing w:line="360" w:lineRule="auto"/>
        <w:ind w:left="4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4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EFD0A4"/>
    <w:multiLevelType w:val="singleLevel"/>
    <w:tmpl w:val="85EFD0A4"/>
    <w:lvl w:ilvl="0" w:tentative="0">
      <w:start w:val="8"/>
      <w:numFmt w:val="decimal"/>
      <w:lvlText w:val="%1."/>
      <w:lvlJc w:val="left"/>
      <w:pPr>
        <w:tabs>
          <w:tab w:val="left" w:pos="312"/>
        </w:tabs>
      </w:pPr>
    </w:lvl>
  </w:abstractNum>
  <w:abstractNum w:abstractNumId="1">
    <w:nsid w:val="19131583"/>
    <w:multiLevelType w:val="multilevel"/>
    <w:tmpl w:val="1913158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M5MDY5NmRiY2IxYWU2YWNhZjdhZjViM2Q0OGIxY2YifQ=="/>
  </w:docVars>
  <w:rsids>
    <w:rsidRoot w:val="00BA7218"/>
    <w:rsid w:val="00073FE7"/>
    <w:rsid w:val="000B487E"/>
    <w:rsid w:val="00213BC1"/>
    <w:rsid w:val="00274652"/>
    <w:rsid w:val="0028222F"/>
    <w:rsid w:val="002E2DC8"/>
    <w:rsid w:val="00331FD8"/>
    <w:rsid w:val="00395668"/>
    <w:rsid w:val="003A6246"/>
    <w:rsid w:val="003F0C22"/>
    <w:rsid w:val="00433E15"/>
    <w:rsid w:val="0050590D"/>
    <w:rsid w:val="00590CB3"/>
    <w:rsid w:val="005D5B89"/>
    <w:rsid w:val="005F5D8C"/>
    <w:rsid w:val="006F2529"/>
    <w:rsid w:val="0071406A"/>
    <w:rsid w:val="00824AB9"/>
    <w:rsid w:val="0083090F"/>
    <w:rsid w:val="0086303C"/>
    <w:rsid w:val="008774E9"/>
    <w:rsid w:val="008C0C43"/>
    <w:rsid w:val="009253CE"/>
    <w:rsid w:val="00A30D57"/>
    <w:rsid w:val="00A55DCC"/>
    <w:rsid w:val="00A75580"/>
    <w:rsid w:val="00AE36DD"/>
    <w:rsid w:val="00AE7161"/>
    <w:rsid w:val="00B23D0C"/>
    <w:rsid w:val="00B75D43"/>
    <w:rsid w:val="00BA7218"/>
    <w:rsid w:val="00C23CBE"/>
    <w:rsid w:val="00D4036C"/>
    <w:rsid w:val="00D76BBA"/>
    <w:rsid w:val="00D92E20"/>
    <w:rsid w:val="00D95EE9"/>
    <w:rsid w:val="00E303FE"/>
    <w:rsid w:val="00EB0EA2"/>
    <w:rsid w:val="00EC767C"/>
    <w:rsid w:val="00F83122"/>
    <w:rsid w:val="01FB11A1"/>
    <w:rsid w:val="024E43D4"/>
    <w:rsid w:val="0314094B"/>
    <w:rsid w:val="041078B8"/>
    <w:rsid w:val="04AC73D9"/>
    <w:rsid w:val="052208DA"/>
    <w:rsid w:val="07B66435"/>
    <w:rsid w:val="07E06245"/>
    <w:rsid w:val="07F95172"/>
    <w:rsid w:val="088B7712"/>
    <w:rsid w:val="0BAB653E"/>
    <w:rsid w:val="0C8A677F"/>
    <w:rsid w:val="0D344206"/>
    <w:rsid w:val="0E080413"/>
    <w:rsid w:val="11624E20"/>
    <w:rsid w:val="13066AFF"/>
    <w:rsid w:val="16406CB6"/>
    <w:rsid w:val="17486E4C"/>
    <w:rsid w:val="18021834"/>
    <w:rsid w:val="19277699"/>
    <w:rsid w:val="1C79220A"/>
    <w:rsid w:val="1C8772B6"/>
    <w:rsid w:val="1D3614FA"/>
    <w:rsid w:val="1FA263E4"/>
    <w:rsid w:val="2006432E"/>
    <w:rsid w:val="211C5F0F"/>
    <w:rsid w:val="22703D10"/>
    <w:rsid w:val="23B96AFD"/>
    <w:rsid w:val="24135420"/>
    <w:rsid w:val="26DA25CB"/>
    <w:rsid w:val="273F6164"/>
    <w:rsid w:val="27B200B0"/>
    <w:rsid w:val="27E502D5"/>
    <w:rsid w:val="29464C18"/>
    <w:rsid w:val="2B2A0492"/>
    <w:rsid w:val="2C3F36A7"/>
    <w:rsid w:val="2CD5161C"/>
    <w:rsid w:val="2EAE6CA3"/>
    <w:rsid w:val="30427C69"/>
    <w:rsid w:val="320372EF"/>
    <w:rsid w:val="33342978"/>
    <w:rsid w:val="33C00172"/>
    <w:rsid w:val="34234DD5"/>
    <w:rsid w:val="34DB0F5E"/>
    <w:rsid w:val="366559E4"/>
    <w:rsid w:val="367B35A2"/>
    <w:rsid w:val="3988303A"/>
    <w:rsid w:val="3B9236C9"/>
    <w:rsid w:val="3CE97620"/>
    <w:rsid w:val="3F3F3186"/>
    <w:rsid w:val="3F401D03"/>
    <w:rsid w:val="41F6735B"/>
    <w:rsid w:val="440525B4"/>
    <w:rsid w:val="476B4E24"/>
    <w:rsid w:val="4771622D"/>
    <w:rsid w:val="47874069"/>
    <w:rsid w:val="47B84838"/>
    <w:rsid w:val="48CC7BFD"/>
    <w:rsid w:val="49244D8F"/>
    <w:rsid w:val="4DE36F71"/>
    <w:rsid w:val="51655545"/>
    <w:rsid w:val="56200118"/>
    <w:rsid w:val="5813392B"/>
    <w:rsid w:val="58B95CBA"/>
    <w:rsid w:val="596D67DA"/>
    <w:rsid w:val="5A44578C"/>
    <w:rsid w:val="5C7A5B1A"/>
    <w:rsid w:val="5E375A3D"/>
    <w:rsid w:val="5E60690D"/>
    <w:rsid w:val="5EC33DB0"/>
    <w:rsid w:val="5F471779"/>
    <w:rsid w:val="60EC26DA"/>
    <w:rsid w:val="61DC2B1A"/>
    <w:rsid w:val="6268037D"/>
    <w:rsid w:val="62740596"/>
    <w:rsid w:val="62CD7EA4"/>
    <w:rsid w:val="64407D86"/>
    <w:rsid w:val="65974683"/>
    <w:rsid w:val="694D6BE2"/>
    <w:rsid w:val="70CA591E"/>
    <w:rsid w:val="73DC31EB"/>
    <w:rsid w:val="76211CFF"/>
    <w:rsid w:val="76334E79"/>
    <w:rsid w:val="77CE2584"/>
    <w:rsid w:val="7867742D"/>
    <w:rsid w:val="7C080BE5"/>
    <w:rsid w:val="7CB6538D"/>
    <w:rsid w:val="7F547970"/>
    <w:rsid w:val="7F7C2A79"/>
    <w:rsid w:val="7FFD6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qFormat="1" w:unhideWhenUsed="0" w:uiPriority="0" w:semiHidden="0"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left="359" w:leftChars="171"/>
    </w:pPr>
    <w:rPr>
      <w:rFonts w:ascii="宋体" w:hAnsi="宋体" w:eastAsia="宋体" w:cs="Times New Roman"/>
      <w:color w:val="000000"/>
      <w:kern w:val="2"/>
      <w:sz w:val="24"/>
      <w:szCs w:val="24"/>
      <w:lang w:val="en-US" w:eastAsia="zh-CN" w:bidi="ar-SA"/>
    </w:rPr>
  </w:style>
  <w:style w:type="paragraph" w:styleId="3">
    <w:name w:val="heading 1"/>
    <w:basedOn w:val="1"/>
    <w:next w:val="1"/>
    <w:link w:val="24"/>
    <w:qFormat/>
    <w:uiPriority w:val="0"/>
    <w:pPr>
      <w:keepNext/>
      <w:widowControl/>
      <w:overflowPunct w:val="0"/>
      <w:autoSpaceDE w:val="0"/>
      <w:autoSpaceDN w:val="0"/>
      <w:adjustRightInd w:val="0"/>
      <w:spacing w:before="240" w:after="60"/>
      <w:textAlignment w:val="baseline"/>
      <w:outlineLvl w:val="0"/>
    </w:pPr>
    <w:rPr>
      <w:rFonts w:ascii="仿宋体" w:hAnsi="Times New Roman" w:eastAsia="仿宋体"/>
      <w:b/>
      <w:color w:val="auto"/>
      <w:kern w:val="28"/>
      <w:sz w:val="26"/>
      <w:szCs w:val="20"/>
    </w:rPr>
  </w:style>
  <w:style w:type="paragraph" w:styleId="2">
    <w:name w:val="heading 2"/>
    <w:basedOn w:val="1"/>
    <w:next w:val="1"/>
    <w:link w:val="3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9"/>
    <w:semiHidden/>
    <w:unhideWhenUsed/>
    <w:qFormat/>
    <w:uiPriority w:val="99"/>
    <w:pPr>
      <w:spacing w:after="120"/>
    </w:pPr>
  </w:style>
  <w:style w:type="paragraph" w:styleId="5">
    <w:name w:val="Plain Text"/>
    <w:basedOn w:val="1"/>
    <w:link w:val="26"/>
    <w:qFormat/>
    <w:uiPriority w:val="0"/>
    <w:rPr>
      <w:rFonts w:hAnsi="Courier New"/>
      <w:color w:val="auto"/>
      <w:sz w:val="21"/>
      <w:szCs w:val="20"/>
    </w:rPr>
  </w:style>
  <w:style w:type="paragraph" w:styleId="6">
    <w:name w:val="Body Text Indent 2"/>
    <w:basedOn w:val="1"/>
    <w:qFormat/>
    <w:uiPriority w:val="0"/>
    <w:pPr>
      <w:ind w:firstLine="570"/>
    </w:pPr>
    <w:rPr>
      <w:rFonts w:ascii="仿宋_GB2312" w:eastAsia="仿宋_GB2312"/>
      <w:sz w:val="24"/>
    </w:rPr>
  </w:style>
  <w:style w:type="paragraph" w:styleId="7">
    <w:name w:val="Balloon Text"/>
    <w:basedOn w:val="1"/>
    <w:link w:val="27"/>
    <w:semiHidden/>
    <w:unhideWhenUsed/>
    <w:qFormat/>
    <w:uiPriority w:val="99"/>
    <w:pPr>
      <w:spacing w:line="240" w:lineRule="auto"/>
    </w:pPr>
    <w:rPr>
      <w:sz w:val="18"/>
      <w:szCs w:val="18"/>
    </w:rPr>
  </w:style>
  <w:style w:type="paragraph" w:styleId="8">
    <w:name w:val="footer"/>
    <w:basedOn w:val="1"/>
    <w:link w:val="18"/>
    <w:unhideWhenUsed/>
    <w:qFormat/>
    <w:uiPriority w:val="99"/>
    <w:pPr>
      <w:tabs>
        <w:tab w:val="center" w:pos="4153"/>
        <w:tab w:val="right" w:pos="8306"/>
      </w:tabs>
      <w:snapToGrid w:val="0"/>
    </w:pPr>
    <w:rPr>
      <w:sz w:val="18"/>
      <w:szCs w:val="18"/>
    </w:rPr>
  </w:style>
  <w:style w:type="paragraph" w:styleId="9">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semiHidden/>
    <w:unhideWhenUsed/>
    <w:qFormat/>
    <w:uiPriority w:val="39"/>
  </w:style>
  <w:style w:type="paragraph" w:styleId="11">
    <w:name w:val="toc 6"/>
    <w:basedOn w:val="1"/>
    <w:next w:val="1"/>
    <w:qFormat/>
    <w:uiPriority w:val="0"/>
    <w:pPr>
      <w:spacing w:line="240" w:lineRule="auto"/>
      <w:ind w:left="1050" w:leftChars="0"/>
    </w:pPr>
    <w:rPr>
      <w:rFonts w:ascii="Calibri" w:hAnsi="Calibri"/>
      <w:color w:val="auto"/>
      <w:sz w:val="18"/>
      <w:szCs w:val="18"/>
    </w:rPr>
  </w:style>
  <w:style w:type="paragraph" w:styleId="12">
    <w:name w:val="Normal (Web)"/>
    <w:basedOn w:val="1"/>
    <w:qFormat/>
    <w:uiPriority w:val="0"/>
    <w:pPr>
      <w:spacing w:before="100" w:beforeAutospacing="1" w:after="100" w:afterAutospacing="1"/>
      <w:jc w:val="left"/>
    </w:pPr>
    <w:rPr>
      <w:kern w:val="0"/>
      <w:sz w:val="24"/>
    </w:rPr>
  </w:style>
  <w:style w:type="paragraph" w:styleId="13">
    <w:name w:val="Body Text First Indent"/>
    <w:basedOn w:val="4"/>
    <w:link w:val="20"/>
    <w:unhideWhenUsed/>
    <w:qFormat/>
    <w:uiPriority w:val="99"/>
    <w:pPr>
      <w:ind w:firstLine="420" w:firstLineChars="100"/>
    </w:pPr>
  </w:style>
  <w:style w:type="table" w:styleId="15">
    <w:name w:val="Table Grid"/>
    <w:basedOn w:val="1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页眉 字符"/>
    <w:basedOn w:val="16"/>
    <w:link w:val="9"/>
    <w:qFormat/>
    <w:uiPriority w:val="99"/>
    <w:rPr>
      <w:sz w:val="18"/>
      <w:szCs w:val="18"/>
    </w:rPr>
  </w:style>
  <w:style w:type="character" w:customStyle="1" w:styleId="18">
    <w:name w:val="页脚 字符"/>
    <w:basedOn w:val="16"/>
    <w:link w:val="8"/>
    <w:qFormat/>
    <w:uiPriority w:val="99"/>
    <w:rPr>
      <w:sz w:val="18"/>
      <w:szCs w:val="18"/>
    </w:rPr>
  </w:style>
  <w:style w:type="character" w:customStyle="1" w:styleId="19">
    <w:name w:val="正文文本 字符"/>
    <w:basedOn w:val="16"/>
    <w:link w:val="4"/>
    <w:semiHidden/>
    <w:qFormat/>
    <w:uiPriority w:val="99"/>
    <w:rPr>
      <w:rFonts w:ascii="宋体" w:hAnsi="宋体" w:eastAsia="宋体" w:cs="Times New Roman"/>
      <w:color w:val="000000"/>
      <w:sz w:val="24"/>
      <w:szCs w:val="24"/>
    </w:rPr>
  </w:style>
  <w:style w:type="character" w:customStyle="1" w:styleId="20">
    <w:name w:val="正文文本首行缩进 字符"/>
    <w:basedOn w:val="19"/>
    <w:link w:val="13"/>
    <w:qFormat/>
    <w:uiPriority w:val="99"/>
    <w:rPr>
      <w:rFonts w:ascii="宋体" w:hAnsi="宋体" w:eastAsia="宋体" w:cs="Times New Roman"/>
      <w:color w:val="000000"/>
      <w:sz w:val="24"/>
      <w:szCs w:val="24"/>
    </w:rPr>
  </w:style>
  <w:style w:type="paragraph" w:customStyle="1" w:styleId="21">
    <w:name w:val="首行缩进"/>
    <w:basedOn w:val="1"/>
    <w:qFormat/>
    <w:uiPriority w:val="0"/>
    <w:pPr>
      <w:spacing w:line="300" w:lineRule="auto"/>
      <w:ind w:firstLine="420" w:firstLineChars="200"/>
    </w:pPr>
    <w:rPr>
      <w:rFonts w:ascii="Calibri" w:hAnsi="Calibri" w:eastAsia="方正书宋简体" w:cs="宋体"/>
      <w:szCs w:val="22"/>
    </w:rPr>
  </w:style>
  <w:style w:type="paragraph" w:styleId="22">
    <w:name w:val="List Paragraph"/>
    <w:basedOn w:val="1"/>
    <w:qFormat/>
    <w:uiPriority w:val="34"/>
    <w:pPr>
      <w:ind w:firstLine="420" w:firstLineChars="200"/>
    </w:pPr>
  </w:style>
  <w:style w:type="paragraph" w:customStyle="1" w:styleId="2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4">
    <w:name w:val="标题 1 字符"/>
    <w:basedOn w:val="16"/>
    <w:link w:val="3"/>
    <w:qFormat/>
    <w:uiPriority w:val="0"/>
    <w:rPr>
      <w:rFonts w:ascii="仿宋体" w:hAnsi="Times New Roman" w:eastAsia="仿宋体" w:cs="Times New Roman"/>
      <w:b/>
      <w:kern w:val="28"/>
      <w:sz w:val="26"/>
      <w:szCs w:val="20"/>
    </w:rPr>
  </w:style>
  <w:style w:type="character" w:customStyle="1" w:styleId="25">
    <w:name w:val="纯文本 Char"/>
    <w:qFormat/>
    <w:uiPriority w:val="0"/>
    <w:rPr>
      <w:rFonts w:ascii="宋体" w:hAnsi="Courier New" w:eastAsia="宋体" w:cs="Times New Roman"/>
      <w:szCs w:val="20"/>
    </w:rPr>
  </w:style>
  <w:style w:type="character" w:customStyle="1" w:styleId="26">
    <w:name w:val="纯文本 字符"/>
    <w:basedOn w:val="16"/>
    <w:link w:val="5"/>
    <w:semiHidden/>
    <w:qFormat/>
    <w:uiPriority w:val="99"/>
    <w:rPr>
      <w:rFonts w:ascii="宋体" w:hAnsi="Courier New" w:eastAsia="宋体" w:cs="Courier New"/>
      <w:color w:val="000000"/>
      <w:szCs w:val="21"/>
    </w:rPr>
  </w:style>
  <w:style w:type="character" w:customStyle="1" w:styleId="27">
    <w:name w:val="批注框文本 字符"/>
    <w:basedOn w:val="16"/>
    <w:link w:val="7"/>
    <w:semiHidden/>
    <w:qFormat/>
    <w:uiPriority w:val="99"/>
    <w:rPr>
      <w:rFonts w:ascii="宋体" w:hAnsi="宋体" w:eastAsia="宋体" w:cs="Times New Roman"/>
      <w:color w:val="000000"/>
      <w:sz w:val="18"/>
      <w:szCs w:val="18"/>
    </w:rPr>
  </w:style>
  <w:style w:type="paragraph" w:customStyle="1" w:styleId="28">
    <w:name w:val="内容"/>
    <w:basedOn w:val="1"/>
    <w:link w:val="29"/>
    <w:qFormat/>
    <w:uiPriority w:val="0"/>
    <w:pPr>
      <w:adjustRightInd w:val="0"/>
      <w:snapToGrid w:val="0"/>
      <w:spacing w:line="312" w:lineRule="auto"/>
      <w:ind w:left="0" w:leftChars="0" w:firstLine="240" w:firstLineChars="100"/>
      <w:jc w:val="both"/>
    </w:pPr>
    <w:rPr>
      <w:bCs/>
      <w:color w:val="auto"/>
      <w:kern w:val="0"/>
    </w:rPr>
  </w:style>
  <w:style w:type="character" w:customStyle="1" w:styleId="29">
    <w:name w:val="内容 Char"/>
    <w:basedOn w:val="16"/>
    <w:link w:val="28"/>
    <w:qFormat/>
    <w:uiPriority w:val="0"/>
    <w:rPr>
      <w:rFonts w:ascii="宋体" w:hAnsi="宋体" w:eastAsia="宋体" w:cs="Times New Roman"/>
      <w:bCs/>
      <w:sz w:val="24"/>
      <w:szCs w:val="24"/>
    </w:rPr>
  </w:style>
  <w:style w:type="character" w:customStyle="1" w:styleId="30">
    <w:name w:val="标题 2 字符"/>
    <w:basedOn w:val="16"/>
    <w:link w:val="2"/>
    <w:semiHidden/>
    <w:qFormat/>
    <w:uiPriority w:val="9"/>
    <w:rPr>
      <w:rFonts w:asciiTheme="majorHAnsi" w:hAnsiTheme="majorHAnsi" w:eastAsiaTheme="majorEastAsia" w:cstheme="majorBidi"/>
      <w:b/>
      <w:bCs/>
      <w:color w:val="000000"/>
      <w:kern w:val="2"/>
      <w:sz w:val="32"/>
      <w:szCs w:val="32"/>
    </w:rPr>
  </w:style>
  <w:style w:type="character" w:customStyle="1" w:styleId="31">
    <w:name w:val="keyword"/>
    <w:basedOn w:val="16"/>
    <w:qFormat/>
    <w:uiPriority w:val="0"/>
  </w:style>
  <w:style w:type="paragraph" w:customStyle="1" w:styleId="32">
    <w:name w:val="WPSOffice手动目录 1"/>
    <w:qFormat/>
    <w:uiPriority w:val="0"/>
    <w:pPr>
      <w:ind w:leftChars="0"/>
    </w:pPr>
    <w:rPr>
      <w:rFonts w:asciiTheme="minorHAnsi" w:hAnsiTheme="minorHAnsi" w:eastAsiaTheme="minorEastAsia" w:cstheme="minorBidi"/>
      <w:sz w:val="20"/>
      <w:szCs w:val="20"/>
    </w:rPr>
  </w:style>
  <w:style w:type="paragraph" w:customStyle="1" w:styleId="33">
    <w:name w:val=" Char"/>
    <w:basedOn w:val="1"/>
    <w:qFormat/>
    <w:uiPriority w:val="0"/>
    <w:rPr>
      <w:rFonts w:ascii="Calibri"/>
      <w:szCs w:val="24"/>
    </w:rPr>
  </w:style>
  <w:style w:type="paragraph" w:customStyle="1" w:styleId="34">
    <w:name w:val="图表"/>
    <w:qFormat/>
    <w:uiPriority w:val="0"/>
    <w:pPr>
      <w:jc w:val="center"/>
    </w:pPr>
    <w:rPr>
      <w:rFonts w:ascii="Times New Roman" w:hAnsi="Times New Roman" w:eastAsia="宋体" w:cs="Times New Roman"/>
      <w:sz w:val="18"/>
      <w:szCs w:val="18"/>
      <w:lang w:val="en-US" w:eastAsia="zh-CN" w:bidi="ar-SA"/>
    </w:rPr>
  </w:style>
  <w:style w:type="paragraph" w:customStyle="1" w:styleId="35">
    <w:name w:val="表"/>
    <w:qFormat/>
    <w:uiPriority w:val="0"/>
    <w:pPr>
      <w:snapToGrid w:val="0"/>
      <w:spacing w:line="440" w:lineRule="exact"/>
      <w:jc w:val="center"/>
    </w:pPr>
    <w:rPr>
      <w:rFonts w:ascii="Times New Roman" w:hAnsi="Times New Roman" w:eastAsia="宋体" w:cs="Times New Roman"/>
      <w:kern w:val="1"/>
      <w:sz w:val="24"/>
      <w:szCs w:val="24"/>
      <w:lang w:val="en-US" w:eastAsia="ar-SA"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5100</Words>
  <Characters>5602</Characters>
  <Lines>30</Lines>
  <Paragraphs>8</Paragraphs>
  <TotalTime>1</TotalTime>
  <ScaleCrop>false</ScaleCrop>
  <LinksUpToDate>false</LinksUpToDate>
  <CharactersWithSpaces>5811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2023-08-29T04:07:00Z</dcterms:created>
  <dc:creator>GZIT</dc:creator>
  <cp:lastModifiedBy>伍贤丽</cp:lastModifiedBy>
  <cp:lastPrinted>2022-05-17T03:01:00Z</cp:lastPrinted>
  <dcterms:modified xsi:type="dcterms:W3CDTF">2026-08-07T03:54:33Z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B64C5C638EA94F2EA0285EF5AC6BD406</vt:lpwstr>
  </property>
  <property fmtid="{D5CDD505-2E9C-101B-9397-08002B2CF9AE}" pid="4" name="KSOTemplateDocerSaveRecord">
    <vt:lpwstr>eyJoZGlkIjoiNmQ2MzgwOThiYTZjMzgxYmU0M2RkZjJiYmQyZjU0OWMiLCJ1c2VySWQiOiI4NDI4Nzc5NjMifQ==</vt:lpwstr>
  </property>
</Properties>
</file>