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44"/>
          <w:szCs w:val="44"/>
          <w:highlight w:val="none"/>
          <w:lang w:eastAsia="zh-CN"/>
        </w:rPr>
      </w:pPr>
      <w:bookmarkStart w:id="0" w:name="_Hlk54622811"/>
      <w:r>
        <w:rPr>
          <w:rFonts w:hint="eastAsia"/>
          <w:b/>
          <w:sz w:val="44"/>
          <w:szCs w:val="44"/>
          <w:highlight w:val="none"/>
          <w:lang w:eastAsia="zh-CN"/>
        </w:rPr>
        <w:t>真空滤油机</w:t>
      </w:r>
    </w:p>
    <w:bookmarkEnd w:id="0"/>
    <w:p>
      <w:pPr>
        <w:keepLines w:val="0"/>
        <w:pageBreakBefore w:val="0"/>
        <w:kinsoku/>
        <w:wordWrap/>
        <w:bidi w:val="0"/>
        <w:spacing w:line="500" w:lineRule="exact"/>
        <w:ind w:left="0" w:leftChars="0"/>
        <w:jc w:val="center"/>
        <w:rPr>
          <w:b/>
          <w:sz w:val="44"/>
          <w:szCs w:val="44"/>
          <w:highlight w:val="none"/>
        </w:rPr>
      </w:pPr>
      <w:r>
        <w:rPr>
          <w:rFonts w:hint="eastAsia"/>
          <w:b/>
          <w:sz w:val="44"/>
          <w:szCs w:val="44"/>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pPr>
          <w:bookmarkStart w:id="40" w:name="_GoBack"/>
          <w:bookmarkEnd w:id="40"/>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_Toc28210 </w:instrText>
          </w:r>
          <w:r>
            <w:rPr>
              <w:rFonts w:hint="eastAsia" w:ascii="宋体" w:hAnsi="宋体" w:eastAsia="宋体" w:cs="宋体"/>
              <w:szCs w:val="28"/>
              <w:highlight w:val="none"/>
            </w:rPr>
            <w:fldChar w:fldCharType="separate"/>
          </w:r>
          <w:r>
            <w:rPr>
              <w:rFonts w:hint="eastAsia"/>
              <w:highlight w:val="none"/>
            </w:rPr>
            <w:t>1 总则</w:t>
          </w:r>
          <w:r>
            <w:tab/>
          </w:r>
          <w:r>
            <w:fldChar w:fldCharType="begin"/>
          </w:r>
          <w:r>
            <w:instrText xml:space="preserve"> PAGEREF _Toc28210 \h </w:instrText>
          </w:r>
          <w:r>
            <w:fldChar w:fldCharType="separate"/>
          </w:r>
          <w:r>
            <w:t>1</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_Toc9869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tab/>
          </w:r>
          <w:r>
            <w:fldChar w:fldCharType="begin"/>
          </w:r>
          <w:r>
            <w:instrText xml:space="preserve"> PAGEREF _Toc9869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_Toc15127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tab/>
          </w:r>
          <w:r>
            <w:fldChar w:fldCharType="begin"/>
          </w:r>
          <w:r>
            <w:instrText xml:space="preserve"> PAGEREF _Toc15127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_Toc8792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tab/>
          </w:r>
          <w:r>
            <w:fldChar w:fldCharType="begin"/>
          </w:r>
          <w:r>
            <w:instrText xml:space="preserve"> PAGEREF _Toc8792 \h </w:instrText>
          </w:r>
          <w:r>
            <w:fldChar w:fldCharType="separate"/>
          </w:r>
          <w:r>
            <w:t>3</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_Toc9453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tab/>
          </w:r>
          <w:r>
            <w:fldChar w:fldCharType="begin"/>
          </w:r>
          <w:r>
            <w:instrText xml:space="preserve"> PAGEREF _Toc9453 \h </w:instrText>
          </w:r>
          <w:r>
            <w:fldChar w:fldCharType="separate"/>
          </w:r>
          <w:r>
            <w:t>5</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_Toc16210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tab/>
          </w:r>
          <w:r>
            <w:fldChar w:fldCharType="begin"/>
          </w:r>
          <w:r>
            <w:instrText xml:space="preserve"> PAGEREF _Toc16210 \h </w:instrText>
          </w:r>
          <w:r>
            <w:fldChar w:fldCharType="separate"/>
          </w:r>
          <w:r>
            <w:t>6</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_Toc26660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tab/>
          </w:r>
          <w:r>
            <w:fldChar w:fldCharType="begin"/>
          </w:r>
          <w:r>
            <w:instrText xml:space="preserve"> PAGEREF _Toc26660 \h </w:instrText>
          </w:r>
          <w:r>
            <w:fldChar w:fldCharType="separate"/>
          </w:r>
          <w:r>
            <w:t>6</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_Toc10843 </w:instrText>
          </w:r>
          <w:r>
            <w:rPr>
              <w:rFonts w:hint="eastAsia" w:ascii="宋体" w:hAnsi="宋体" w:eastAsia="宋体" w:cs="宋体"/>
              <w:szCs w:val="28"/>
              <w:highlight w:val="none"/>
            </w:rPr>
            <w:fldChar w:fldCharType="separate"/>
          </w:r>
          <w:r>
            <w:rPr>
              <w:rFonts w:hint="eastAsia"/>
            </w:rPr>
            <w:t xml:space="preserve">8. </w:t>
          </w:r>
          <w:r>
            <w:rPr>
              <w:rFonts w:hint="eastAsia"/>
              <w:highlight w:val="none"/>
            </w:rPr>
            <w:t>供货范围清单</w:t>
          </w:r>
          <w:r>
            <w:tab/>
          </w:r>
          <w:r>
            <w:fldChar w:fldCharType="begin"/>
          </w:r>
          <w:r>
            <w:instrText xml:space="preserve"> PAGEREF _Toc10843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_Toc32673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tab/>
          </w:r>
          <w:r>
            <w:fldChar w:fldCharType="begin"/>
          </w:r>
          <w:r>
            <w:instrText xml:space="preserve"> PAGEREF _Toc32673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_Toc30265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tab/>
          </w:r>
          <w:r>
            <w:fldChar w:fldCharType="begin"/>
          </w:r>
          <w:r>
            <w:instrText xml:space="preserve"> PAGEREF _Toc30265 \h </w:instrText>
          </w:r>
          <w:r>
            <w:fldChar w:fldCharType="separate"/>
          </w:r>
          <w:r>
            <w:t>8</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_Toc4261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tab/>
          </w:r>
          <w:r>
            <w:fldChar w:fldCharType="begin"/>
          </w:r>
          <w:r>
            <w:instrText xml:space="preserve"> PAGEREF _Toc4261 \h </w:instrText>
          </w:r>
          <w:r>
            <w:fldChar w:fldCharType="separate"/>
          </w:r>
          <w:r>
            <w:t>9</w:t>
          </w:r>
          <w: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7"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p>
      <w:pPr>
        <w:pStyle w:val="2"/>
        <w:bidi w:val="0"/>
        <w:rPr>
          <w:rFonts w:hint="eastAsia"/>
          <w:highlight w:val="none"/>
        </w:rPr>
      </w:pPr>
      <w:bookmarkStart w:id="1" w:name="_Toc28210"/>
      <w:r>
        <w:rPr>
          <w:rFonts w:hint="eastAsia"/>
          <w:highlight w:val="none"/>
        </w:rPr>
        <w:t xml:space="preserve">1 </w:t>
      </w:r>
      <w:bookmarkStart w:id="2" w:name="_Toc305941518"/>
      <w:bookmarkStart w:id="3" w:name="_Toc397006837"/>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真空滤油机</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3"/>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97006838"/>
      <w:bookmarkStart w:id="6" w:name="_Toc305941519"/>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292221729"/>
      <w:bookmarkStart w:id="10" w:name="_Toc305941225"/>
      <w:bookmarkStart w:id="11" w:name="_Toc290652071"/>
      <w:bookmarkStart w:id="12" w:name="_Toc291768528"/>
    </w:p>
    <w:bookmarkEnd w:id="8"/>
    <w:bookmarkEnd w:id="9"/>
    <w:bookmarkEnd w:id="10"/>
    <w:bookmarkEnd w:id="11"/>
    <w:bookmarkEnd w:id="12"/>
    <w:p>
      <w:pPr>
        <w:pStyle w:val="2"/>
        <w:bidi w:val="0"/>
        <w:rPr>
          <w:highlight w:val="none"/>
        </w:rPr>
      </w:pPr>
      <w:bookmarkStart w:id="13" w:name="_Toc305941228"/>
      <w:bookmarkStart w:id="14" w:name="_Toc397006842"/>
      <w:bookmarkStart w:id="15" w:name="_Toc305941520"/>
      <w:bookmarkStart w:id="16" w:name="_Toc9869"/>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1"/>
        <w:keepLines w:val="0"/>
        <w:pageBreakBefore w:val="0"/>
        <w:kinsoku/>
        <w:wordWrap/>
        <w:bidi w:val="0"/>
        <w:spacing w:line="500" w:lineRule="exact"/>
        <w:ind w:left="0" w:leftChars="0" w:firstLine="720" w:firstLineChars="300"/>
        <w:rPr>
          <w:rFonts w:hint="eastAsia" w:ascii="宋体" w:hAnsi="宋体"/>
          <w:color w:val="auto"/>
          <w:szCs w:val="24"/>
          <w:highlight w:val="none"/>
          <w:lang w:eastAsia="zh-CN"/>
        </w:rPr>
      </w:pPr>
      <w:r>
        <w:rPr>
          <w:rFonts w:hint="eastAsia" w:ascii="宋体" w:hAnsi="宋体"/>
          <w:color w:val="auto"/>
          <w:szCs w:val="24"/>
          <w:highlight w:val="none"/>
          <w:lang w:eastAsia="zh-CN"/>
        </w:rPr>
        <w:t>除本规范书特殊规定外, 投标人所提供的仪器均按规定的标准和规程的最新版本进行销售、设计、制造、试验和安装。如果这些标准内容有矛盾时, 应按最高标准的条款执行或按双方商定的标准执行。如果投标人选用规范书规定以外的标准时, 则需提交这种替换标准供审查和分析。仅在投标人已证明替换标准相当或优于规范书规定的标准, 并从买方处获得书面的认可才能使用。提交供审查的标准应为中文或英文版本。主要引用标准（未注明年号的应采用最新版本）如下：</w:t>
      </w:r>
    </w:p>
    <w:p>
      <w:pPr>
        <w:pStyle w:val="21"/>
        <w:keepLines w:val="0"/>
        <w:pageBreakBefore w:val="0"/>
        <w:kinsoku/>
        <w:wordWrap/>
        <w:bidi w:val="0"/>
        <w:spacing w:line="500" w:lineRule="exact"/>
        <w:ind w:left="0" w:leftChars="0" w:firstLine="720" w:firstLineChars="300"/>
        <w:rPr>
          <w:rFonts w:hint="eastAsia" w:ascii="宋体" w:hAnsi="宋体"/>
          <w:color w:val="auto"/>
          <w:szCs w:val="24"/>
          <w:highlight w:val="none"/>
          <w:lang w:eastAsia="zh-CN"/>
        </w:rPr>
      </w:pPr>
      <w:r>
        <w:rPr>
          <w:rFonts w:hint="eastAsia" w:ascii="宋体" w:hAnsi="宋体"/>
          <w:color w:val="auto"/>
          <w:szCs w:val="24"/>
          <w:highlight w:val="none"/>
          <w:lang w:eastAsia="zh-CN"/>
        </w:rPr>
        <w:t>真空滤油机：</w:t>
      </w:r>
    </w:p>
    <w:p>
      <w:pPr>
        <w:pStyle w:val="21"/>
        <w:keepLines w:val="0"/>
        <w:pageBreakBefore w:val="0"/>
        <w:kinsoku/>
        <w:wordWrap/>
        <w:bidi w:val="0"/>
        <w:spacing w:line="500" w:lineRule="exact"/>
        <w:ind w:left="0" w:leftChars="0" w:firstLine="720" w:firstLineChars="300"/>
        <w:rPr>
          <w:rFonts w:hint="eastAsia" w:ascii="宋体" w:hAnsi="宋体"/>
          <w:color w:val="auto"/>
          <w:szCs w:val="24"/>
          <w:highlight w:val="none"/>
          <w:lang w:eastAsia="zh-CN"/>
        </w:rPr>
      </w:pPr>
      <w:bookmarkStart w:id="17" w:name="_Toc397006843"/>
      <w:bookmarkStart w:id="18" w:name="_Toc305941229"/>
      <w:bookmarkStart w:id="19" w:name="_Toc279769035"/>
      <w:bookmarkStart w:id="20" w:name="_Toc305941521"/>
      <w:r>
        <w:rPr>
          <w:rFonts w:hint="eastAsia" w:ascii="宋体" w:hAnsi="宋体"/>
          <w:color w:val="auto"/>
          <w:szCs w:val="24"/>
          <w:highlight w:val="none"/>
          <w:lang w:eastAsia="zh-CN"/>
        </w:rPr>
        <w:t>DL/T 521</w:t>
      </w:r>
      <w:r>
        <w:rPr>
          <w:rFonts w:hint="eastAsia" w:ascii="宋体" w:hAnsi="宋体"/>
          <w:color w:val="auto"/>
          <w:szCs w:val="24"/>
          <w:highlight w:val="none"/>
          <w:lang w:eastAsia="zh-CN"/>
        </w:rPr>
        <w:noBreakHyphen/>
      </w:r>
      <w:r>
        <w:rPr>
          <w:rFonts w:hint="eastAsia" w:ascii="宋体" w:hAnsi="宋体"/>
          <w:color w:val="auto"/>
          <w:szCs w:val="24"/>
          <w:highlight w:val="none"/>
          <w:lang w:eastAsia="zh-CN"/>
        </w:rPr>
        <w:t>2018《真空净油机验收及使用维护导则》</w:t>
      </w:r>
    </w:p>
    <w:p>
      <w:pPr>
        <w:pStyle w:val="21"/>
        <w:keepLines w:val="0"/>
        <w:pageBreakBefore w:val="0"/>
        <w:kinsoku/>
        <w:wordWrap/>
        <w:bidi w:val="0"/>
        <w:spacing w:line="500" w:lineRule="exact"/>
        <w:ind w:left="0" w:leftChars="0" w:firstLine="720" w:firstLineChars="300"/>
        <w:rPr>
          <w:rFonts w:hint="eastAsia" w:ascii="宋体" w:hAnsi="宋体"/>
          <w:color w:val="auto"/>
          <w:szCs w:val="24"/>
          <w:highlight w:val="none"/>
          <w:lang w:eastAsia="zh-CN"/>
        </w:rPr>
      </w:pPr>
      <w:r>
        <w:rPr>
          <w:rFonts w:hint="eastAsia" w:ascii="宋体" w:hAnsi="宋体"/>
          <w:color w:val="auto"/>
          <w:szCs w:val="24"/>
          <w:highlight w:val="none"/>
          <w:lang w:eastAsia="zh-CN"/>
        </w:rPr>
        <w:t>GB 50148</w:t>
      </w:r>
      <w:r>
        <w:rPr>
          <w:rFonts w:hint="eastAsia" w:ascii="宋体" w:hAnsi="宋体"/>
          <w:color w:val="auto"/>
          <w:szCs w:val="24"/>
          <w:highlight w:val="none"/>
          <w:lang w:eastAsia="zh-CN"/>
        </w:rPr>
        <w:noBreakHyphen/>
      </w:r>
      <w:r>
        <w:rPr>
          <w:rFonts w:hint="eastAsia" w:ascii="宋体" w:hAnsi="宋体"/>
          <w:color w:val="auto"/>
          <w:szCs w:val="24"/>
          <w:highlight w:val="none"/>
          <w:lang w:eastAsia="zh-CN"/>
        </w:rPr>
        <w:t>2010《电气装置安装工程 电力变压器、油浸电抗器、互感器施工及验收规范》</w:t>
      </w:r>
    </w:p>
    <w:p>
      <w:pPr>
        <w:pStyle w:val="21"/>
        <w:keepLines w:val="0"/>
        <w:pageBreakBefore w:val="0"/>
        <w:kinsoku/>
        <w:wordWrap/>
        <w:bidi w:val="0"/>
        <w:spacing w:line="500" w:lineRule="exact"/>
        <w:ind w:left="0" w:leftChars="0" w:firstLine="720" w:firstLineChars="300"/>
        <w:rPr>
          <w:rFonts w:hint="eastAsia" w:ascii="宋体" w:hAnsi="宋体"/>
          <w:color w:val="auto"/>
          <w:szCs w:val="24"/>
          <w:highlight w:val="none"/>
          <w:lang w:val="en-US" w:eastAsia="zh-CN"/>
        </w:rPr>
      </w:pPr>
      <w:r>
        <w:rPr>
          <w:rFonts w:hint="eastAsia" w:ascii="宋体" w:hAnsi="宋体"/>
          <w:color w:val="auto"/>
          <w:szCs w:val="24"/>
          <w:highlight w:val="none"/>
          <w:lang w:eastAsia="zh-CN"/>
        </w:rPr>
        <w:t>JB/T 5285</w:t>
      </w:r>
      <w:r>
        <w:rPr>
          <w:rFonts w:hint="eastAsia" w:ascii="宋体" w:hAnsi="宋体"/>
          <w:color w:val="auto"/>
          <w:szCs w:val="24"/>
          <w:highlight w:val="none"/>
          <w:lang w:eastAsia="zh-CN"/>
        </w:rPr>
        <w:noBreakHyphen/>
      </w:r>
      <w:r>
        <w:rPr>
          <w:rFonts w:hint="eastAsia" w:ascii="宋体" w:hAnsi="宋体"/>
          <w:color w:val="auto"/>
          <w:szCs w:val="24"/>
          <w:highlight w:val="none"/>
          <w:lang w:eastAsia="zh-CN"/>
        </w:rPr>
        <w:t>2025《真空净油机》</w:t>
      </w:r>
    </w:p>
    <w:p>
      <w:pPr>
        <w:pStyle w:val="2"/>
        <w:bidi w:val="0"/>
        <w:rPr>
          <w:highlight w:val="none"/>
        </w:rPr>
      </w:pPr>
      <w:bookmarkStart w:id="21" w:name="_Toc15127"/>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真空滤油机</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keepNext w:val="0"/>
        <w:keepLines w:val="0"/>
        <w:pageBreakBefore w:val="0"/>
        <w:widowControl/>
        <w:kinsoku/>
        <w:wordWrap/>
        <w:overflowPunct/>
        <w:topLinePunct/>
        <w:autoSpaceDE/>
        <w:autoSpaceDN/>
        <w:bidi w:val="0"/>
        <w:adjustRightInd/>
        <w:snapToGrid w:val="0"/>
        <w:spacing w:line="480" w:lineRule="exact"/>
        <w:ind w:left="0" w:firstLine="480" w:firstLineChars="200"/>
        <w:textAlignment w:val="auto"/>
        <w:rPr>
          <w:rFonts w:hint="eastAsia" w:eastAsia="仿宋_GB2312"/>
          <w:sz w:val="24"/>
          <w:szCs w:val="24"/>
          <w:highlight w:val="none"/>
          <w:lang w:eastAsia="zh-CN"/>
        </w:rPr>
      </w:pPr>
      <w:bookmarkStart w:id="30" w:name="_Toc397006845"/>
      <w:r>
        <w:rPr>
          <w:rFonts w:hint="eastAsia"/>
          <w:sz w:val="24"/>
          <w:szCs w:val="24"/>
          <w:highlight w:val="none"/>
        </w:rPr>
        <w:t>环境温度：-25℃～＋40℃</w:t>
      </w:r>
      <w:r>
        <w:rPr>
          <w:rFonts w:hint="eastAsia"/>
          <w:sz w:val="24"/>
          <w:szCs w:val="24"/>
          <w:highlight w:val="none"/>
          <w:lang w:eastAsia="zh-CN"/>
        </w:rPr>
        <w:t>。</w:t>
      </w:r>
    </w:p>
    <w:p>
      <w:pPr>
        <w:keepNext w:val="0"/>
        <w:keepLines w:val="0"/>
        <w:pageBreakBefore w:val="0"/>
        <w:widowControl/>
        <w:kinsoku/>
        <w:wordWrap/>
        <w:overflowPunct/>
        <w:topLinePunct/>
        <w:autoSpaceDE/>
        <w:autoSpaceDN/>
        <w:bidi w:val="0"/>
        <w:adjustRightInd/>
        <w:snapToGrid w:val="0"/>
        <w:spacing w:line="480" w:lineRule="exact"/>
        <w:ind w:left="0" w:firstLine="480" w:firstLineChars="200"/>
        <w:textAlignment w:val="auto"/>
        <w:rPr>
          <w:rFonts w:hint="eastAsia" w:eastAsia="仿宋_GB2312"/>
          <w:sz w:val="24"/>
          <w:szCs w:val="24"/>
          <w:highlight w:val="none"/>
          <w:lang w:eastAsia="zh-CN"/>
        </w:rPr>
      </w:pPr>
      <w:r>
        <w:rPr>
          <w:rFonts w:hint="eastAsia"/>
          <w:sz w:val="24"/>
          <w:szCs w:val="24"/>
          <w:highlight w:val="none"/>
        </w:rPr>
        <w:t>海拔：≤3000m</w:t>
      </w:r>
      <w:r>
        <w:rPr>
          <w:rFonts w:hint="eastAsia"/>
          <w:sz w:val="24"/>
          <w:szCs w:val="24"/>
          <w:highlight w:val="none"/>
          <w:lang w:eastAsia="zh-CN"/>
        </w:rPr>
        <w:t>。</w:t>
      </w:r>
    </w:p>
    <w:p>
      <w:pPr>
        <w:keepNext w:val="0"/>
        <w:keepLines w:val="0"/>
        <w:pageBreakBefore w:val="0"/>
        <w:widowControl/>
        <w:kinsoku/>
        <w:wordWrap/>
        <w:overflowPunct/>
        <w:topLinePunct/>
        <w:autoSpaceDE/>
        <w:autoSpaceDN/>
        <w:bidi w:val="0"/>
        <w:adjustRightInd/>
        <w:snapToGrid w:val="0"/>
        <w:spacing w:line="480" w:lineRule="exact"/>
        <w:ind w:left="0" w:firstLine="480" w:firstLineChars="200"/>
        <w:textAlignment w:val="auto"/>
        <w:rPr>
          <w:rFonts w:hint="eastAsia" w:eastAsia="仿宋_GB2312"/>
          <w:sz w:val="24"/>
          <w:szCs w:val="24"/>
          <w:highlight w:val="none"/>
          <w:lang w:eastAsia="zh-CN"/>
        </w:rPr>
      </w:pPr>
      <w:r>
        <w:rPr>
          <w:rFonts w:hint="eastAsia"/>
          <w:sz w:val="24"/>
          <w:szCs w:val="24"/>
          <w:highlight w:val="none"/>
        </w:rPr>
        <w:t>工作电源：</w:t>
      </w:r>
      <w:r>
        <w:rPr>
          <w:rFonts w:hint="eastAsia"/>
          <w:sz w:val="24"/>
          <w:szCs w:val="24"/>
          <w:highlight w:val="none"/>
          <w:lang w:val="en-US" w:eastAsia="zh-CN"/>
        </w:rPr>
        <w:t>工作电源</w:t>
      </w:r>
      <w:r>
        <w:rPr>
          <w:rFonts w:hint="eastAsia"/>
          <w:sz w:val="24"/>
          <w:szCs w:val="24"/>
          <w:highlight w:val="none"/>
        </w:rPr>
        <w:t>50HZ 380V 三相四线制</w:t>
      </w:r>
      <w:r>
        <w:rPr>
          <w:rFonts w:hint="eastAsia"/>
          <w:sz w:val="24"/>
          <w:szCs w:val="24"/>
          <w:highlight w:val="none"/>
          <w:lang w:eastAsia="zh-CN"/>
        </w:rPr>
        <w:t>。</w:t>
      </w:r>
    </w:p>
    <w:p>
      <w:pPr>
        <w:keepNext w:val="0"/>
        <w:keepLines w:val="0"/>
        <w:pageBreakBefore w:val="0"/>
        <w:widowControl/>
        <w:kinsoku/>
        <w:wordWrap/>
        <w:overflowPunct/>
        <w:topLinePunct/>
        <w:autoSpaceDE/>
        <w:autoSpaceDN/>
        <w:bidi w:val="0"/>
        <w:adjustRightInd/>
        <w:snapToGrid w:val="0"/>
        <w:spacing w:line="480" w:lineRule="exact"/>
        <w:ind w:left="0" w:firstLine="480" w:firstLineChars="200"/>
        <w:textAlignment w:val="auto"/>
        <w:rPr>
          <w:rFonts w:hint="eastAsia" w:eastAsia="仿宋_GB2312"/>
          <w:sz w:val="24"/>
          <w:szCs w:val="24"/>
          <w:highlight w:val="none"/>
          <w:lang w:eastAsia="zh-CN"/>
        </w:rPr>
      </w:pPr>
      <w:r>
        <w:rPr>
          <w:rFonts w:hint="eastAsia"/>
          <w:sz w:val="24"/>
          <w:szCs w:val="24"/>
          <w:highlight w:val="none"/>
        </w:rPr>
        <w:t>环境适应能力：仪器在用户所在地区及环境条件下，能够可靠稳定运行，且</w:t>
      </w:r>
      <w:r>
        <w:rPr>
          <w:rFonts w:hint="eastAsia"/>
          <w:sz w:val="24"/>
          <w:szCs w:val="24"/>
          <w:highlight w:val="none"/>
          <w:lang w:val="en-US" w:eastAsia="zh-CN"/>
        </w:rPr>
        <w:t>测试</w:t>
      </w:r>
      <w:r>
        <w:rPr>
          <w:rFonts w:hint="eastAsia"/>
          <w:sz w:val="24"/>
          <w:szCs w:val="24"/>
          <w:highlight w:val="none"/>
        </w:rPr>
        <w:t>结果不受影响</w:t>
      </w:r>
      <w:r>
        <w:rPr>
          <w:rFonts w:hint="eastAsia"/>
          <w:sz w:val="24"/>
          <w:szCs w:val="24"/>
          <w:highlight w:val="none"/>
          <w:lang w:eastAsia="zh-CN"/>
        </w:rPr>
        <w:t>。</w:t>
      </w:r>
    </w:p>
    <w:p>
      <w:pPr>
        <w:keepNext w:val="0"/>
        <w:keepLines w:val="0"/>
        <w:pageBreakBefore w:val="0"/>
        <w:widowControl/>
        <w:kinsoku/>
        <w:wordWrap/>
        <w:overflowPunct/>
        <w:topLinePunct/>
        <w:autoSpaceDE/>
        <w:autoSpaceDN/>
        <w:bidi w:val="0"/>
        <w:adjustRightInd/>
        <w:snapToGrid w:val="0"/>
        <w:spacing w:line="480" w:lineRule="exact"/>
        <w:ind w:left="0" w:firstLine="480" w:firstLineChars="200"/>
        <w:textAlignment w:val="auto"/>
        <w:rPr>
          <w:rFonts w:hint="eastAsia" w:eastAsia="仿宋_GB2312"/>
          <w:sz w:val="24"/>
          <w:szCs w:val="24"/>
          <w:highlight w:val="none"/>
          <w:lang w:val="en-US" w:eastAsia="zh-CN"/>
        </w:rPr>
      </w:pPr>
      <w:r>
        <w:rPr>
          <w:rFonts w:hint="eastAsia"/>
          <w:sz w:val="24"/>
          <w:szCs w:val="24"/>
          <w:highlight w:val="none"/>
        </w:rPr>
        <w:t>使用地点：户外</w:t>
      </w:r>
      <w:r>
        <w:rPr>
          <w:rFonts w:hint="eastAsia"/>
          <w:sz w:val="24"/>
          <w:szCs w:val="24"/>
          <w:highlight w:val="none"/>
          <w:lang w:eastAsia="zh-CN"/>
        </w:rPr>
        <w:t>。</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8792"/>
      <w:r>
        <w:rPr>
          <w:rFonts w:hint="eastAsia"/>
          <w:highlight w:val="none"/>
          <w:lang w:val="en-US" w:eastAsia="zh-CN"/>
        </w:rPr>
        <w:t>4</w:t>
      </w:r>
      <w:r>
        <w:rPr>
          <w:rFonts w:hint="eastAsia"/>
          <w:highlight w:val="none"/>
        </w:rPr>
        <w:t>.技术要求</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highlight w:val="none"/>
        </w:rPr>
      </w:pPr>
      <w:r>
        <w:rPr>
          <w:rFonts w:hint="eastAsia"/>
          <w:highlight w:val="none"/>
          <w:lang w:val="en-US" w:eastAsia="zh-CN"/>
        </w:rPr>
        <w:t>4</w:t>
      </w:r>
      <w:r>
        <w:rPr>
          <w:rFonts w:hint="eastAsia"/>
          <w:highlight w:val="none"/>
        </w:rPr>
        <w:t>.1</w:t>
      </w:r>
      <w:r>
        <w:rPr>
          <w:rFonts w:hint="eastAsia"/>
          <w:highlight w:val="none"/>
          <w:lang w:eastAsia="zh-CN"/>
        </w:rPr>
        <w:t>真空滤油机</w:t>
      </w:r>
      <w:r>
        <w:rPr>
          <w:rFonts w:hint="eastAsia"/>
          <w:color w:val="auto"/>
          <w:highlight w:val="none"/>
          <w:shd w:val="clear" w:color="auto" w:fill="FFFFFF"/>
        </w:rPr>
        <w:t>功能</w:t>
      </w:r>
      <w:r>
        <w:rPr>
          <w:rFonts w:hint="eastAsia"/>
          <w:highlight w:val="none"/>
        </w:rPr>
        <w:t>要求</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（1）</w:t>
      </w:r>
      <w:r>
        <w:rPr>
          <w:rFonts w:hint="eastAsia" w:hAnsi="Times New Roman" w:cs="Times New Roman"/>
          <w:b/>
          <w:bCs/>
          <w:sz w:val="24"/>
          <w:szCs w:val="24"/>
          <w:highlight w:val="none"/>
          <w:lang w:val="en-US" w:eastAsia="zh-CN"/>
        </w:rPr>
        <w:t>过滤精度高，滤除杂质能力强：</w:t>
      </w:r>
      <w:r>
        <w:rPr>
          <w:rFonts w:hint="eastAsia" w:hAnsi="Times New Roman" w:cs="Times New Roman"/>
          <w:sz w:val="24"/>
          <w:szCs w:val="24"/>
          <w:highlight w:val="none"/>
          <w:lang w:val="en-US" w:eastAsia="zh-CN"/>
        </w:rPr>
        <w:t>采用双制式除杂方式，可保障油的清洁度达到 NSA4 级。过滤效率</w:t>
      </w:r>
      <w:r>
        <w:rPr>
          <w:rFonts w:hint="default" w:hAnsi="Times New Roman" w:cs="Times New Roman"/>
          <w:sz w:val="24"/>
          <w:szCs w:val="24"/>
          <w:highlight w:val="none"/>
          <w:lang w:val="en-US" w:eastAsia="zh-CN"/>
        </w:rPr>
        <w:t xml:space="preserve">β </w:t>
      </w:r>
      <w:r>
        <w:rPr>
          <w:rFonts w:hint="eastAsia" w:hAnsi="Times New Roman" w:cs="Times New Roman"/>
          <w:sz w:val="24"/>
          <w:szCs w:val="24"/>
          <w:highlight w:val="none"/>
          <w:lang w:val="en-US" w:eastAsia="zh-CN"/>
        </w:rPr>
        <w:t xml:space="preserve">x≥1000，采用高精度过滤系统，过滤精度能满足≤1微米。 </w:t>
      </w:r>
    </w:p>
    <w:p>
      <w:pPr>
        <w:keepNext w:val="0"/>
        <w:keepLines w:val="0"/>
        <w:pageBreakBefore w:val="0"/>
        <w:widowControl/>
        <w:kinsoku/>
        <w:wordWrap/>
        <w:overflowPunct/>
        <w:topLinePunct/>
        <w:autoSpaceDE/>
        <w:autoSpaceDN/>
        <w:bidi w:val="0"/>
        <w:adjustRightInd/>
        <w:snapToGrid w:val="0"/>
        <w:spacing w:line="480" w:lineRule="exact"/>
        <w:ind w:left="0" w:leftChars="0" w:firstLine="482" w:firstLineChars="200"/>
        <w:textAlignment w:val="auto"/>
        <w:rPr>
          <w:rFonts w:hint="eastAsia" w:hAnsi="Times New Roman" w:cs="Times New Roman"/>
          <w:sz w:val="24"/>
          <w:szCs w:val="24"/>
          <w:highlight w:val="none"/>
          <w:lang w:val="en-US" w:eastAsia="zh-CN"/>
        </w:rPr>
      </w:pPr>
      <w:r>
        <w:rPr>
          <w:rFonts w:hint="eastAsia" w:hAnsi="Times New Roman" w:cs="Times New Roman"/>
          <w:b/>
          <w:bCs/>
          <w:sz w:val="24"/>
          <w:szCs w:val="24"/>
          <w:highlight w:val="none"/>
          <w:lang w:val="en-US" w:eastAsia="zh-CN"/>
        </w:rPr>
        <w:t>（2）稳定的电气系统：</w:t>
      </w:r>
      <w:r>
        <w:rPr>
          <w:rFonts w:hint="eastAsia" w:hAnsi="Times New Roman" w:cs="Times New Roman"/>
          <w:sz w:val="24"/>
          <w:szCs w:val="24"/>
          <w:highlight w:val="none"/>
          <w:lang w:val="en-US" w:eastAsia="zh-CN"/>
        </w:rPr>
        <w:t>满足三位一体的自动联锁保持功能，保障了设备起动平稳，保证设备正常 运行时确保油泵不抽空、电机不空负载运行，在出现任何异常情况时均能自动警示，从而达到对主设备的自动可靠保护。</w:t>
      </w:r>
    </w:p>
    <w:p>
      <w:pPr>
        <w:keepNext w:val="0"/>
        <w:keepLines w:val="0"/>
        <w:pageBreakBefore w:val="0"/>
        <w:widowControl/>
        <w:kinsoku/>
        <w:wordWrap/>
        <w:overflowPunct/>
        <w:topLinePunct/>
        <w:autoSpaceDE/>
        <w:autoSpaceDN/>
        <w:bidi w:val="0"/>
        <w:adjustRightInd/>
        <w:snapToGrid w:val="0"/>
        <w:spacing w:line="480" w:lineRule="exact"/>
        <w:ind w:left="0" w:leftChars="0" w:firstLine="482" w:firstLineChars="200"/>
        <w:textAlignment w:val="auto"/>
        <w:rPr>
          <w:rFonts w:hint="eastAsia" w:hAnsi="Times New Roman" w:cs="Times New Roman"/>
          <w:b w:val="0"/>
          <w:bCs w:val="0"/>
          <w:sz w:val="24"/>
          <w:szCs w:val="24"/>
          <w:highlight w:val="none"/>
          <w:lang w:val="en-US" w:eastAsia="zh-CN"/>
        </w:rPr>
      </w:pPr>
      <w:r>
        <w:rPr>
          <w:rFonts w:hint="eastAsia" w:hAnsi="Times New Roman" w:cs="Times New Roman"/>
          <w:b/>
          <w:bCs/>
          <w:sz w:val="24"/>
          <w:szCs w:val="24"/>
          <w:highlight w:val="none"/>
          <w:lang w:val="en-US" w:eastAsia="zh-CN"/>
        </w:rPr>
        <w:t>（3）加热系统：</w:t>
      </w:r>
      <w:r>
        <w:rPr>
          <w:rFonts w:hint="eastAsia" w:hAnsi="Times New Roman" w:cs="Times New Roman"/>
          <w:b w:val="0"/>
          <w:bCs w:val="0"/>
          <w:sz w:val="24"/>
          <w:szCs w:val="24"/>
          <w:highlight w:val="none"/>
          <w:lang w:val="en-US" w:eastAsia="zh-CN"/>
        </w:rPr>
        <w:t>可实现自动和手动两套相互独立的加热系统，确保油液不产生高温劣化，较长系统使用寿命。在初始阶段，设备升温快速，可有效地缩短了过滤时间。加热单位负荷控制在沿加热管外表面负荷不超过1.1W/cm2，彻底解决普通传导加热方式引起的局部过热，使油质老化、裂解，产生有害气体绝。由于加热器热效率高，加热管道特殊设计，使油在加热管道中有较长的停留时间并保证无油流死点，使油从进口到出口一次温升达到30℃。</w:t>
      </w:r>
    </w:p>
    <w:p>
      <w:pPr>
        <w:keepNext w:val="0"/>
        <w:keepLines w:val="0"/>
        <w:pageBreakBefore w:val="0"/>
        <w:widowControl/>
        <w:kinsoku/>
        <w:wordWrap/>
        <w:overflowPunct/>
        <w:topLinePunct/>
        <w:autoSpaceDE/>
        <w:autoSpaceDN/>
        <w:bidi w:val="0"/>
        <w:adjustRightInd/>
        <w:snapToGrid w:val="0"/>
        <w:spacing w:line="480" w:lineRule="exact"/>
        <w:ind w:left="0" w:leftChars="0" w:firstLine="442" w:firstLineChars="200"/>
        <w:textAlignment w:val="auto"/>
        <w:rPr>
          <w:rFonts w:hint="eastAsia" w:ascii="宋体" w:hAnsi="宋体" w:cs="Times New Roman"/>
          <w:color w:val="000000"/>
          <w:sz w:val="22"/>
          <w:szCs w:val="22"/>
          <w:lang w:val="en-US" w:eastAsia="zh-CN"/>
        </w:rPr>
      </w:pPr>
      <w:r>
        <w:rPr>
          <w:rFonts w:hint="eastAsia" w:ascii="宋体" w:hAnsi="宋体"/>
          <w:b/>
          <w:color w:val="000000"/>
          <w:sz w:val="22"/>
          <w:szCs w:val="22"/>
          <w:lang w:eastAsia="zh-CN"/>
        </w:rPr>
        <w:t>（</w:t>
      </w:r>
      <w:r>
        <w:rPr>
          <w:rFonts w:hint="eastAsia" w:ascii="宋体" w:hAnsi="宋体"/>
          <w:b/>
          <w:color w:val="000000"/>
          <w:sz w:val="22"/>
          <w:szCs w:val="22"/>
          <w:lang w:val="en-US" w:eastAsia="zh-CN"/>
        </w:rPr>
        <w:t>4</w:t>
      </w:r>
      <w:r>
        <w:rPr>
          <w:rFonts w:hint="eastAsia" w:ascii="宋体" w:hAnsi="宋体"/>
          <w:b/>
          <w:color w:val="000000"/>
          <w:sz w:val="22"/>
          <w:szCs w:val="22"/>
          <w:lang w:eastAsia="zh-CN"/>
        </w:rPr>
        <w:t>）</w:t>
      </w:r>
      <w:r>
        <w:rPr>
          <w:rFonts w:hint="eastAsia" w:ascii="宋体" w:hAnsi="宋体"/>
          <w:b/>
          <w:color w:val="000000"/>
          <w:sz w:val="22"/>
          <w:szCs w:val="22"/>
        </w:rPr>
        <w:t>防喷油技术：</w:t>
      </w:r>
      <w:r>
        <w:rPr>
          <w:rFonts w:hint="eastAsia" w:hAnsi="Times New Roman" w:cs="Times New Roman"/>
          <w:b w:val="0"/>
          <w:bCs w:val="0"/>
          <w:sz w:val="24"/>
          <w:szCs w:val="24"/>
          <w:highlight w:val="none"/>
          <w:lang w:val="en-US" w:eastAsia="zh-CN"/>
        </w:rPr>
        <w:t>采用先进的三段式全扫描光电液（泡沫）位控制技术，即正常液位、低液位和高液位。通过光电液位控制系统对油品进行正常液位调节，低液位和高液位只是正常液位的补充，起保险作用。保证油液有泡沫也可进行液位的准确控制，在液位超高或超低时，设备能实现自动报警、安全停机。绝无喷油现象发生。</w:t>
      </w:r>
    </w:p>
    <w:p>
      <w:pPr>
        <w:keepNext w:val="0"/>
        <w:keepLines w:val="0"/>
        <w:pageBreakBefore w:val="0"/>
        <w:widowControl/>
        <w:kinsoku/>
        <w:wordWrap/>
        <w:overflowPunct/>
        <w:topLinePunct/>
        <w:autoSpaceDE/>
        <w:autoSpaceDN/>
        <w:bidi w:val="0"/>
        <w:adjustRightInd/>
        <w:snapToGrid w:val="0"/>
        <w:spacing w:line="480" w:lineRule="exact"/>
        <w:ind w:left="0" w:leftChars="0" w:firstLine="482" w:firstLineChars="200"/>
        <w:textAlignment w:val="auto"/>
        <w:rPr>
          <w:rFonts w:hint="eastAsia" w:hAnsi="Times New Roman" w:cs="Times New Roman"/>
          <w:b/>
          <w:bCs/>
          <w:sz w:val="24"/>
          <w:szCs w:val="24"/>
          <w:highlight w:val="none"/>
          <w:lang w:val="en-US" w:eastAsia="zh-CN"/>
        </w:rPr>
      </w:pPr>
      <w:r>
        <w:rPr>
          <w:rFonts w:hint="eastAsia" w:hAnsi="Times New Roman" w:cs="Times New Roman"/>
          <w:b/>
          <w:bCs/>
          <w:sz w:val="24"/>
          <w:szCs w:val="24"/>
          <w:highlight w:val="none"/>
          <w:lang w:val="en-US" w:eastAsia="zh-CN"/>
        </w:rPr>
        <w:t>（5）油水分离系统</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1.极限真空高，可达到2Pa。</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2.采用多级真空控制区：采用不同的真空区域，分别对不同结构的水分子、不同存在形式的气体进行脱气脱水，使油中的溶解水、游离水在各自的区域内得到彻底的分离雾化，使氢气、乙炔等微量气体在不同条件下得到充分挥发。</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3.采用多点喷射雾化装置，激光制作的喷淋装置，喷淋油雾均匀，雾化面积广，油、水、气得到最彻底的分离效果。</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sz w:val="24"/>
          <w:szCs w:val="24"/>
          <w:highlight w:val="none"/>
          <w:lang w:eastAsia="zh-CN"/>
        </w:rPr>
      </w:pPr>
      <w:r>
        <w:rPr>
          <w:rFonts w:hint="eastAsia" w:hAnsi="Times New Roman" w:cs="Times New Roman"/>
          <w:sz w:val="24"/>
          <w:szCs w:val="24"/>
          <w:highlight w:val="none"/>
          <w:lang w:val="en-US" w:eastAsia="zh-CN"/>
        </w:rPr>
        <w:t>（6）</w:t>
      </w:r>
      <w:r>
        <w:rPr>
          <w:rFonts w:hint="eastAsia"/>
          <w:sz w:val="24"/>
          <w:szCs w:val="24"/>
          <w:highlight w:val="none"/>
        </w:rPr>
        <w:t>同时具有离心分离、分子过滤、凝聚脱水、压力过滤、真空深度干燥等组合结构，稳定</w:t>
      </w:r>
      <w:r>
        <w:rPr>
          <w:rFonts w:hint="eastAsia"/>
          <w:sz w:val="24"/>
          <w:szCs w:val="24"/>
          <w:highlight w:val="none"/>
          <w:lang w:val="en-US" w:eastAsia="zh-CN"/>
        </w:rPr>
        <w:t>的</w:t>
      </w:r>
      <w:r>
        <w:rPr>
          <w:rFonts w:hint="eastAsia"/>
          <w:sz w:val="24"/>
          <w:szCs w:val="24"/>
          <w:highlight w:val="none"/>
        </w:rPr>
        <w:t>性能。</w:t>
      </w:r>
    </w:p>
    <w:p>
      <w:pPr>
        <w:keepNext w:val="0"/>
        <w:keepLines w:val="0"/>
        <w:pageBreakBefore w:val="0"/>
        <w:widowControl/>
        <w:kinsoku/>
        <w:wordWrap/>
        <w:overflowPunct/>
        <w:topLinePunct/>
        <w:autoSpaceDE/>
        <w:autoSpaceDN/>
        <w:bidi w:val="0"/>
        <w:adjustRightInd/>
        <w:snapToGrid w:val="0"/>
        <w:spacing w:line="480" w:lineRule="exact"/>
        <w:ind w:left="0" w:leftChars="0" w:firstLine="482" w:firstLineChars="200"/>
        <w:textAlignment w:val="auto"/>
        <w:rPr>
          <w:rFonts w:hint="eastAsia" w:hAnsi="Times New Roman" w:cs="Times New Roman"/>
          <w:b/>
          <w:bCs/>
          <w:sz w:val="24"/>
          <w:szCs w:val="24"/>
          <w:highlight w:val="none"/>
          <w:lang w:val="en-US" w:eastAsia="zh-CN"/>
        </w:rPr>
      </w:pPr>
      <w:r>
        <w:rPr>
          <w:rFonts w:hint="eastAsia" w:hAnsi="Times New Roman" w:cs="Times New Roman"/>
          <w:b/>
          <w:bCs/>
          <w:sz w:val="24"/>
          <w:szCs w:val="24"/>
          <w:highlight w:val="none"/>
          <w:lang w:eastAsia="zh-CN"/>
        </w:rPr>
        <w:t>（</w:t>
      </w:r>
      <w:r>
        <w:rPr>
          <w:rFonts w:hint="eastAsia" w:hAnsi="Times New Roman" w:cs="Times New Roman"/>
          <w:b/>
          <w:bCs/>
          <w:sz w:val="24"/>
          <w:szCs w:val="24"/>
          <w:highlight w:val="none"/>
          <w:lang w:val="en-US" w:eastAsia="zh-CN"/>
        </w:rPr>
        <w:t>7</w:t>
      </w:r>
      <w:r>
        <w:rPr>
          <w:rFonts w:hint="eastAsia" w:hAnsi="Times New Roman" w:cs="Times New Roman"/>
          <w:b/>
          <w:bCs/>
          <w:sz w:val="24"/>
          <w:szCs w:val="24"/>
          <w:highlight w:val="none"/>
          <w:lang w:eastAsia="zh-CN"/>
        </w:rPr>
        <w:t>）</w:t>
      </w:r>
      <w:r>
        <w:rPr>
          <w:rFonts w:hint="eastAsia" w:hAnsi="Times New Roman" w:cs="Times New Roman"/>
          <w:b/>
          <w:bCs/>
          <w:sz w:val="24"/>
          <w:szCs w:val="24"/>
          <w:highlight w:val="none"/>
          <w:lang w:val="en-US" w:eastAsia="zh-CN"/>
        </w:rPr>
        <w:t>能满足</w:t>
      </w:r>
      <w:r>
        <w:rPr>
          <w:rFonts w:hint="eastAsia" w:hAnsi="Times New Roman" w:cs="Times New Roman"/>
          <w:b/>
          <w:bCs/>
          <w:sz w:val="24"/>
          <w:szCs w:val="24"/>
          <w:highlight w:val="none"/>
        </w:rPr>
        <w:t>对一些小容积的容器</w:t>
      </w:r>
      <w:r>
        <w:rPr>
          <w:rFonts w:hint="eastAsia" w:hAnsi="Times New Roman" w:cs="Times New Roman"/>
          <w:b/>
          <w:bCs/>
          <w:sz w:val="24"/>
          <w:szCs w:val="24"/>
          <w:highlight w:val="none"/>
          <w:lang w:val="en-US" w:eastAsia="zh-CN"/>
        </w:rPr>
        <w:t>进行</w:t>
      </w:r>
      <w:r>
        <w:rPr>
          <w:rFonts w:hint="eastAsia" w:hAnsi="Times New Roman" w:cs="Times New Roman"/>
          <w:b/>
          <w:bCs/>
          <w:sz w:val="24"/>
          <w:szCs w:val="24"/>
          <w:highlight w:val="none"/>
        </w:rPr>
        <w:t>抽真空干燥</w:t>
      </w:r>
      <w:r>
        <w:rPr>
          <w:rFonts w:hint="eastAsia" w:hAnsi="Times New Roman" w:cs="Times New Roman"/>
          <w:b/>
          <w:bCs/>
          <w:sz w:val="24"/>
          <w:szCs w:val="24"/>
          <w:highlight w:val="none"/>
          <w:lang w:eastAsia="zh-CN"/>
        </w:rPr>
        <w:t>，</w:t>
      </w:r>
      <w:r>
        <w:rPr>
          <w:rFonts w:hint="eastAsia" w:hAnsi="Times New Roman" w:cs="Times New Roman"/>
          <w:b/>
          <w:bCs/>
          <w:sz w:val="24"/>
          <w:szCs w:val="24"/>
          <w:highlight w:val="none"/>
        </w:rPr>
        <w:t>不滤油时可对变压器抽真空。功能相当于真空抽气机组。</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sz w:val="24"/>
          <w:szCs w:val="24"/>
          <w:highlight w:val="none"/>
        </w:rPr>
      </w:pPr>
      <w:r>
        <w:rPr>
          <w:rFonts w:hint="eastAsia" w:hAnsi="Times New Roman" w:cs="Times New Roman"/>
          <w:sz w:val="24"/>
          <w:szCs w:val="24"/>
          <w:highlight w:val="none"/>
          <w:lang w:eastAsia="zh-CN"/>
        </w:rPr>
        <w:t>（</w:t>
      </w:r>
      <w:r>
        <w:rPr>
          <w:rFonts w:hint="eastAsia" w:hAnsi="Times New Roman" w:cs="Times New Roman"/>
          <w:sz w:val="24"/>
          <w:szCs w:val="24"/>
          <w:highlight w:val="none"/>
          <w:lang w:val="en-US" w:eastAsia="zh-CN"/>
        </w:rPr>
        <w:t>8</w:t>
      </w:r>
      <w:r>
        <w:rPr>
          <w:rFonts w:hint="eastAsia" w:hAnsi="Times New Roman" w:cs="Times New Roman"/>
          <w:sz w:val="24"/>
          <w:szCs w:val="24"/>
          <w:highlight w:val="none"/>
          <w:lang w:eastAsia="zh-CN"/>
        </w:rPr>
        <w:t>）</w:t>
      </w:r>
      <w:r>
        <w:rPr>
          <w:rFonts w:hint="eastAsia" w:hAnsi="Times New Roman" w:cs="Times New Roman"/>
          <w:sz w:val="24"/>
          <w:szCs w:val="24"/>
          <w:highlight w:val="none"/>
        </w:rPr>
        <w:t>具有压力过载保护，自动防干烧，自动消沫，以及独特的</w:t>
      </w:r>
      <w:r>
        <w:rPr>
          <w:rFonts w:hint="eastAsia"/>
          <w:sz w:val="24"/>
          <w:szCs w:val="24"/>
          <w:highlight w:val="none"/>
        </w:rPr>
        <w:t xml:space="preserve">红外线液位自动控制装置（优于光电自动控制装置），自动调节进出油的平衡，达到人机分离，使操作更方便、可靠。 </w:t>
      </w:r>
    </w:p>
    <w:p>
      <w:pPr>
        <w:keepNext w:val="0"/>
        <w:keepLines w:val="0"/>
        <w:pageBreakBefore w:val="0"/>
        <w:widowControl/>
        <w:kinsoku/>
        <w:wordWrap/>
        <w:overflowPunct/>
        <w:topLinePunct/>
        <w:autoSpaceDE/>
        <w:autoSpaceDN/>
        <w:bidi w:val="0"/>
        <w:adjustRightInd/>
        <w:snapToGrid w:val="0"/>
        <w:spacing w:line="480" w:lineRule="exact"/>
        <w:ind w:left="0" w:leftChars="0" w:firstLine="480" w:firstLineChars="200"/>
        <w:textAlignment w:val="auto"/>
        <w:rPr>
          <w:rFonts w:hint="eastAsia" w:hAnsi="Times New Roman" w:cs="Times New Roman"/>
          <w:sz w:val="24"/>
          <w:szCs w:val="24"/>
          <w:highlight w:val="none"/>
        </w:rPr>
      </w:pPr>
      <w:r>
        <w:rPr>
          <w:rFonts w:hint="eastAsia" w:hAnsi="Times New Roman" w:cs="Times New Roman"/>
          <w:sz w:val="24"/>
          <w:szCs w:val="24"/>
          <w:highlight w:val="none"/>
          <w:lang w:eastAsia="zh-CN"/>
        </w:rPr>
        <w:t>（</w:t>
      </w:r>
      <w:r>
        <w:rPr>
          <w:rFonts w:hint="eastAsia" w:hAnsi="Times New Roman" w:cs="Times New Roman"/>
          <w:sz w:val="24"/>
          <w:szCs w:val="24"/>
          <w:highlight w:val="none"/>
          <w:lang w:val="en-US" w:eastAsia="zh-CN"/>
        </w:rPr>
        <w:t>9</w:t>
      </w:r>
      <w:r>
        <w:rPr>
          <w:rFonts w:hint="eastAsia" w:hAnsi="Times New Roman" w:cs="Times New Roman"/>
          <w:sz w:val="24"/>
          <w:szCs w:val="24"/>
          <w:highlight w:val="none"/>
          <w:lang w:eastAsia="zh-CN"/>
        </w:rPr>
        <w:t>）</w:t>
      </w:r>
      <w:r>
        <w:rPr>
          <w:rFonts w:hint="eastAsia" w:hAnsi="Times New Roman" w:cs="Times New Roman"/>
          <w:sz w:val="24"/>
          <w:szCs w:val="24"/>
          <w:highlight w:val="none"/>
        </w:rPr>
        <w:t>介质冷凝</w:t>
      </w:r>
      <w:r>
        <w:rPr>
          <w:rFonts w:hint="eastAsia" w:hAnsi="Times New Roman" w:cs="Times New Roman"/>
          <w:sz w:val="24"/>
          <w:szCs w:val="24"/>
          <w:highlight w:val="none"/>
          <w:lang w:val="en-US" w:eastAsia="zh-CN"/>
        </w:rPr>
        <w:t>功能</w:t>
      </w:r>
      <w:r>
        <w:rPr>
          <w:rFonts w:hint="eastAsia" w:hAnsi="Times New Roman" w:cs="Times New Roman"/>
          <w:sz w:val="24"/>
          <w:szCs w:val="24"/>
          <w:highlight w:val="none"/>
        </w:rPr>
        <w:t>：</w:t>
      </w:r>
      <w:r>
        <w:rPr>
          <w:rFonts w:hint="eastAsia" w:hAnsi="Times New Roman" w:cs="Times New Roman"/>
          <w:sz w:val="24"/>
          <w:szCs w:val="24"/>
          <w:highlight w:val="none"/>
          <w:lang w:val="en-US" w:eastAsia="zh-CN"/>
        </w:rPr>
        <w:t>可实现</w:t>
      </w:r>
      <w:r>
        <w:rPr>
          <w:rFonts w:hint="eastAsia" w:hAnsi="Times New Roman" w:cs="Times New Roman"/>
          <w:sz w:val="24"/>
          <w:szCs w:val="24"/>
          <w:highlight w:val="none"/>
        </w:rPr>
        <w:t>迅速冷却水蒸气，使其凝积成水，避免风冷却或水冷却所带来的弊端，保护真空泵免受二次污染。因无需水冷却，使用方便，冬季运行安全。</w:t>
      </w:r>
    </w:p>
    <w:p>
      <w:pPr>
        <w:keepNext w:val="0"/>
        <w:keepLines w:val="0"/>
        <w:pageBreakBefore w:val="0"/>
        <w:widowControl/>
        <w:kinsoku/>
        <w:wordWrap/>
        <w:overflowPunct/>
        <w:topLinePunct/>
        <w:autoSpaceDE/>
        <w:autoSpaceDN/>
        <w:bidi w:val="0"/>
        <w:adjustRightInd/>
        <w:snapToGrid w:val="0"/>
        <w:spacing w:line="480" w:lineRule="exact"/>
        <w:ind w:left="0" w:leftChars="0" w:firstLine="482" w:firstLineChars="200"/>
        <w:textAlignment w:val="auto"/>
        <w:rPr>
          <w:rFonts w:asciiTheme="minorEastAsia" w:hAnsiTheme="minorEastAsia" w:eastAsiaTheme="minorEastAsia"/>
          <w:color w:val="auto"/>
          <w:highlight w:val="none"/>
        </w:rPr>
      </w:pPr>
      <w:r>
        <w:rPr>
          <w:rFonts w:hint="eastAsia" w:hAnsi="Times New Roman" w:cs="Times New Roman"/>
          <w:b/>
          <w:bCs/>
          <w:sz w:val="24"/>
          <w:szCs w:val="24"/>
          <w:highlight w:val="none"/>
          <w:lang w:eastAsia="zh-CN"/>
        </w:rPr>
        <w:t>（</w:t>
      </w:r>
      <w:r>
        <w:rPr>
          <w:rFonts w:hint="eastAsia" w:hAnsi="Times New Roman" w:cs="Times New Roman"/>
          <w:b/>
          <w:bCs/>
          <w:sz w:val="24"/>
          <w:szCs w:val="24"/>
          <w:highlight w:val="none"/>
          <w:lang w:val="en-US" w:eastAsia="zh-CN"/>
        </w:rPr>
        <w:t>10</w:t>
      </w:r>
      <w:r>
        <w:rPr>
          <w:rFonts w:hint="eastAsia" w:hAnsi="Times New Roman" w:cs="Times New Roman"/>
          <w:b/>
          <w:bCs/>
          <w:sz w:val="24"/>
          <w:szCs w:val="24"/>
          <w:highlight w:val="none"/>
          <w:lang w:eastAsia="zh-CN"/>
        </w:rPr>
        <w:t>）</w:t>
      </w:r>
      <w:r>
        <w:rPr>
          <w:rFonts w:hint="eastAsia" w:hAnsi="Times New Roman" w:cs="Times New Roman"/>
          <w:b/>
          <w:bCs/>
          <w:sz w:val="24"/>
          <w:szCs w:val="24"/>
          <w:highlight w:val="none"/>
          <w:lang w:val="en-US" w:eastAsia="zh-CN"/>
        </w:rPr>
        <w:t>全</w:t>
      </w:r>
      <w:r>
        <w:rPr>
          <w:rFonts w:hint="eastAsia" w:hAnsi="Times New Roman" w:cs="Times New Roman"/>
          <w:b/>
          <w:bCs/>
          <w:sz w:val="24"/>
          <w:szCs w:val="24"/>
          <w:highlight w:val="none"/>
        </w:rPr>
        <w:t>封闭门</w:t>
      </w:r>
      <w:r>
        <w:rPr>
          <w:rFonts w:hint="eastAsia" w:hAnsi="Times New Roman" w:cs="Times New Roman"/>
          <w:b/>
          <w:bCs/>
          <w:sz w:val="24"/>
          <w:szCs w:val="24"/>
          <w:highlight w:val="none"/>
          <w:lang w:val="en-US" w:eastAsia="zh-CN"/>
        </w:rPr>
        <w:t>功能</w:t>
      </w:r>
      <w:r>
        <w:rPr>
          <w:rFonts w:hint="eastAsia" w:hAnsi="Times New Roman" w:cs="Times New Roman"/>
          <w:b/>
          <w:bCs/>
          <w:sz w:val="24"/>
          <w:szCs w:val="24"/>
          <w:highlight w:val="none"/>
        </w:rPr>
        <w:t>：</w:t>
      </w:r>
      <w:r>
        <w:rPr>
          <w:rFonts w:hint="eastAsia" w:hAnsi="Times New Roman" w:cs="Times New Roman"/>
          <w:b/>
          <w:bCs/>
          <w:sz w:val="24"/>
          <w:szCs w:val="24"/>
          <w:highlight w:val="none"/>
          <w:lang w:val="en-US" w:eastAsia="zh-CN"/>
        </w:rPr>
        <w:t>设备</w:t>
      </w:r>
      <w:r>
        <w:rPr>
          <w:rFonts w:hint="eastAsia" w:hAnsi="Times New Roman" w:cs="Times New Roman"/>
          <w:b/>
          <w:bCs/>
          <w:sz w:val="24"/>
          <w:szCs w:val="24"/>
          <w:highlight w:val="none"/>
        </w:rPr>
        <w:t>整体</w:t>
      </w:r>
      <w:r>
        <w:rPr>
          <w:rFonts w:hint="eastAsia" w:hAnsi="Times New Roman" w:cs="Times New Roman"/>
          <w:b/>
          <w:bCs/>
          <w:sz w:val="24"/>
          <w:szCs w:val="24"/>
          <w:highlight w:val="none"/>
          <w:lang w:val="en-US" w:eastAsia="zh-CN"/>
        </w:rPr>
        <w:t>为</w:t>
      </w:r>
      <w:r>
        <w:rPr>
          <w:rFonts w:hint="eastAsia" w:hAnsi="Times New Roman" w:cs="Times New Roman"/>
          <w:b/>
          <w:bCs/>
          <w:sz w:val="24"/>
          <w:szCs w:val="24"/>
          <w:highlight w:val="none"/>
        </w:rPr>
        <w:t>封闭式，要求紧凑、轻便，可现场可移动使用。有金属材料的封闭门，防雨防尘，能适应室外工作。</w:t>
      </w:r>
    </w:p>
    <w:p>
      <w:pPr>
        <w:keepLines w:val="0"/>
        <w:pageBreakBefore w:val="0"/>
        <w:kinsoku/>
        <w:wordWrap/>
        <w:bidi w:val="0"/>
        <w:spacing w:line="500" w:lineRule="exact"/>
        <w:ind w:left="410"/>
        <w:rPr>
          <w:rFonts w:hint="eastAsia" w:asciiTheme="minorEastAsia" w:hAnsiTheme="minorEastAsia" w:eastAsiaTheme="minorEastAsia"/>
          <w:highlight w:val="none"/>
          <w:lang w:val="en-US" w:eastAsia="zh-CN"/>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真空滤油机</w:t>
      </w:r>
      <w:r>
        <w:rPr>
          <w:rFonts w:hint="eastAsia"/>
          <w:color w:val="auto"/>
          <w:highlight w:val="none"/>
          <w:shd w:val="clear" w:color="auto" w:fill="FFFFFF"/>
        </w:rPr>
        <w:t>技术指标</w:t>
      </w:r>
    </w:p>
    <w:p>
      <w:pPr>
        <w:keepLines w:val="0"/>
        <w:pageBreakBefore w:val="0"/>
        <w:kinsoku/>
        <w:wordWrap/>
        <w:bidi w:val="0"/>
        <w:spacing w:line="500" w:lineRule="exact"/>
        <w:ind w:left="410"/>
        <w:rPr>
          <w:rFonts w:hint="eastAsia"/>
          <w:color w:val="auto"/>
          <w:highlight w:val="none"/>
          <w:shd w:val="clear" w:color="auto" w:fill="FFFFFF"/>
        </w:rPr>
      </w:pPr>
    </w:p>
    <w:tbl>
      <w:tblPr>
        <w:tblStyle w:val="14"/>
        <w:tblW w:w="9399" w:type="dxa"/>
        <w:jc w:val="cente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12"/>
        <w:gridCol w:w="6476"/>
        <w:gridCol w:w="1811"/>
      </w:tblGrid>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12" w:type="dxa"/>
            <w:tcBorders>
              <w:top w:val="single" w:color="auto" w:sz="4" w:space="0"/>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类别</w:t>
            </w:r>
          </w:p>
        </w:tc>
        <w:tc>
          <w:tcPr>
            <w:tcW w:w="6476" w:type="dxa"/>
            <w:tcBorders>
              <w:top w:val="single" w:color="auto" w:sz="4" w:space="0"/>
              <w:righ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采购人要求</w:t>
            </w:r>
          </w:p>
        </w:tc>
        <w:tc>
          <w:tcPr>
            <w:tcW w:w="1811" w:type="dxa"/>
            <w:tcBorders>
              <w:top w:val="single" w:color="auto" w:sz="4" w:space="0"/>
              <w:righ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89" w:hRule="exact"/>
          <w:jc w:val="center"/>
        </w:trPr>
        <w:tc>
          <w:tcPr>
            <w:tcW w:w="1112" w:type="dxa"/>
            <w:tcBorders>
              <w:lef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产品型号规格</w:t>
            </w:r>
          </w:p>
        </w:tc>
        <w:tc>
          <w:tcPr>
            <w:tcW w:w="6476"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w:t>
            </w: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961" w:hRule="exact"/>
          <w:jc w:val="center"/>
        </w:trPr>
        <w:tc>
          <w:tcPr>
            <w:tcW w:w="1112" w:type="dxa"/>
            <w:vMerge w:val="restart"/>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基本性能参数</w:t>
            </w:r>
          </w:p>
        </w:tc>
        <w:tc>
          <w:tcPr>
            <w:tcW w:w="6476"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1.公称流量：12000 L/H（变频可调）</w:t>
            </w:r>
          </w:p>
          <w:p>
            <w:pPr>
              <w:keepNext w:val="0"/>
              <w:keepLines w:val="0"/>
              <w:pageBreakBefore w:val="0"/>
              <w:widowControl/>
              <w:numPr>
                <w:ilvl w:val="0"/>
                <w:numId w:val="0"/>
              </w:numPr>
              <w:kinsoku/>
              <w:wordWrap/>
              <w:overflowPunct/>
              <w:topLinePunct/>
              <w:autoSpaceDE/>
              <w:autoSpaceDN/>
              <w:bidi w:val="0"/>
              <w:adjustRightInd/>
              <w:snapToGrid w:val="0"/>
              <w:spacing w:line="40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2.工作压力≤0.5Mpa；</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3.整机噪声：≤75dB（按 GB10891 检测）；</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4.总功率：120KW</w:t>
            </w:r>
            <w:r>
              <w:rPr>
                <w:rFonts w:hint="eastAsia" w:ascii="宋体" w:hAnsi="宋体" w:eastAsia="宋体" w:cs="宋体"/>
                <w:kern w:val="2"/>
                <w:sz w:val="24"/>
                <w:szCs w:val="24"/>
                <w:highlight w:val="none"/>
                <w:lang w:val="en-US" w:eastAsia="zh-CN" w:bidi="ar-SA"/>
              </w:rPr>
              <w:t>。</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5.设备重量：3T</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715" w:hRule="exact"/>
          <w:jc w:val="center"/>
        </w:trPr>
        <w:tc>
          <w:tcPr>
            <w:tcW w:w="1112" w:type="dxa"/>
            <w:vMerge w:val="continue"/>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both"/>
              <w:textAlignment w:val="auto"/>
              <w:rPr>
                <w:rFonts w:hint="eastAsia" w:ascii="宋体" w:hAnsi="宋体" w:eastAsia="宋体" w:cs="宋体"/>
                <w:kern w:val="2"/>
                <w:sz w:val="24"/>
                <w:szCs w:val="24"/>
                <w:highlight w:val="none"/>
                <w:lang w:val="en-US" w:eastAsia="zh-CN" w:bidi="ar-SA"/>
              </w:rPr>
            </w:pPr>
          </w:p>
        </w:tc>
        <w:tc>
          <w:tcPr>
            <w:tcW w:w="6476" w:type="dxa"/>
            <w:tcBorders>
              <w:right w:val="single" w:color="auto" w:sz="4" w:space="0"/>
            </w:tcBorders>
            <w:noWrap w:val="0"/>
            <w:vAlign w:val="center"/>
          </w:tcPr>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1.滤油进出口管径：DN50；</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2无故障工作时间：≥7000H；</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3连续工作时间：≥120H；</w:t>
            </w:r>
          </w:p>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4.加热功率：120KW（分为多组控制)</w:t>
            </w:r>
            <w:r>
              <w:rPr>
                <w:rFonts w:hint="eastAsia" w:ascii="宋体" w:hAnsi="宋体" w:eastAsia="宋体" w:cs="宋体"/>
                <w:kern w:val="2"/>
                <w:sz w:val="24"/>
                <w:szCs w:val="24"/>
                <w:highlight w:val="none"/>
                <w:lang w:val="en-US" w:eastAsia="zh-CN" w:bidi="ar-SA"/>
              </w:rPr>
              <w:t>。</w:t>
            </w: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2475" w:hRule="exact"/>
          <w:jc w:val="center"/>
        </w:trPr>
        <w:tc>
          <w:tcPr>
            <w:tcW w:w="1112" w:type="dxa"/>
            <w:vMerge w:val="restart"/>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抽真空参数</w:t>
            </w:r>
          </w:p>
        </w:tc>
        <w:tc>
          <w:tcPr>
            <w:tcW w:w="6476"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highlight w:val="none"/>
                <w:lang w:val="en-US" w:eastAsia="zh-CN" w:bidi="ar-SA"/>
              </w:rPr>
              <w:t>真空泵抽气速率：≥300m³/h；</w:t>
            </w:r>
          </w:p>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★2.罗茨泵抽气速率：≥2000m³/h；</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★3.工作真空度：≤50pa；</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★4.极限真空度：≤2Pa（在一个大气压）；</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5.在密封容器抽真空，在产品、管路、设备泄漏率良好的情况下可以抽到 2Pa。</w:t>
            </w: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2006" w:hRule="exact"/>
          <w:jc w:val="center"/>
        </w:trPr>
        <w:tc>
          <w:tcPr>
            <w:tcW w:w="1112" w:type="dxa"/>
            <w:vMerge w:val="continue"/>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jc w:val="center"/>
              <w:textAlignment w:val="auto"/>
              <w:rPr>
                <w:rFonts w:hint="eastAsia" w:ascii="宋体" w:hAnsi="宋体" w:eastAsia="宋体" w:cs="宋体"/>
                <w:kern w:val="2"/>
                <w:sz w:val="24"/>
                <w:szCs w:val="24"/>
                <w:highlight w:val="none"/>
                <w:lang w:val="en-US" w:eastAsia="zh-CN" w:bidi="ar-SA"/>
              </w:rPr>
            </w:pPr>
          </w:p>
        </w:tc>
        <w:tc>
          <w:tcPr>
            <w:tcW w:w="6476" w:type="dxa"/>
            <w:tcBorders>
              <w:right w:val="single" w:color="auto" w:sz="4" w:space="0"/>
            </w:tcBorders>
            <w:noWrap w:val="0"/>
            <w:vAlign w:val="center"/>
          </w:tcPr>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1.具有全自动控制和手动功能（使设备在滤油时有自动控制，而在抽真空时可手动控制）；</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2.控制系统电气设备：三次启动、停止，动作灵敏准确，安全可靠，符合国标规定；</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3.抽真空管径：DN50；</w:t>
            </w: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2524" w:hRule="exact"/>
          <w:jc w:val="center"/>
        </w:trPr>
        <w:tc>
          <w:tcPr>
            <w:tcW w:w="1112" w:type="dxa"/>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滤油参数</w:t>
            </w:r>
          </w:p>
        </w:tc>
        <w:tc>
          <w:tcPr>
            <w:tcW w:w="6476" w:type="dxa"/>
            <w:tcBorders>
              <w:right w:val="single" w:color="auto" w:sz="4" w:space="0"/>
            </w:tcBorders>
            <w:noWrap w:val="0"/>
            <w:vAlign w:val="center"/>
          </w:tcPr>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★1.微水含量：≤5PPm；</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★2.击穿电压：≥75KV；</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3.含气量：≤0.03%；</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★4.过滤精度：≤1µm；</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5.乙炔含量：无。</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★6.清洁度：≤NAS3级。</w:t>
            </w: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（供应商填写）</w:t>
            </w:r>
          </w:p>
        </w:tc>
      </w:tr>
      <w:tr>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4" w:hRule="exact"/>
          <w:jc w:val="center"/>
        </w:trPr>
        <w:tc>
          <w:tcPr>
            <w:tcW w:w="1112" w:type="dxa"/>
            <w:tcBorders>
              <w:left w:val="single" w:color="auto" w:sz="4" w:space="0"/>
            </w:tcBorders>
            <w:noWrap w:val="0"/>
            <w:vAlign w:val="center"/>
          </w:tcPr>
          <w:p>
            <w:pPr>
              <w:pStyle w:val="36"/>
              <w:keepNext w:val="0"/>
              <w:keepLines w:val="0"/>
              <w:pageBreakBefore w:val="0"/>
              <w:kinsoku w:val="0"/>
              <w:wordWrap/>
              <w:overflowPunct w:val="0"/>
              <w:autoSpaceDE/>
              <w:autoSpaceDN/>
              <w:bidi w:val="0"/>
              <w:adjustRightInd/>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配置参数</w:t>
            </w:r>
          </w:p>
        </w:tc>
        <w:tc>
          <w:tcPr>
            <w:tcW w:w="6476" w:type="dxa"/>
            <w:tcBorders>
              <w:right w:val="single" w:color="auto" w:sz="4" w:space="0"/>
            </w:tcBorders>
            <w:noWrap w:val="0"/>
            <w:vAlign w:val="center"/>
          </w:tcPr>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★1.真空泵：抽气速率≥300m3/h；</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★2.罗茨增压泵，速率≥2000m3 /h；</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★3.原装多级离心式进、出油泵，具备变频可调功能。</w:t>
            </w:r>
          </w:p>
          <w:p>
            <w:pPr>
              <w:keepNext w:val="0"/>
              <w:keepLines w:val="0"/>
              <w:pageBreakBefore w:val="0"/>
              <w:widowControl/>
              <w:kinsoku/>
              <w:wordWrap/>
              <w:overflowPunct/>
              <w:topLinePunct/>
              <w:autoSpaceDE/>
              <w:autoSpaceDN/>
              <w:bidi w:val="0"/>
              <w:adjustRightInd/>
              <w:snapToGrid w:val="0"/>
              <w:spacing w:line="400" w:lineRule="exact"/>
              <w:ind w:left="0" w:leftChars="0" w:firstLine="0" w:firstLineChars="0"/>
              <w:jc w:val="both"/>
              <w:textAlignment w:val="auto"/>
              <w:rPr>
                <w:rFonts w:hint="eastAsia" w:ascii="宋体" w:hAnsi="宋体" w:eastAsia="宋体" w:cs="宋体"/>
                <w:kern w:val="2"/>
                <w:sz w:val="24"/>
                <w:szCs w:val="24"/>
                <w:highlight w:val="none"/>
                <w:lang w:val="en-US" w:eastAsia="zh-CN" w:bidi="ar-SA"/>
              </w:rPr>
            </w:pPr>
          </w:p>
        </w:tc>
        <w:tc>
          <w:tcPr>
            <w:tcW w:w="1811" w:type="dxa"/>
            <w:tcBorders>
              <w:right w:val="single" w:color="auto" w:sz="4" w:space="0"/>
            </w:tcBorders>
            <w:noWrap w:val="0"/>
            <w:vAlign w:val="center"/>
          </w:tcPr>
          <w:p>
            <w:pPr>
              <w:keepNext w:val="0"/>
              <w:keepLines w:val="0"/>
              <w:pageBreakBefore w:val="0"/>
              <w:widowControl/>
              <w:numPr>
                <w:ilvl w:val="0"/>
                <w:numId w:val="0"/>
              </w:numPr>
              <w:kinsoku/>
              <w:wordWrap/>
              <w:overflowPunct/>
              <w:topLinePunct/>
              <w:autoSpaceDE/>
              <w:autoSpaceDN/>
              <w:bidi w:val="0"/>
              <w:adjustRightInd/>
              <w:snapToGrid w:val="0"/>
              <w:spacing w:line="4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（供应商填写）</w:t>
            </w:r>
          </w:p>
        </w:tc>
      </w:tr>
    </w:tbl>
    <w:p>
      <w:pPr>
        <w:pStyle w:val="2"/>
        <w:bidi w:val="0"/>
        <w:ind w:left="0" w:leftChars="0" w:firstLine="522" w:firstLineChars="200"/>
        <w:rPr>
          <w:rFonts w:cs="宋体"/>
          <w:spacing w:val="1"/>
          <w:highlight w:val="none"/>
        </w:rPr>
      </w:pPr>
      <w:bookmarkStart w:id="32" w:name="_Toc9453"/>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6210"/>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6660"/>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3"/>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w:t>
      </w:r>
    </w:p>
    <w:p>
      <w:pPr>
        <w:pStyle w:val="33"/>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1"/>
        </w:numPr>
        <w:bidi w:val="0"/>
        <w:rPr>
          <w:rFonts w:hint="eastAsia"/>
          <w:highlight w:val="none"/>
        </w:rPr>
      </w:pPr>
      <w:bookmarkStart w:id="35" w:name="_Toc10843"/>
      <w:r>
        <w:rPr>
          <w:rFonts w:hint="eastAsia"/>
          <w:highlight w:val="none"/>
        </w:rPr>
        <w:t>供货范围清单</w:t>
      </w:r>
      <w:bookmarkEnd w:id="35"/>
    </w:p>
    <w:tbl>
      <w:tblPr>
        <w:tblStyle w:val="14"/>
        <w:tblW w:w="9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1"/>
        <w:gridCol w:w="1656"/>
        <w:gridCol w:w="1757"/>
        <w:gridCol w:w="1775"/>
        <w:gridCol w:w="925"/>
        <w:gridCol w:w="875"/>
        <w:gridCol w:w="14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jc w:val="center"/>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序号</w:t>
            </w:r>
          </w:p>
        </w:tc>
        <w:tc>
          <w:tcPr>
            <w:tcW w:w="16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物资名称</w:t>
            </w:r>
          </w:p>
        </w:tc>
        <w:tc>
          <w:tcPr>
            <w:tcW w:w="35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规格型号</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数量</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单位</w:t>
            </w:r>
          </w:p>
        </w:tc>
        <w:tc>
          <w:tcPr>
            <w:tcW w:w="14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bCs w:val="0"/>
                <w:sz w:val="21"/>
                <w:szCs w:val="21"/>
                <w:highlight w:val="none"/>
                <w:lang w:val="en-US" w:eastAsia="zh-CN"/>
              </w:rPr>
            </w:pPr>
            <w:r>
              <w:rPr>
                <w:rFonts w:hint="eastAsia" w:ascii="Times New Roman" w:hAnsi="Times New Roman" w:cs="Times New Roman"/>
                <w:b/>
                <w:bCs/>
                <w:sz w:val="21"/>
                <w:szCs w:val="21"/>
                <w:highlight w:val="none"/>
                <w:lang w:val="en-US" w:eastAsia="zh-CN"/>
              </w:rPr>
              <w:t>供应商保证值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1</w:t>
            </w:r>
          </w:p>
        </w:tc>
        <w:tc>
          <w:tcPr>
            <w:tcW w:w="16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eastAsiaTheme="minorEastAsia"/>
                <w:highlight w:val="none"/>
                <w:lang w:eastAsia="zh-CN"/>
              </w:rPr>
              <w:t>真空滤油机</w:t>
            </w:r>
          </w:p>
        </w:tc>
        <w:tc>
          <w:tcPr>
            <w:tcW w:w="35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eastAsia="宋体"/>
                <w:b/>
                <w:bCs w:val="0"/>
                <w:sz w:val="21"/>
                <w:szCs w:val="21"/>
                <w:highlight w:val="none"/>
                <w:lang w:val="en-US" w:eastAsia="zh-CN"/>
              </w:rPr>
            </w:pPr>
            <w:r>
              <w:rPr>
                <w:rFonts w:hint="eastAsia" w:hAnsi="宋体"/>
                <w:b/>
                <w:bCs w:val="0"/>
                <w:sz w:val="21"/>
                <w:szCs w:val="21"/>
                <w:highlight w:val="none"/>
                <w:lang w:val="en-US" w:eastAsia="zh-CN"/>
              </w:rPr>
              <w:t>/</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1</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台</w:t>
            </w:r>
          </w:p>
        </w:tc>
        <w:tc>
          <w:tcPr>
            <w:tcW w:w="146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r>
              <w:rPr>
                <w:rFonts w:hint="eastAsia" w:ascii="Times New Roman" w:hAnsi="Times New Roman" w:cs="Times New Roman"/>
                <w:b/>
                <w:bCs/>
                <w:sz w:val="21"/>
                <w:szCs w:val="21"/>
                <w:highlight w:val="none"/>
                <w:lang w:val="en-US" w:eastAsia="zh-CN"/>
              </w:rPr>
              <w:t>（请供应商在技术响应文件中明确响应内容）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Cs/>
                <w:sz w:val="21"/>
                <w:szCs w:val="21"/>
                <w:highlight w:val="none"/>
                <w:lang w:val="en-US" w:eastAsia="zh-CN"/>
              </w:rPr>
            </w:pPr>
            <w:r>
              <w:rPr>
                <w:rFonts w:hint="eastAsia" w:hAnsi="宋体"/>
                <w:bCs/>
                <w:sz w:val="21"/>
                <w:szCs w:val="21"/>
                <w:highlight w:val="none"/>
                <w:lang w:val="en-US" w:eastAsia="zh-CN"/>
              </w:rPr>
              <w:t>2</w:t>
            </w:r>
          </w:p>
        </w:tc>
        <w:tc>
          <w:tcPr>
            <w:tcW w:w="16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eastAsiaTheme="minorEastAsia"/>
                <w:highlight w:val="none"/>
                <w:lang w:val="en-US" w:eastAsia="zh-CN"/>
              </w:rPr>
            </w:pPr>
            <w:r>
              <w:rPr>
                <w:rFonts w:hint="eastAsia" w:eastAsiaTheme="minorEastAsia"/>
                <w:highlight w:val="none"/>
                <w:lang w:val="en-US" w:eastAsia="zh-CN"/>
              </w:rPr>
              <w:t>真空计</w:t>
            </w:r>
          </w:p>
        </w:tc>
        <w:tc>
          <w:tcPr>
            <w:tcW w:w="35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lang w:val="en-US" w:eastAsia="zh-CN"/>
              </w:rPr>
            </w:pPr>
            <w:r>
              <w:rPr>
                <w:rFonts w:hint="eastAsia" w:hAnsi="宋体"/>
                <w:b/>
                <w:bCs w:val="0"/>
                <w:sz w:val="21"/>
                <w:szCs w:val="21"/>
                <w:highlight w:val="none"/>
                <w:lang w:val="en-US" w:eastAsia="zh-CN"/>
              </w:rPr>
              <w:t>/</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bCs w:val="0"/>
                <w:sz w:val="21"/>
                <w:szCs w:val="21"/>
                <w:highlight w:val="none"/>
                <w:lang w:val="en-US" w:eastAsia="zh-CN"/>
              </w:rPr>
            </w:pPr>
            <w:r>
              <w:rPr>
                <w:rFonts w:hint="eastAsia" w:hAnsi="宋体"/>
                <w:b/>
                <w:bCs w:val="0"/>
                <w:sz w:val="21"/>
                <w:szCs w:val="21"/>
                <w:highlight w:val="none"/>
                <w:lang w:val="en-US" w:eastAsia="zh-CN"/>
              </w:rPr>
              <w:t>3</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bCs w:val="0"/>
                <w:sz w:val="21"/>
                <w:szCs w:val="21"/>
                <w:highlight w:val="none"/>
                <w:lang w:val="en-US" w:eastAsia="zh-CN"/>
              </w:rPr>
            </w:pPr>
            <w:r>
              <w:rPr>
                <w:rFonts w:hint="eastAsia" w:hAnsi="宋体"/>
                <w:b/>
                <w:bCs w:val="0"/>
                <w:sz w:val="21"/>
                <w:szCs w:val="21"/>
                <w:highlight w:val="none"/>
                <w:lang w:val="en-US" w:eastAsia="zh-CN"/>
              </w:rPr>
              <w:t>台</w:t>
            </w:r>
          </w:p>
        </w:tc>
        <w:tc>
          <w:tcPr>
            <w:tcW w:w="1462"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b/>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11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3</w:t>
            </w:r>
          </w:p>
        </w:tc>
        <w:tc>
          <w:tcPr>
            <w:tcW w:w="1656"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配件辅材</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真空泵油</w:t>
            </w:r>
          </w:p>
        </w:tc>
        <w:tc>
          <w:tcPr>
            <w:tcW w:w="17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原厂</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40</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升</w:t>
            </w:r>
          </w:p>
        </w:tc>
        <w:tc>
          <w:tcPr>
            <w:tcW w:w="1462"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1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r>
              <w:rPr>
                <w:rFonts w:hint="eastAsia" w:hAnsi="宋体"/>
                <w:bCs/>
                <w:sz w:val="21"/>
                <w:szCs w:val="21"/>
                <w:highlight w:val="none"/>
                <w:lang w:val="en-US" w:eastAsia="zh-CN"/>
              </w:rPr>
              <w:t>4</w:t>
            </w:r>
          </w:p>
        </w:tc>
        <w:tc>
          <w:tcPr>
            <w:tcW w:w="1656"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sz w:val="21"/>
                <w:szCs w:val="21"/>
                <w:highlight w:val="none"/>
              </w:rPr>
            </w:pPr>
            <w:r>
              <w:rPr>
                <w:rFonts w:hint="eastAsia" w:ascii="Times New Roman" w:hAnsi="Times New Roman" w:cs="Times New Roman"/>
                <w:b/>
                <w:bCs/>
                <w:sz w:val="21"/>
                <w:szCs w:val="21"/>
                <w:highlight w:val="none"/>
                <w:lang w:val="en-US" w:eastAsia="zh-CN"/>
              </w:rPr>
              <w:t>三相多股软铜电源</w:t>
            </w:r>
            <w:r>
              <w:rPr>
                <w:rFonts w:hint="eastAsia" w:ascii="Times New Roman" w:hAnsi="Times New Roman" w:cs="Times New Roman"/>
                <w:b/>
                <w:bCs/>
                <w:sz w:val="21"/>
                <w:szCs w:val="21"/>
                <w:highlight w:val="none"/>
              </w:rPr>
              <w:t>线</w:t>
            </w:r>
          </w:p>
        </w:tc>
        <w:tc>
          <w:tcPr>
            <w:tcW w:w="17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bCs/>
                <w:sz w:val="21"/>
                <w:szCs w:val="21"/>
                <w:highlight w:val="none"/>
                <w:lang w:val="en-US"/>
              </w:rPr>
            </w:pPr>
            <w:r>
              <w:rPr>
                <w:rFonts w:hint="eastAsia" w:ascii="Times New Roman" w:hAnsi="Times New Roman" w:cs="Times New Roman"/>
                <w:b/>
                <w:bCs/>
                <w:sz w:val="21"/>
                <w:szCs w:val="21"/>
                <w:highlight w:val="none"/>
                <w:lang w:val="en-US" w:eastAsia="zh-CN"/>
              </w:rPr>
              <w:t>25平方毫米</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sz w:val="21"/>
                <w:szCs w:val="21"/>
                <w:highlight w:val="none"/>
              </w:rPr>
            </w:pPr>
            <w:r>
              <w:rPr>
                <w:rFonts w:hint="eastAsia" w:ascii="Times New Roman" w:hAnsi="Times New Roman" w:cs="Times New Roman"/>
                <w:b/>
                <w:bCs/>
                <w:sz w:val="21"/>
                <w:szCs w:val="21"/>
                <w:highlight w:val="none"/>
                <w:lang w:val="en-US" w:eastAsia="zh-CN"/>
              </w:rPr>
              <w:t>80</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eastAsia="仿宋_GB2312"/>
                <w:b/>
                <w:bCs/>
                <w:sz w:val="21"/>
                <w:szCs w:val="21"/>
                <w:highlight w:val="none"/>
                <w:lang w:val="en-US" w:eastAsia="zh-CN"/>
              </w:rPr>
            </w:pPr>
            <w:r>
              <w:rPr>
                <w:rFonts w:hint="eastAsia" w:hAnsi="宋体"/>
                <w:b/>
                <w:bCs/>
                <w:sz w:val="21"/>
                <w:szCs w:val="21"/>
                <w:highlight w:val="none"/>
                <w:lang w:val="en-US" w:eastAsia="zh-CN"/>
              </w:rPr>
              <w:t>米</w:t>
            </w:r>
          </w:p>
        </w:tc>
        <w:tc>
          <w:tcPr>
            <w:tcW w:w="1462"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11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Cs/>
                <w:sz w:val="21"/>
                <w:szCs w:val="21"/>
                <w:highlight w:val="none"/>
                <w:lang w:val="en-US" w:eastAsia="zh-CN"/>
              </w:rPr>
            </w:pPr>
            <w:r>
              <w:rPr>
                <w:rFonts w:hint="eastAsia" w:hAnsi="宋体"/>
                <w:bCs/>
                <w:sz w:val="21"/>
                <w:szCs w:val="21"/>
                <w:highlight w:val="none"/>
                <w:lang w:val="en-US" w:eastAsia="zh-CN"/>
              </w:rPr>
              <w:t>5</w:t>
            </w:r>
          </w:p>
        </w:tc>
        <w:tc>
          <w:tcPr>
            <w:tcW w:w="1656"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r>
              <w:rPr>
                <w:rFonts w:hint="eastAsia" w:ascii="Times New Roman" w:hAnsi="Times New Roman" w:cs="Times New Roman"/>
                <w:sz w:val="21"/>
                <w:szCs w:val="21"/>
                <w:lang w:val="en-US" w:eastAsia="zh-CN"/>
              </w:rPr>
              <w:t>进出油</w:t>
            </w:r>
            <w:r>
              <w:rPr>
                <w:rFonts w:hint="eastAsia" w:ascii="Times New Roman" w:hAnsi="Times New Roman" w:cs="Times New Roman"/>
                <w:sz w:val="21"/>
                <w:szCs w:val="21"/>
              </w:rPr>
              <w:t>线、专用地线</w:t>
            </w:r>
          </w:p>
        </w:tc>
        <w:tc>
          <w:tcPr>
            <w:tcW w:w="17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r>
              <w:rPr>
                <w:rFonts w:hint="eastAsia" w:hAnsi="宋体"/>
                <w:bCs/>
                <w:sz w:val="21"/>
                <w:szCs w:val="21"/>
                <w:highlight w:val="none"/>
                <w:lang w:val="en-US" w:eastAsia="zh-CN"/>
              </w:rPr>
              <w:t>/</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Cs/>
                <w:sz w:val="21"/>
                <w:szCs w:val="21"/>
                <w:highlight w:val="none"/>
                <w:lang w:val="en-US" w:eastAsia="zh-CN"/>
              </w:rPr>
            </w:pPr>
            <w:r>
              <w:rPr>
                <w:rFonts w:hint="eastAsia" w:hAnsi="宋体"/>
                <w:bCs/>
                <w:sz w:val="21"/>
                <w:szCs w:val="21"/>
                <w:highlight w:val="none"/>
                <w:lang w:val="en-US" w:eastAsia="zh-CN"/>
              </w:rPr>
              <w:t>1</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Cs/>
                <w:sz w:val="21"/>
                <w:szCs w:val="21"/>
                <w:highlight w:val="none"/>
                <w:lang w:val="en-US" w:eastAsia="zh-CN"/>
              </w:rPr>
            </w:pPr>
            <w:r>
              <w:rPr>
                <w:rFonts w:hint="eastAsia" w:hAnsi="宋体"/>
                <w:bCs/>
                <w:sz w:val="21"/>
                <w:szCs w:val="21"/>
                <w:highlight w:val="none"/>
                <w:lang w:val="en-US" w:eastAsia="zh-CN"/>
              </w:rPr>
              <w:t>套</w:t>
            </w:r>
          </w:p>
        </w:tc>
        <w:tc>
          <w:tcPr>
            <w:tcW w:w="1462"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bl>
    <w:p>
      <w:pPr>
        <w:numPr>
          <w:ilvl w:val="0"/>
          <w:numId w:val="0"/>
        </w:numPr>
        <w:rPr>
          <w:highlight w:val="none"/>
        </w:rPr>
      </w:pPr>
    </w:p>
    <w:p>
      <w:pPr>
        <w:pStyle w:val="21"/>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1"/>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1"/>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4"/>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7" w:name="_Toc32673"/>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10</w:t>
      </w:r>
      <w:r>
        <w:rPr>
          <w:rFonts w:hint="eastAsia" w:ascii="宋体" w:hAnsi="宋体" w:eastAsia="宋体" w:cs="宋体"/>
          <w:b/>
          <w:bCs/>
          <w:spacing w:val="3"/>
          <w:highlight w:val="none"/>
          <w:lang w:val="en-US" w:eastAsia="zh-CN"/>
        </w:rPr>
        <w:t>中标</w:t>
      </w:r>
      <w:r>
        <w:rPr>
          <w:rFonts w:ascii="宋体" w:hAnsi="宋体" w:eastAsia="宋体" w:cs="宋体"/>
          <w:b/>
          <w:bCs/>
          <w:spacing w:val="3"/>
          <w:highlight w:val="none"/>
        </w:rPr>
        <w:t>厂</w:t>
      </w:r>
      <w:r>
        <w:rPr>
          <w:rFonts w:cs="宋体"/>
          <w:b/>
          <w:bCs/>
          <w:spacing w:val="3"/>
          <w:highlight w:val="none"/>
        </w:rPr>
        <w:t>商须免费到现场对采购方技术人员进行不少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8" w:name="_Toc30265"/>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9" w:name="_Toc426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4"/>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3"/>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sdt>
      <w:sdtPr>
        <w:id w:val="5321706"/>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sdt>
      <w:sdtPr>
        <w:id w:val="5321706"/>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r>
      <w:rPr>
        <w:sz w:val="18"/>
      </w:rPr>
      <mc:AlternateContent>
        <mc:Choice Requires="wps">
          <w:drawing>
            <wp:anchor distT="0" distB="0" distL="114300" distR="114300" simplePos="0" relativeHeight="251660288" behindDoc="0" locked="0" layoutInCell="1" allowOverlap="1">
              <wp:simplePos x="0" y="0"/>
              <wp:positionH relativeFrom="margin">
                <wp:posOffset>2827020</wp:posOffset>
              </wp:positionH>
              <wp:positionV relativeFrom="paragraph">
                <wp:posOffset>-264160</wp:posOffset>
              </wp:positionV>
              <wp:extent cx="429260" cy="4927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29260" cy="4927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22.6pt;margin-top:-20.8pt;height:38.8pt;width:33.8pt;mso-position-horizontal-relative:margin;z-index:251660288;mso-width-relative:page;mso-height-relative:page;" filled="f" stroked="f" coordsize="21600,21600" o:gfxdata="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jx7UzZAAAACgEAAA8AAAAAAAAAAQAgAAAAIgAAAGRycy9kb3du&#10;cmV2LnhtbFBLAQIUABQAAAAIAIdO4kD8nObHNwIAAGEEAAAOAAAAAAAAAAEAIAAAACgBAABkcnMv&#10;ZTJvRG9jLnhtbFBLBQYAAAAABgAGAFkBAADRBQAAAAA=&#10;">
              <v:fill on="f" focussize="0,0"/>
              <v:stroke on="f" weight="0.5pt"/>
              <v:imagedata o:title=""/>
              <o:lock v:ext="edit" aspectratio="f"/>
              <v:textbox inset="0mm,0mm,0mm,0mm">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sdt>
      <w:sdtPr>
        <w:id w:val="5321706"/>
      </w:sdt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D0A4"/>
    <w:multiLevelType w:val="singleLevel"/>
    <w:tmpl w:val="85EFD0A4"/>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2847159"/>
    <w:rsid w:val="0314094B"/>
    <w:rsid w:val="041078B8"/>
    <w:rsid w:val="04AC73D9"/>
    <w:rsid w:val="052208DA"/>
    <w:rsid w:val="07B66435"/>
    <w:rsid w:val="07E06245"/>
    <w:rsid w:val="07F95172"/>
    <w:rsid w:val="088B7712"/>
    <w:rsid w:val="0AC104F6"/>
    <w:rsid w:val="0BAB653E"/>
    <w:rsid w:val="0C8A677F"/>
    <w:rsid w:val="0D300C81"/>
    <w:rsid w:val="0D344206"/>
    <w:rsid w:val="0E080413"/>
    <w:rsid w:val="0FD146C5"/>
    <w:rsid w:val="11624E20"/>
    <w:rsid w:val="12B97EB6"/>
    <w:rsid w:val="13066AFF"/>
    <w:rsid w:val="16406CB6"/>
    <w:rsid w:val="171A18F3"/>
    <w:rsid w:val="17486E4C"/>
    <w:rsid w:val="18021834"/>
    <w:rsid w:val="19277699"/>
    <w:rsid w:val="1C79220A"/>
    <w:rsid w:val="1C8772B6"/>
    <w:rsid w:val="1D3614FA"/>
    <w:rsid w:val="1FA263E4"/>
    <w:rsid w:val="2006432E"/>
    <w:rsid w:val="211C5F0F"/>
    <w:rsid w:val="22703D10"/>
    <w:rsid w:val="23B96AFD"/>
    <w:rsid w:val="24135420"/>
    <w:rsid w:val="243F3E9B"/>
    <w:rsid w:val="26DA25CB"/>
    <w:rsid w:val="273F6164"/>
    <w:rsid w:val="27B200B0"/>
    <w:rsid w:val="27E502D5"/>
    <w:rsid w:val="29464C18"/>
    <w:rsid w:val="2A6428AE"/>
    <w:rsid w:val="2A862824"/>
    <w:rsid w:val="2B2A0492"/>
    <w:rsid w:val="2C3F36A7"/>
    <w:rsid w:val="2C464019"/>
    <w:rsid w:val="2CD5161C"/>
    <w:rsid w:val="2EAE6CA3"/>
    <w:rsid w:val="2FD7142C"/>
    <w:rsid w:val="30427C69"/>
    <w:rsid w:val="320372EF"/>
    <w:rsid w:val="32E52E86"/>
    <w:rsid w:val="33342978"/>
    <w:rsid w:val="33C00172"/>
    <w:rsid w:val="34234DD5"/>
    <w:rsid w:val="34DB0F5E"/>
    <w:rsid w:val="36032155"/>
    <w:rsid w:val="366559E4"/>
    <w:rsid w:val="367B35A2"/>
    <w:rsid w:val="3988303A"/>
    <w:rsid w:val="3B9236C9"/>
    <w:rsid w:val="3CE97620"/>
    <w:rsid w:val="3F3F3186"/>
    <w:rsid w:val="3F401D03"/>
    <w:rsid w:val="41F6735B"/>
    <w:rsid w:val="440525B4"/>
    <w:rsid w:val="46955FD0"/>
    <w:rsid w:val="476B4E24"/>
    <w:rsid w:val="4771622D"/>
    <w:rsid w:val="47874069"/>
    <w:rsid w:val="47B84838"/>
    <w:rsid w:val="48CC7BFD"/>
    <w:rsid w:val="49244D8F"/>
    <w:rsid w:val="4DE36F71"/>
    <w:rsid w:val="4DE65204"/>
    <w:rsid w:val="51655545"/>
    <w:rsid w:val="53D02297"/>
    <w:rsid w:val="53E0223F"/>
    <w:rsid w:val="56200118"/>
    <w:rsid w:val="57A44166"/>
    <w:rsid w:val="5813392B"/>
    <w:rsid w:val="58B95CBA"/>
    <w:rsid w:val="596D67DA"/>
    <w:rsid w:val="5A44578C"/>
    <w:rsid w:val="5C7A5B1A"/>
    <w:rsid w:val="5E0B2534"/>
    <w:rsid w:val="5E375A3D"/>
    <w:rsid w:val="5E60690D"/>
    <w:rsid w:val="5EC33DB0"/>
    <w:rsid w:val="5F0E6286"/>
    <w:rsid w:val="5F471779"/>
    <w:rsid w:val="5F6D159D"/>
    <w:rsid w:val="60AE2C7C"/>
    <w:rsid w:val="60E55AF5"/>
    <w:rsid w:val="60EC26DA"/>
    <w:rsid w:val="61DC2B1A"/>
    <w:rsid w:val="6268037D"/>
    <w:rsid w:val="62740596"/>
    <w:rsid w:val="62CD7EA4"/>
    <w:rsid w:val="63764156"/>
    <w:rsid w:val="64407D86"/>
    <w:rsid w:val="651346D9"/>
    <w:rsid w:val="65974683"/>
    <w:rsid w:val="694D6BE2"/>
    <w:rsid w:val="6B5275DD"/>
    <w:rsid w:val="70CA591E"/>
    <w:rsid w:val="73DC31EB"/>
    <w:rsid w:val="76211CFF"/>
    <w:rsid w:val="76334E79"/>
    <w:rsid w:val="77CE2584"/>
    <w:rsid w:val="7867742D"/>
    <w:rsid w:val="78E24696"/>
    <w:rsid w:val="796706F8"/>
    <w:rsid w:val="7C080BE5"/>
    <w:rsid w:val="7CB6538D"/>
    <w:rsid w:val="7F2E23E3"/>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4"/>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semiHidden/>
    <w:unhideWhenUsed/>
    <w:qFormat/>
    <w:uiPriority w:val="99"/>
    <w:pPr>
      <w:spacing w:after="120"/>
    </w:pPr>
  </w:style>
  <w:style w:type="paragraph" w:styleId="5">
    <w:name w:val="Plain Text"/>
    <w:basedOn w:val="1"/>
    <w:link w:val="26"/>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7"/>
    <w:semiHidden/>
    <w:unhideWhenUsed/>
    <w:qFormat/>
    <w:uiPriority w:val="99"/>
    <w:pPr>
      <w:spacing w:line="240" w:lineRule="auto"/>
    </w:pPr>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w:basedOn w:val="4"/>
    <w:link w:val="20"/>
    <w:unhideWhenUsed/>
    <w:qFormat/>
    <w:uiPriority w:val="99"/>
    <w:pPr>
      <w:ind w:firstLine="420" w:firstLineChars="100"/>
    </w:pPr>
  </w:style>
  <w:style w:type="table" w:styleId="15">
    <w:name w:val="Table Grid"/>
    <w:basedOn w:val="1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9"/>
    <w:qFormat/>
    <w:uiPriority w:val="99"/>
    <w:rPr>
      <w:sz w:val="18"/>
      <w:szCs w:val="18"/>
    </w:rPr>
  </w:style>
  <w:style w:type="character" w:customStyle="1" w:styleId="18">
    <w:name w:val="页脚 字符"/>
    <w:basedOn w:val="16"/>
    <w:link w:val="8"/>
    <w:qFormat/>
    <w:uiPriority w:val="99"/>
    <w:rPr>
      <w:sz w:val="18"/>
      <w:szCs w:val="18"/>
    </w:rPr>
  </w:style>
  <w:style w:type="character" w:customStyle="1" w:styleId="19">
    <w:name w:val="正文文本 字符"/>
    <w:basedOn w:val="16"/>
    <w:link w:val="4"/>
    <w:semiHidden/>
    <w:qFormat/>
    <w:uiPriority w:val="99"/>
    <w:rPr>
      <w:rFonts w:ascii="宋体" w:hAnsi="宋体" w:eastAsia="宋体" w:cs="Times New Roman"/>
      <w:color w:val="000000"/>
      <w:sz w:val="24"/>
      <w:szCs w:val="24"/>
    </w:rPr>
  </w:style>
  <w:style w:type="character" w:customStyle="1" w:styleId="20">
    <w:name w:val="正文文本首行缩进 字符"/>
    <w:basedOn w:val="19"/>
    <w:link w:val="13"/>
    <w:qFormat/>
    <w:uiPriority w:val="99"/>
    <w:rPr>
      <w:rFonts w:ascii="宋体" w:hAnsi="宋体" w:eastAsia="宋体" w:cs="Times New Roman"/>
      <w:color w:val="000000"/>
      <w:sz w:val="24"/>
      <w:szCs w:val="24"/>
    </w:rPr>
  </w:style>
  <w:style w:type="paragraph" w:customStyle="1" w:styleId="21">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2">
    <w:name w:val="List Paragraph"/>
    <w:basedOn w:val="1"/>
    <w:qFormat/>
    <w:uiPriority w:val="34"/>
    <w:pPr>
      <w:ind w:firstLine="420" w:firstLineChars="200"/>
    </w:p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标题 1 字符"/>
    <w:basedOn w:val="16"/>
    <w:link w:val="2"/>
    <w:qFormat/>
    <w:uiPriority w:val="0"/>
    <w:rPr>
      <w:rFonts w:ascii="仿宋体" w:hAnsi="Times New Roman" w:eastAsia="仿宋体" w:cs="Times New Roman"/>
      <w:b/>
      <w:kern w:val="28"/>
      <w:sz w:val="26"/>
      <w:szCs w:val="20"/>
    </w:rPr>
  </w:style>
  <w:style w:type="character" w:customStyle="1" w:styleId="25">
    <w:name w:val="纯文本 Char"/>
    <w:qFormat/>
    <w:uiPriority w:val="0"/>
    <w:rPr>
      <w:rFonts w:ascii="宋体" w:hAnsi="Courier New" w:eastAsia="宋体" w:cs="Times New Roman"/>
      <w:szCs w:val="20"/>
    </w:rPr>
  </w:style>
  <w:style w:type="character" w:customStyle="1" w:styleId="26">
    <w:name w:val="纯文本 字符"/>
    <w:basedOn w:val="16"/>
    <w:link w:val="5"/>
    <w:semiHidden/>
    <w:qFormat/>
    <w:uiPriority w:val="99"/>
    <w:rPr>
      <w:rFonts w:ascii="宋体" w:hAnsi="Courier New" w:eastAsia="宋体" w:cs="Courier New"/>
      <w:color w:val="000000"/>
      <w:szCs w:val="21"/>
    </w:rPr>
  </w:style>
  <w:style w:type="character" w:customStyle="1" w:styleId="27">
    <w:name w:val="批注框文本 字符"/>
    <w:basedOn w:val="16"/>
    <w:link w:val="7"/>
    <w:semiHidden/>
    <w:qFormat/>
    <w:uiPriority w:val="99"/>
    <w:rPr>
      <w:rFonts w:ascii="宋体" w:hAnsi="宋体" w:eastAsia="宋体" w:cs="Times New Roman"/>
      <w:color w:val="000000"/>
      <w:sz w:val="18"/>
      <w:szCs w:val="18"/>
    </w:rPr>
  </w:style>
  <w:style w:type="paragraph" w:customStyle="1" w:styleId="28">
    <w:name w:val="内容"/>
    <w:basedOn w:val="1"/>
    <w:link w:val="29"/>
    <w:qFormat/>
    <w:uiPriority w:val="0"/>
    <w:pPr>
      <w:adjustRightInd w:val="0"/>
      <w:snapToGrid w:val="0"/>
      <w:spacing w:line="312" w:lineRule="auto"/>
      <w:ind w:left="0" w:leftChars="0" w:firstLine="240" w:firstLineChars="100"/>
      <w:jc w:val="both"/>
    </w:pPr>
    <w:rPr>
      <w:bCs/>
      <w:color w:val="auto"/>
      <w:kern w:val="0"/>
    </w:rPr>
  </w:style>
  <w:style w:type="character" w:customStyle="1" w:styleId="29">
    <w:name w:val="内容 Char"/>
    <w:basedOn w:val="16"/>
    <w:link w:val="28"/>
    <w:qFormat/>
    <w:uiPriority w:val="0"/>
    <w:rPr>
      <w:rFonts w:ascii="宋体" w:hAnsi="宋体" w:eastAsia="宋体" w:cs="Times New Roman"/>
      <w:bCs/>
      <w:sz w:val="24"/>
      <w:szCs w:val="24"/>
    </w:rPr>
  </w:style>
  <w:style w:type="character" w:customStyle="1" w:styleId="30">
    <w:name w:val="标题 2 字符"/>
    <w:basedOn w:val="16"/>
    <w:link w:val="3"/>
    <w:semiHidden/>
    <w:qFormat/>
    <w:uiPriority w:val="9"/>
    <w:rPr>
      <w:rFonts w:asciiTheme="majorHAnsi" w:hAnsiTheme="majorHAnsi" w:eastAsiaTheme="majorEastAsia" w:cstheme="majorBidi"/>
      <w:b/>
      <w:bCs/>
      <w:color w:val="000000"/>
      <w:kern w:val="2"/>
      <w:sz w:val="32"/>
      <w:szCs w:val="32"/>
    </w:rPr>
  </w:style>
  <w:style w:type="character" w:customStyle="1" w:styleId="31">
    <w:name w:val="keyword"/>
    <w:basedOn w:val="16"/>
    <w:qFormat/>
    <w:uiPriority w:val="0"/>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 Char"/>
    <w:basedOn w:val="1"/>
    <w:qFormat/>
    <w:uiPriority w:val="0"/>
    <w:rPr>
      <w:rFonts w:ascii="Calibri"/>
      <w:szCs w:val="24"/>
    </w:rPr>
  </w:style>
  <w:style w:type="paragraph" w:customStyle="1" w:styleId="34">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5">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36">
    <w:name w:val="Table Paragraph"/>
    <w:basedOn w:val="1"/>
    <w:qFormat/>
    <w:uiPriority w:val="0"/>
    <w:pPr>
      <w:widowControl w:val="0"/>
      <w:overflowPunct/>
      <w:textAlignment w:val="auto"/>
    </w:pPr>
    <w:rPr>
      <w:rFonts w:ascii="Times New Roman" w:hAnsi="Times New Roman" w:eastAsia="宋体" w:cs="Times New Roman"/>
      <w:sz w:val="24"/>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5100</Words>
  <Characters>5602</Characters>
  <Lines>30</Lines>
  <Paragraphs>8</Paragraphs>
  <TotalTime>0</TotalTime>
  <ScaleCrop>false</ScaleCrop>
  <LinksUpToDate>false</LinksUpToDate>
  <CharactersWithSpaces>5811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2026-08-07T04:57:26Z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