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SF6气体</w:t>
      </w:r>
      <w:r>
        <w:rPr>
          <w:rFonts w:hint="eastAsia"/>
          <w:b/>
          <w:sz w:val="36"/>
          <w:szCs w:val="36"/>
          <w:highlight w:val="none"/>
          <w:lang w:val="en-US" w:eastAsia="zh-CN"/>
        </w:rPr>
        <w:t>定量</w:t>
      </w:r>
      <w:r>
        <w:rPr>
          <w:rFonts w:hint="eastAsia"/>
          <w:b/>
          <w:sz w:val="36"/>
          <w:szCs w:val="36"/>
          <w:highlight w:val="none"/>
          <w:lang w:eastAsia="zh-CN"/>
        </w:rPr>
        <w:t>检漏仪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4"/>
        <w:bidi w:val="0"/>
        <w:rPr>
          <w:rFonts w:hint="eastAsia"/>
          <w:highlight w:val="none"/>
        </w:rPr>
      </w:pPr>
      <w:bookmarkStart w:id="1" w:name="_Toc25697"/>
      <w:r>
        <w:rPr>
          <w:rFonts w:hint="eastAsia"/>
          <w:highlight w:val="none"/>
        </w:rPr>
        <w:t xml:space="preserve">1 </w:t>
      </w:r>
      <w:bookmarkStart w:id="2" w:name="_Toc397006837"/>
      <w:bookmarkStart w:id="3" w:name="_Toc305941223"/>
      <w:bookmarkStart w:id="4" w:name="_Toc305941518"/>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SF6气体</w:t>
      </w:r>
      <w:r>
        <w:rPr>
          <w:rFonts w:hint="eastAsia"/>
          <w:b/>
          <w:bCs/>
          <w:color w:val="auto"/>
          <w:highlight w:val="none"/>
          <w:lang w:val="en-US" w:eastAsia="zh-CN"/>
        </w:rPr>
        <w:t>定量</w:t>
      </w:r>
      <w:r>
        <w:rPr>
          <w:rFonts w:hint="eastAsia"/>
          <w:b/>
          <w:bCs/>
          <w:color w:val="auto"/>
          <w:highlight w:val="none"/>
          <w:lang w:eastAsia="zh-CN"/>
        </w:rPr>
        <w:t>检漏仪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97006838"/>
      <w:bookmarkStart w:id="7" w:name="_Toc305941519"/>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0652071"/>
      <w:bookmarkStart w:id="9" w:name="_Toc305941225"/>
      <w:bookmarkStart w:id="10" w:name="_Toc292221729"/>
      <w:bookmarkStart w:id="11" w:name="_Toc291768528"/>
      <w:bookmarkStart w:id="12" w:name="_Toc397006840"/>
    </w:p>
    <w:bookmarkEnd w:id="8"/>
    <w:bookmarkEnd w:id="9"/>
    <w:bookmarkEnd w:id="10"/>
    <w:bookmarkEnd w:id="11"/>
    <w:bookmarkEnd w:id="12"/>
    <w:p>
      <w:pPr>
        <w:pStyle w:val="4"/>
        <w:bidi w:val="0"/>
        <w:rPr>
          <w:highlight w:val="none"/>
        </w:rPr>
      </w:pPr>
      <w:bookmarkStart w:id="13" w:name="_Toc3763"/>
      <w:bookmarkStart w:id="14" w:name="_Toc305941228"/>
      <w:bookmarkStart w:id="15" w:name="_Toc305941520"/>
      <w:bookmarkStart w:id="16" w:name="_Toc397006842"/>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SF6气体检漏仪</w:t>
      </w:r>
      <w:r>
        <w:rPr>
          <w:rFonts w:hint="eastAsia"/>
          <w:color w:val="auto"/>
          <w:highlight w:val="none"/>
        </w:rPr>
        <w:t>：</w:t>
      </w:r>
    </w:p>
    <w:p>
      <w:pPr>
        <w:pStyle w:val="20"/>
        <w:keepLines w:val="0"/>
        <w:pageBreakBefore w:val="0"/>
        <w:kinsoku/>
        <w:wordWrap/>
        <w:bidi w:val="0"/>
        <w:spacing w:line="500" w:lineRule="exact"/>
        <w:ind w:left="410" w:firstLine="480"/>
        <w:rPr>
          <w:color w:val="auto"/>
          <w:highlight w:val="none"/>
        </w:rPr>
      </w:pPr>
      <w:r>
        <w:rPr>
          <w:rFonts w:hint="eastAsia" w:ascii="宋体" w:hAnsi="宋体" w:cs="Arial"/>
          <w:color w:val="000000"/>
          <w:kern w:val="0"/>
          <w:szCs w:val="21"/>
          <w:highlight w:val="none"/>
        </w:rPr>
        <w:t>DL/T 846.6-2018 高电压测试设备技术条件 第6部分：六氟化硫气体检漏仪</w:t>
      </w:r>
    </w:p>
    <w:p>
      <w:pPr>
        <w:pStyle w:val="4"/>
        <w:bidi w:val="0"/>
        <w:rPr>
          <w:highlight w:val="none"/>
        </w:rPr>
      </w:pPr>
      <w:bookmarkStart w:id="17" w:name="_Toc13932"/>
      <w:bookmarkStart w:id="18" w:name="_Toc305941521"/>
      <w:bookmarkStart w:id="19" w:name="_Toc305941229"/>
      <w:bookmarkStart w:id="20" w:name="_Toc279769035"/>
      <w:bookmarkStart w:id="21" w:name="_Toc397006843"/>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SF6气体检漏仪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9"/>
        <w:gridCol w:w="3792"/>
        <w:gridCol w:w="37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bookmarkStart w:id="30" w:name="_Toc397006845"/>
            <w:r>
              <w:rPr>
                <w:rFonts w:hint="eastAsia" w:ascii="宋体" w:hAnsi="宋体"/>
                <w:color w:val="000000"/>
                <w:sz w:val="24"/>
              </w:rPr>
              <w:t>序  号</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项　　  目</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1</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工作温度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0℃～＋45℃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9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2</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工作湿度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≤85% 不结露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919"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olor w:val="000000"/>
                <w:sz w:val="24"/>
              </w:rPr>
              <w:t>3</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s="Arial"/>
                <w:sz w:val="24"/>
              </w:rPr>
              <w:t>储存温度</w:t>
            </w:r>
          </w:p>
        </w:tc>
        <w:tc>
          <w:tcPr>
            <w:tcW w:w="3792" w:type="dxa"/>
            <w:noWrap w:val="0"/>
            <w:vAlign w:val="center"/>
          </w:tcPr>
          <w:p>
            <w:pPr>
              <w:keepNext w:val="0"/>
              <w:keepLines w:val="0"/>
              <w:pageBreakBefore w:val="0"/>
              <w:widowControl w:val="0"/>
              <w:kinsoku/>
              <w:wordWrap/>
              <w:overflowPunct/>
              <w:topLinePunct/>
              <w:autoSpaceDE/>
              <w:autoSpaceDN/>
              <w:bidi w:val="0"/>
              <w:adjustRightInd/>
              <w:snapToGrid w:val="0"/>
              <w:spacing w:line="240" w:lineRule="auto"/>
              <w:ind w:left="0" w:leftChars="0"/>
              <w:jc w:val="center"/>
              <w:textAlignment w:val="auto"/>
              <w:rPr>
                <w:rFonts w:hint="eastAsia" w:ascii="宋体" w:hAnsi="宋体"/>
                <w:color w:val="000000"/>
                <w:sz w:val="24"/>
              </w:rPr>
            </w:pPr>
            <w:r>
              <w:rPr>
                <w:rFonts w:hint="eastAsia" w:ascii="宋体" w:hAnsi="宋体" w:cs="Arial"/>
                <w:sz w:val="24"/>
              </w:rPr>
              <w:t>-20</w:t>
            </w:r>
            <w:r>
              <w:rPr>
                <w:rFonts w:hint="eastAsia" w:ascii="宋体" w:hAnsi="宋体"/>
                <w:color w:val="000000"/>
                <w:sz w:val="24"/>
              </w:rPr>
              <w:t>℃</w:t>
            </w:r>
            <w:r>
              <w:rPr>
                <w:rFonts w:hint="eastAsia" w:ascii="宋体" w:hAnsi="宋体" w:cs="Arial"/>
                <w:sz w:val="24"/>
              </w:rPr>
              <w:t>～＋50</w:t>
            </w:r>
            <w:r>
              <w:rPr>
                <w:rFonts w:hint="eastAsia" w:ascii="宋体" w:hAnsi="宋体" w:cs="宋体"/>
                <w:sz w:val="24"/>
              </w:rPr>
              <w:t>℃</w:t>
            </w:r>
          </w:p>
        </w:tc>
      </w:tr>
    </w:tbl>
    <w:p>
      <w:pPr>
        <w:keepLines w:val="0"/>
        <w:pageBreakBefore w:val="0"/>
        <w:kinsoku/>
        <w:wordWrap/>
        <w:bidi w:val="0"/>
        <w:spacing w:line="500" w:lineRule="exact"/>
        <w:ind w:left="410"/>
        <w:rPr>
          <w:rFonts w:hint="eastAsia"/>
          <w:highlight w:val="none"/>
          <w:lang w:val="en-US" w:eastAsia="zh-CN"/>
        </w:rPr>
      </w:pP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SF6气体检漏仪</w:t>
      </w:r>
      <w:r>
        <w:rPr>
          <w:rFonts w:hint="eastAsia"/>
          <w:color w:val="auto"/>
          <w:highlight w:val="none"/>
          <w:shd w:val="clear" w:color="auto" w:fill="FFFFFF"/>
        </w:rPr>
        <w:t>功能</w:t>
      </w:r>
      <w:r>
        <w:rPr>
          <w:rFonts w:hint="eastAsia"/>
          <w:highlight w:val="none"/>
        </w:rPr>
        <w:t>要求</w:t>
      </w:r>
    </w:p>
    <w:p>
      <w:pPr>
        <w:numPr>
          <w:ilvl w:val="0"/>
          <w:numId w:val="0"/>
        </w:numPr>
        <w:spacing w:line="400" w:lineRule="exact"/>
        <w:ind w:leftChars="100"/>
        <w:jc w:val="left"/>
        <w:rPr>
          <w:rFonts w:ascii="宋体" w:hAnsi="宋体"/>
          <w:color w:val="000000"/>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color w:val="000000"/>
          <w:sz w:val="24"/>
          <w:highlight w:val="none"/>
        </w:rPr>
        <w:t>采用高性能进口红外传感器，</w:t>
      </w:r>
      <w:r>
        <w:rPr>
          <w:rFonts w:hint="eastAsia" w:ascii="宋体" w:hAnsi="宋体"/>
          <w:b/>
          <w:bCs/>
          <w:color w:val="000000"/>
          <w:sz w:val="24"/>
          <w:highlight w:val="none"/>
        </w:rPr>
        <w:t>响应速度快</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5s显示检测结果</w:t>
      </w:r>
      <w:r>
        <w:rPr>
          <w:rFonts w:hint="eastAsia" w:ascii="宋体" w:hAnsi="宋体"/>
          <w:b/>
          <w:bCs/>
          <w:color w:val="000000"/>
          <w:sz w:val="24"/>
          <w:highlight w:val="none"/>
          <w:lang w:eastAsia="zh-CN"/>
        </w:rPr>
        <w:t>）</w:t>
      </w:r>
      <w:r>
        <w:rPr>
          <w:rFonts w:hint="eastAsia" w:ascii="宋体" w:hAnsi="宋体"/>
          <w:color w:val="000000"/>
          <w:sz w:val="24"/>
          <w:highlight w:val="none"/>
        </w:rPr>
        <w:t>，抗干扰性强，可实现高精度测量；</w:t>
      </w:r>
    </w:p>
    <w:p>
      <w:pPr>
        <w:numPr>
          <w:ilvl w:val="0"/>
          <w:numId w:val="0"/>
        </w:numPr>
        <w:spacing w:line="400" w:lineRule="exact"/>
        <w:ind w:leftChars="100"/>
        <w:jc w:val="left"/>
        <w:rPr>
          <w:rFonts w:ascii="宋体" w:hAnsi="宋体"/>
          <w:color w:val="000000"/>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b/>
          <w:bCs/>
          <w:color w:val="000000"/>
          <w:sz w:val="24"/>
          <w:highlight w:val="none"/>
        </w:rPr>
        <w:t>检测灵敏度高，最高可达0</w:t>
      </w:r>
      <w:r>
        <w:rPr>
          <w:rFonts w:ascii="宋体" w:hAnsi="宋体"/>
          <w:b/>
          <w:bCs/>
          <w:color w:val="000000"/>
          <w:sz w:val="24"/>
          <w:highlight w:val="none"/>
        </w:rPr>
        <w:t>.1ppm</w:t>
      </w:r>
      <w:r>
        <w:rPr>
          <w:rFonts w:ascii="宋体" w:hAnsi="宋体"/>
          <w:color w:val="000000"/>
          <w:sz w:val="24"/>
          <w:highlight w:val="none"/>
        </w:rPr>
        <w:t>,</w:t>
      </w:r>
      <w:r>
        <w:rPr>
          <w:rFonts w:hint="eastAsia" w:ascii="宋体" w:hAnsi="宋体"/>
          <w:color w:val="000000"/>
          <w:sz w:val="24"/>
          <w:highlight w:val="none"/>
        </w:rPr>
        <w:t>重复性好；</w:t>
      </w:r>
    </w:p>
    <w:p>
      <w:pPr>
        <w:numPr>
          <w:ilvl w:val="0"/>
          <w:numId w:val="0"/>
        </w:numPr>
        <w:spacing w:line="400" w:lineRule="exact"/>
        <w:ind w:leftChars="100"/>
        <w:jc w:val="left"/>
        <w:rPr>
          <w:rFonts w:ascii="宋体" w:hAnsi="宋体"/>
          <w:b/>
          <w:bCs w:val="0"/>
          <w:color w:val="000000"/>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b/>
          <w:bCs w:val="0"/>
          <w:color w:val="000000"/>
          <w:kern w:val="0"/>
          <w:sz w:val="24"/>
          <w:highlight w:val="none"/>
        </w:rPr>
        <w:t>SF</w:t>
      </w:r>
      <w:r>
        <w:rPr>
          <w:rFonts w:hint="eastAsia" w:ascii="宋体" w:hAnsi="宋体"/>
          <w:b/>
          <w:bCs w:val="0"/>
          <w:color w:val="000000"/>
          <w:kern w:val="0"/>
          <w:sz w:val="24"/>
          <w:highlight w:val="none"/>
          <w:vertAlign w:val="subscript"/>
        </w:rPr>
        <w:t>6</w:t>
      </w:r>
      <w:r>
        <w:rPr>
          <w:rFonts w:hint="eastAsia" w:ascii="宋体" w:hAnsi="宋体"/>
          <w:b/>
          <w:bCs w:val="0"/>
          <w:color w:val="000000"/>
          <w:sz w:val="24"/>
          <w:highlight w:val="none"/>
        </w:rPr>
        <w:t>浓度过高保护技术，严重泄漏时不会污染或损坏传感器；</w:t>
      </w:r>
    </w:p>
    <w:p>
      <w:pPr>
        <w:numPr>
          <w:ilvl w:val="0"/>
          <w:numId w:val="0"/>
        </w:numPr>
        <w:spacing w:line="400" w:lineRule="exact"/>
        <w:ind w:leftChars="100"/>
        <w:jc w:val="left"/>
        <w:rPr>
          <w:rFonts w:ascii="宋体" w:hAnsi="宋体"/>
          <w:color w:val="000000"/>
          <w:sz w:val="24"/>
          <w:highlight w:val="none"/>
        </w:rPr>
      </w:pPr>
      <w:r>
        <w:rPr>
          <w:rFonts w:hint="eastAsia" w:ascii="宋体" w:hAnsi="宋体"/>
          <w:color w:val="000000"/>
          <w:sz w:val="24"/>
          <w:highlight w:val="none"/>
        </w:rPr>
        <w:t>配过滤装置，可有效的过滤粉尘、水汽和油气，提高仪器的使用寿命；</w:t>
      </w:r>
    </w:p>
    <w:p>
      <w:pPr>
        <w:numPr>
          <w:ilvl w:val="0"/>
          <w:numId w:val="0"/>
        </w:numPr>
        <w:spacing w:line="400" w:lineRule="exact"/>
        <w:ind w:leftChars="100"/>
        <w:jc w:val="left"/>
        <w:rPr>
          <w:rFonts w:ascii="宋体" w:hAnsi="宋体"/>
          <w:color w:val="000000"/>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b/>
          <w:bCs/>
          <w:color w:val="000000"/>
          <w:sz w:val="24"/>
          <w:highlight w:val="none"/>
        </w:rPr>
        <w:t>故障自检功能，可快速简单判断设备是否工作正常</w:t>
      </w:r>
      <w:r>
        <w:rPr>
          <w:rFonts w:hint="eastAsia" w:ascii="宋体" w:hAnsi="宋体"/>
          <w:color w:val="000000"/>
          <w:sz w:val="24"/>
          <w:highlight w:val="none"/>
        </w:rPr>
        <w:t>；</w:t>
      </w:r>
    </w:p>
    <w:p>
      <w:pPr>
        <w:numPr>
          <w:ilvl w:val="0"/>
          <w:numId w:val="0"/>
        </w:numPr>
        <w:spacing w:line="400" w:lineRule="exact"/>
        <w:ind w:leftChars="100"/>
        <w:jc w:val="left"/>
        <w:rPr>
          <w:rFonts w:ascii="宋体" w:hAnsi="宋体"/>
          <w:color w:val="000000"/>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color w:val="000000"/>
          <w:sz w:val="24"/>
          <w:highlight w:val="none"/>
        </w:rPr>
        <w:t>内置高性能抽气泵，可无级调速流量，可快速清洗管路残留气体；</w:t>
      </w:r>
    </w:p>
    <w:p>
      <w:pPr>
        <w:numPr>
          <w:ilvl w:val="0"/>
          <w:numId w:val="0"/>
        </w:numPr>
        <w:spacing w:line="400" w:lineRule="exact"/>
        <w:ind w:leftChars="100"/>
        <w:rPr>
          <w:rFonts w:ascii="宋体" w:hAnsi="宋体"/>
          <w:b/>
          <w:bCs/>
          <w:sz w:val="24"/>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b/>
          <w:bCs/>
          <w:sz w:val="24"/>
          <w:highlight w:val="none"/>
        </w:rPr>
        <w:t>具有零位校准功能和第三方校准功能，确保采样数据的准确度；</w:t>
      </w:r>
    </w:p>
    <w:p>
      <w:pPr>
        <w:numPr>
          <w:ilvl w:val="0"/>
          <w:numId w:val="0"/>
        </w:numPr>
        <w:spacing w:line="400" w:lineRule="exact"/>
        <w:ind w:leftChars="100"/>
        <w:rPr>
          <w:rFonts w:ascii="宋体" w:hAnsi="宋体"/>
          <w:sz w:val="24"/>
          <w:highlight w:val="none"/>
        </w:rPr>
      </w:pPr>
      <w:r>
        <w:rPr>
          <w:rFonts w:hint="eastAsia" w:ascii="宋体" w:hAnsi="宋体"/>
          <w:color w:val="000000"/>
          <w:sz w:val="24"/>
          <w:highlight w:val="none"/>
        </w:rPr>
        <w:t>具有实时显示当前数据、查询历史数据功能；</w:t>
      </w:r>
      <w:r>
        <w:rPr>
          <w:rFonts w:ascii="宋体" w:hAnsi="宋体"/>
          <w:sz w:val="24"/>
          <w:highlight w:val="none"/>
        </w:rPr>
        <w:t xml:space="preserve"> </w:t>
      </w:r>
    </w:p>
    <w:p>
      <w:pPr>
        <w:numPr>
          <w:ilvl w:val="0"/>
          <w:numId w:val="0"/>
        </w:numPr>
        <w:spacing w:line="400" w:lineRule="exact"/>
        <w:ind w:leftChars="100"/>
        <w:rPr>
          <w:rFonts w:ascii="宋体" w:hAnsi="宋体"/>
          <w:color w:val="000000"/>
          <w:sz w:val="24"/>
          <w:highlight w:val="none"/>
        </w:rPr>
      </w:pPr>
      <w:r>
        <w:rPr>
          <w:rFonts w:hint="eastAsia" w:ascii="宋体" w:hAnsi="宋体"/>
          <w:color w:val="000000"/>
          <w:sz w:val="24"/>
          <w:highlight w:val="none"/>
        </w:rPr>
        <w:t>内置大容量存储器，通过U盘、TF卡、WIFI或蓝牙导出数据等功能；</w:t>
      </w:r>
    </w:p>
    <w:p>
      <w:pPr>
        <w:numPr>
          <w:ilvl w:val="0"/>
          <w:numId w:val="0"/>
        </w:numPr>
        <w:spacing w:line="400" w:lineRule="exact"/>
        <w:ind w:leftChars="100"/>
        <w:rPr>
          <w:rFonts w:hint="eastAsia" w:ascii="宋体" w:hAnsi="宋体"/>
          <w:color w:val="000000"/>
          <w:sz w:val="24"/>
          <w:highlight w:val="none"/>
        </w:rPr>
      </w:pPr>
      <w:r>
        <w:rPr>
          <w:rFonts w:hint="eastAsia" w:ascii="宋体" w:hAnsi="宋体"/>
          <w:color w:val="000000"/>
          <w:sz w:val="24"/>
          <w:highlight w:val="none"/>
        </w:rPr>
        <w:t>USB软件升级、数据导出；</w:t>
      </w:r>
    </w:p>
    <w:p>
      <w:pPr>
        <w:numPr>
          <w:ilvl w:val="0"/>
          <w:numId w:val="0"/>
        </w:numPr>
        <w:spacing w:line="400" w:lineRule="exact"/>
        <w:ind w:leftChars="100"/>
        <w:rPr>
          <w:rFonts w:ascii="宋体" w:hAnsi="宋体"/>
          <w:color w:val="000000"/>
          <w:sz w:val="24"/>
          <w:highlight w:val="none"/>
        </w:rPr>
      </w:pPr>
      <w:r>
        <w:rPr>
          <w:rFonts w:hint="eastAsia" w:ascii="宋体" w:hAnsi="宋体"/>
          <w:color w:val="000000"/>
          <w:sz w:val="24"/>
          <w:highlight w:val="none"/>
        </w:rPr>
        <w:t>声光报警功能，用户可设置浓度报警阈值；</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r>
        <w:rPr>
          <w:rFonts w:hint="eastAsia" w:ascii="宋体" w:hAnsi="宋体" w:eastAsia="宋体" w:cs="宋体"/>
          <w:color w:val="000000"/>
          <w:kern w:val="0"/>
          <w:sz w:val="21"/>
          <w:szCs w:val="21"/>
          <w:highlight w:val="none"/>
          <w:lang w:val="en-US" w:eastAsia="zh-CN" w:bidi="ar-SA"/>
        </w:rPr>
        <w:t>★</w:t>
      </w:r>
      <w:r>
        <w:rPr>
          <w:rFonts w:hint="eastAsia" w:ascii="宋体" w:hAnsi="宋体" w:eastAsia="宋体"/>
          <w:b/>
          <w:bCs w:val="0"/>
          <w:kern w:val="0"/>
          <w:sz w:val="24"/>
          <w:szCs w:val="24"/>
          <w:highlight w:val="none"/>
        </w:rPr>
        <w:t>具有交直流电两用功能，内置锂电池，检测时间大于8小时</w:t>
      </w:r>
      <w:r>
        <w:rPr>
          <w:rFonts w:hint="eastAsia" w:ascii="宋体" w:hAnsi="宋体"/>
          <w:sz w:val="24"/>
          <w:highlight w:val="none"/>
        </w:rPr>
        <w:t>；</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SF6气体检漏仪</w:t>
      </w:r>
      <w:r>
        <w:rPr>
          <w:rFonts w:hint="eastAsia"/>
          <w:color w:val="auto"/>
          <w:highlight w:val="none"/>
          <w:shd w:val="clear" w:color="auto" w:fill="FFFFFF"/>
        </w:rPr>
        <w:t>技术指标</w:t>
      </w:r>
    </w:p>
    <w:tbl>
      <w:tblPr>
        <w:tblStyle w:val="13"/>
        <w:tblW w:w="1141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15"/>
        <w:gridCol w:w="1919"/>
        <w:gridCol w:w="3954"/>
        <w:gridCol w:w="1266"/>
        <w:gridCol w:w="1894"/>
        <w:gridCol w:w="16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0" w:hRule="atLeast"/>
          <w:tblHeader/>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eastAsia="宋体"/>
                <w:b/>
                <w:szCs w:val="21"/>
                <w:highlight w:val="none"/>
                <w:lang w:val="en-US" w:eastAsia="zh-CN"/>
              </w:rPr>
            </w:pPr>
            <w:r>
              <w:rPr>
                <w:rFonts w:hint="eastAsia"/>
                <w:b/>
                <w:szCs w:val="21"/>
                <w:highlight w:val="none"/>
                <w:lang w:val="en-US" w:eastAsia="zh-CN"/>
              </w:rPr>
              <w:t>序号</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b/>
                <w:szCs w:val="21"/>
                <w:highlight w:val="none"/>
                <w:lang w:val="en-US" w:eastAsia="zh-CN"/>
              </w:rPr>
            </w:pPr>
            <w:r>
              <w:rPr>
                <w:rFonts w:hint="eastAsia"/>
                <w:b/>
                <w:szCs w:val="21"/>
                <w:highlight w:val="none"/>
                <w:lang w:val="en-US" w:eastAsia="zh-CN"/>
              </w:rPr>
              <w:t>性能参数</w:t>
            </w:r>
          </w:p>
        </w:tc>
        <w:tc>
          <w:tcPr>
            <w:tcW w:w="7114" w:type="dxa"/>
            <w:gridSpan w:val="3"/>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b/>
                <w:color w:val="000000"/>
                <w:kern w:val="0"/>
                <w:szCs w:val="21"/>
                <w:highlight w:val="none"/>
                <w:lang w:val="en-US" w:eastAsia="zh-CN"/>
              </w:rPr>
            </w:pPr>
            <w:r>
              <w:rPr>
                <w:rFonts w:hint="eastAsia" w:cs="Arial"/>
                <w:b/>
                <w:color w:val="000000"/>
                <w:kern w:val="0"/>
                <w:szCs w:val="21"/>
                <w:highlight w:val="none"/>
                <w:lang w:val="en-US" w:eastAsia="zh-CN"/>
              </w:rPr>
              <w:t>招标人要求值</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b/>
                <w:color w:val="000000"/>
                <w:kern w:val="0"/>
                <w:szCs w:val="21"/>
                <w:highlight w:val="none"/>
                <w:lang w:val="en-US" w:eastAsia="zh-CN"/>
              </w:rPr>
            </w:pPr>
            <w:r>
              <w:rPr>
                <w:rFonts w:hint="eastAsia" w:cs="Arial"/>
                <w:b/>
                <w:color w:val="000000"/>
                <w:kern w:val="0"/>
                <w:szCs w:val="21"/>
                <w:highlight w:val="none"/>
                <w:lang w:val="en-US" w:eastAsia="zh-CN"/>
              </w:rPr>
              <w:t>投标人响应值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eastAsia="宋体"/>
                <w:szCs w:val="21"/>
                <w:highlight w:val="none"/>
                <w:lang w:val="en-US" w:eastAsia="zh-CN"/>
              </w:rPr>
            </w:pPr>
            <w:r>
              <w:rPr>
                <w:rFonts w:hint="eastAsia"/>
                <w:szCs w:val="21"/>
                <w:highlight w:val="none"/>
                <w:lang w:val="en-US" w:eastAsia="zh-CN"/>
              </w:rPr>
              <w:t>1</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szCs w:val="21"/>
                <w:highlight w:val="none"/>
              </w:rPr>
              <w:t>★</w:t>
            </w:r>
            <w:r>
              <w:rPr>
                <w:rFonts w:hint="eastAsia" w:ascii="宋体" w:hAnsi="宋体" w:cs="Arial"/>
                <w:color w:val="000000"/>
                <w:kern w:val="0"/>
                <w:szCs w:val="21"/>
                <w:highlight w:val="none"/>
              </w:rPr>
              <w:t>显示屏：</w:t>
            </w:r>
          </w:p>
        </w:tc>
        <w:tc>
          <w:tcPr>
            <w:tcW w:w="7114" w:type="dxa"/>
            <w:gridSpan w:val="3"/>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5寸液晶彩屏，分辨率800*480，带触摸功能</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2</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cs="Arial"/>
                <w:color w:val="000000"/>
                <w:kern w:val="0"/>
                <w:szCs w:val="21"/>
                <w:highlight w:val="none"/>
              </w:rPr>
              <w:t>传感器：</w:t>
            </w:r>
          </w:p>
        </w:tc>
        <w:tc>
          <w:tcPr>
            <w:tcW w:w="7114" w:type="dxa"/>
            <w:gridSpan w:val="3"/>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红外双波式（NDIR）</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eastAsia="宋体"/>
                <w:szCs w:val="21"/>
                <w:highlight w:val="none"/>
                <w:lang w:val="en-US" w:eastAsia="zh-CN"/>
              </w:rPr>
            </w:pPr>
            <w:bookmarkStart w:id="32" w:name="_Hlk201176364"/>
            <w:r>
              <w:rPr>
                <w:rFonts w:hint="eastAsia"/>
                <w:szCs w:val="21"/>
                <w:highlight w:val="none"/>
                <w:lang w:val="en-US" w:eastAsia="zh-CN"/>
              </w:rPr>
              <w:t>3</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szCs w:val="21"/>
                <w:highlight w:val="none"/>
              </w:rPr>
              <w:t>★</w:t>
            </w:r>
            <w:bookmarkEnd w:id="32"/>
            <w:r>
              <w:rPr>
                <w:rFonts w:hint="eastAsia" w:ascii="宋体" w:hAnsi="宋体" w:cs="Arial"/>
                <w:color w:val="000000"/>
                <w:kern w:val="0"/>
                <w:szCs w:val="21"/>
                <w:highlight w:val="none"/>
              </w:rPr>
              <w:t>量程范围：</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0~1000ppm</w:t>
            </w:r>
          </w:p>
        </w:tc>
        <w:tc>
          <w:tcPr>
            <w:tcW w:w="1266"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灵敏度：</w:t>
            </w:r>
          </w:p>
        </w:tc>
        <w:tc>
          <w:tcPr>
            <w:tcW w:w="189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≤30ppm时0.1ppm；</w:t>
            </w:r>
          </w:p>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&gt;30ppm时1ppm</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vMerge w:val="restart"/>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szCs w:val="21"/>
                <w:highlight w:val="none"/>
                <w:lang w:val="en-US" w:eastAsia="zh-CN"/>
              </w:rPr>
            </w:pPr>
            <w:r>
              <w:rPr>
                <w:rFonts w:hint="eastAsia"/>
                <w:szCs w:val="21"/>
                <w:highlight w:val="none"/>
                <w:lang w:val="en-US" w:eastAsia="zh-CN"/>
              </w:rPr>
              <w:t>4</w:t>
            </w:r>
          </w:p>
          <w:p>
            <w:pPr>
              <w:widowControl/>
              <w:snapToGrid w:val="0"/>
              <w:spacing w:line="240" w:lineRule="auto"/>
              <w:ind w:left="0" w:leftChars="0" w:right="0" w:rightChars="0" w:firstLine="0" w:firstLineChars="0"/>
              <w:jc w:val="center"/>
              <w:rPr>
                <w:rFonts w:hint="eastAsia" w:ascii="宋体" w:hAnsi="宋体" w:eastAsia="宋体" w:cs="Arial"/>
                <w:color w:val="000000"/>
                <w:kern w:val="0"/>
                <w:szCs w:val="21"/>
                <w:highlight w:val="none"/>
                <w:lang w:val="en-US" w:eastAsia="zh-CN"/>
              </w:rPr>
            </w:pPr>
          </w:p>
        </w:tc>
        <w:tc>
          <w:tcPr>
            <w:tcW w:w="1919" w:type="dxa"/>
            <w:vMerge w:val="restart"/>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szCs w:val="21"/>
                <w:highlight w:val="none"/>
              </w:rPr>
              <w:t>★</w:t>
            </w:r>
            <w:r>
              <w:rPr>
                <w:rFonts w:hint="eastAsia" w:ascii="宋体" w:hAnsi="宋体" w:cs="Arial"/>
                <w:color w:val="000000"/>
                <w:kern w:val="0"/>
                <w:szCs w:val="21"/>
                <w:highlight w:val="none"/>
              </w:rPr>
              <w:t>检测精度：</w:t>
            </w:r>
          </w:p>
        </w:tc>
        <w:tc>
          <w:tcPr>
            <w:tcW w:w="3954" w:type="dxa"/>
            <w:vMerge w:val="restart"/>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测量值≤30ppm时,误差≤±1ppm；</w:t>
            </w:r>
          </w:p>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测量值&gt;30ppm时,误差≤±1%</w:t>
            </w:r>
          </w:p>
        </w:tc>
        <w:tc>
          <w:tcPr>
            <w:tcW w:w="1266" w:type="dxa"/>
            <w:tcBorders>
              <w:bottom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线性误差：</w:t>
            </w:r>
          </w:p>
        </w:tc>
        <w:tc>
          <w:tcPr>
            <w:tcW w:w="1894" w:type="dxa"/>
            <w:tcBorders>
              <w:bottom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≤±1%</w:t>
            </w:r>
          </w:p>
        </w:tc>
        <w:tc>
          <w:tcPr>
            <w:tcW w:w="1669" w:type="dxa"/>
            <w:tcBorders>
              <w:bottom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vMerge w:val="continue"/>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eastAsia="宋体" w:cs="Arial"/>
                <w:color w:val="000000"/>
                <w:kern w:val="0"/>
                <w:szCs w:val="21"/>
                <w:highlight w:val="none"/>
                <w:lang w:val="en-US" w:eastAsia="zh-CN"/>
              </w:rPr>
            </w:pPr>
          </w:p>
        </w:tc>
        <w:tc>
          <w:tcPr>
            <w:tcW w:w="1919" w:type="dxa"/>
            <w:vMerge w:val="continue"/>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p>
        </w:tc>
        <w:tc>
          <w:tcPr>
            <w:tcW w:w="3954" w:type="dxa"/>
            <w:vMerge w:val="continue"/>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p>
        </w:tc>
        <w:tc>
          <w:tcPr>
            <w:tcW w:w="1266" w:type="dxa"/>
            <w:tcBorders>
              <w:top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最小检测限:</w:t>
            </w:r>
          </w:p>
        </w:tc>
        <w:tc>
          <w:tcPr>
            <w:tcW w:w="1894" w:type="dxa"/>
            <w:tcBorders>
              <w:top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0.</w:t>
            </w:r>
            <w:r>
              <w:rPr>
                <w:rFonts w:hint="eastAsia" w:ascii="宋体" w:hAnsi="宋体" w:cs="Arial"/>
                <w:color w:val="000000"/>
                <w:kern w:val="0"/>
                <w:szCs w:val="21"/>
                <w:highlight w:val="none"/>
                <w:lang w:val="en-US" w:eastAsia="zh-CN"/>
              </w:rPr>
              <w:t>4</w:t>
            </w:r>
            <w:r>
              <w:rPr>
                <w:rFonts w:hint="eastAsia" w:ascii="宋体" w:hAnsi="宋体" w:cs="Arial"/>
                <w:color w:val="000000"/>
                <w:kern w:val="0"/>
                <w:szCs w:val="21"/>
                <w:highlight w:val="none"/>
              </w:rPr>
              <w:t>ppm</w:t>
            </w:r>
          </w:p>
        </w:tc>
        <w:tc>
          <w:tcPr>
            <w:tcW w:w="1669" w:type="dxa"/>
            <w:tcBorders>
              <w:top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5</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cs="Arial"/>
                <w:color w:val="000000"/>
                <w:kern w:val="0"/>
                <w:szCs w:val="21"/>
                <w:highlight w:val="none"/>
              </w:rPr>
              <w:t>预热时间：</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≤120秒</w:t>
            </w:r>
          </w:p>
        </w:tc>
        <w:tc>
          <w:tcPr>
            <w:tcW w:w="1266"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零点漂移：</w:t>
            </w:r>
          </w:p>
        </w:tc>
        <w:tc>
          <w:tcPr>
            <w:tcW w:w="189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≤±2%（FS/年）</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szCs w:val="21"/>
                <w:highlight w:val="none"/>
                <w:lang w:val="en-US" w:eastAsia="zh-CN"/>
              </w:rPr>
            </w:pPr>
            <w:r>
              <w:rPr>
                <w:rFonts w:hint="eastAsia"/>
                <w:szCs w:val="21"/>
                <w:highlight w:val="none"/>
                <w:lang w:val="en-US" w:eastAsia="zh-CN"/>
              </w:rPr>
              <w:t>6</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szCs w:val="21"/>
                <w:highlight w:val="none"/>
              </w:rPr>
              <w:t>★</w:t>
            </w:r>
            <w:r>
              <w:rPr>
                <w:rFonts w:hint="eastAsia" w:ascii="宋体" w:hAnsi="宋体" w:cs="Arial"/>
                <w:color w:val="000000"/>
                <w:kern w:val="0"/>
                <w:szCs w:val="21"/>
                <w:highlight w:val="none"/>
              </w:rPr>
              <w:t>响应时间：</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 xml:space="preserve">5秒 </w:t>
            </w:r>
          </w:p>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 xml:space="preserve">T90 时间： ≤9秒 </w:t>
            </w:r>
          </w:p>
        </w:tc>
        <w:tc>
          <w:tcPr>
            <w:tcW w:w="1266"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重 复 性：</w:t>
            </w:r>
          </w:p>
        </w:tc>
        <w:tc>
          <w:tcPr>
            <w:tcW w:w="189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≤±1%</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7</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cs="Arial"/>
                <w:color w:val="000000"/>
                <w:kern w:val="0"/>
                <w:szCs w:val="21"/>
                <w:highlight w:val="none"/>
              </w:rPr>
              <w:t>数据分析：</w:t>
            </w:r>
          </w:p>
        </w:tc>
        <w:tc>
          <w:tcPr>
            <w:tcW w:w="3954" w:type="dxa"/>
            <w:tcBorders>
              <w:right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数据、实时曲线</w:t>
            </w:r>
          </w:p>
        </w:tc>
        <w:tc>
          <w:tcPr>
            <w:tcW w:w="1266" w:type="dxa"/>
            <w:tcBorders>
              <w:left w:val="single" w:color="auto" w:sz="4" w:space="0"/>
              <w:right w:val="single" w:color="auto" w:sz="4" w:space="0"/>
            </w:tcBorders>
            <w:shd w:val="clear" w:color="auto" w:fill="FFFFFF"/>
            <w:noWrap w:val="0"/>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报警模式：</w:t>
            </w:r>
          </w:p>
        </w:tc>
        <w:tc>
          <w:tcPr>
            <w:tcW w:w="1894" w:type="dxa"/>
            <w:tcBorders>
              <w:left w:val="single" w:color="auto" w:sz="4" w:space="0"/>
            </w:tcBorders>
            <w:shd w:val="clear" w:color="auto" w:fill="FFFFFF"/>
            <w:noWrap w:val="0"/>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声光报警</w:t>
            </w:r>
          </w:p>
        </w:tc>
        <w:tc>
          <w:tcPr>
            <w:tcW w:w="1669" w:type="dxa"/>
            <w:tcBorders>
              <w:left w:val="single" w:color="auto" w:sz="4" w:space="0"/>
            </w:tcBorders>
            <w:shd w:val="clear" w:color="auto" w:fill="FFFFFF"/>
            <w:noWrap w:val="0"/>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8</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cs="Arial"/>
                <w:color w:val="000000"/>
                <w:kern w:val="0"/>
                <w:szCs w:val="21"/>
                <w:highlight w:val="none"/>
              </w:rPr>
              <w:t>存储模式：</w:t>
            </w:r>
          </w:p>
        </w:tc>
        <w:tc>
          <w:tcPr>
            <w:tcW w:w="3954" w:type="dxa"/>
            <w:tcBorders>
              <w:right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实时存储数据，可通过USB\WIFI\蓝牙/TF</w:t>
            </w:r>
          </w:p>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卡导出数据</w:t>
            </w:r>
          </w:p>
        </w:tc>
        <w:tc>
          <w:tcPr>
            <w:tcW w:w="1266" w:type="dxa"/>
            <w:tcBorders>
              <w:left w:val="single" w:color="auto" w:sz="4" w:space="0"/>
              <w:right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语音播报：</w:t>
            </w:r>
          </w:p>
        </w:tc>
        <w:tc>
          <w:tcPr>
            <w:tcW w:w="1894" w:type="dxa"/>
            <w:tcBorders>
              <w:left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实时数据、欠压提示</w:t>
            </w:r>
          </w:p>
        </w:tc>
        <w:tc>
          <w:tcPr>
            <w:tcW w:w="1669" w:type="dxa"/>
            <w:tcBorders>
              <w:left w:val="single" w:color="auto" w:sz="4" w:space="0"/>
            </w:tcBorders>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9</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cs="Arial"/>
                <w:color w:val="000000"/>
                <w:kern w:val="0"/>
                <w:szCs w:val="21"/>
                <w:highlight w:val="none"/>
              </w:rPr>
              <w:t>显示单位：</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克/年、ppm、ppmv、mL/s、uL/L</w:t>
            </w:r>
          </w:p>
        </w:tc>
        <w:tc>
          <w:tcPr>
            <w:tcW w:w="1266"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*泄漏量计算</w:t>
            </w:r>
          </w:p>
        </w:tc>
        <w:tc>
          <w:tcPr>
            <w:tcW w:w="189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包扎法、巡检法</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default" w:ascii="宋体" w:hAnsi="宋体" w:eastAsia="宋体"/>
                <w:szCs w:val="21"/>
                <w:highlight w:val="none"/>
                <w:lang w:val="en-US" w:eastAsia="zh-CN"/>
              </w:rPr>
            </w:pPr>
            <w:r>
              <w:rPr>
                <w:rFonts w:hint="eastAsia"/>
                <w:szCs w:val="21"/>
                <w:highlight w:val="none"/>
                <w:lang w:val="en-US" w:eastAsia="zh-CN"/>
              </w:rPr>
              <w:t>10</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ascii="宋体" w:hAnsi="宋体" w:cs="Arial"/>
                <w:color w:val="000000"/>
                <w:kern w:val="0"/>
                <w:szCs w:val="21"/>
                <w:highlight w:val="none"/>
              </w:rPr>
            </w:pPr>
            <w:r>
              <w:rPr>
                <w:rFonts w:hint="eastAsia" w:ascii="宋体" w:hAnsi="宋体"/>
                <w:szCs w:val="21"/>
                <w:highlight w:val="none"/>
              </w:rPr>
              <w:t>★</w:t>
            </w:r>
            <w:r>
              <w:rPr>
                <w:rFonts w:hint="eastAsia" w:ascii="宋体" w:hAnsi="宋体" w:cs="Arial"/>
                <w:color w:val="000000"/>
                <w:kern w:val="0"/>
                <w:szCs w:val="21"/>
                <w:highlight w:val="none"/>
              </w:rPr>
              <w:t>机身尺寸/重量：</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220*126*96 mm（L×W×H）/ 约</w:t>
            </w:r>
            <w:r>
              <w:rPr>
                <w:rFonts w:ascii="宋体" w:hAnsi="宋体" w:cs="Arial"/>
                <w:color w:val="000000"/>
                <w:kern w:val="0"/>
                <w:szCs w:val="21"/>
                <w:highlight w:val="none"/>
              </w:rPr>
              <w:t>1.1</w:t>
            </w:r>
            <w:r>
              <w:rPr>
                <w:rFonts w:hint="eastAsia" w:ascii="宋体" w:hAnsi="宋体" w:cs="Arial"/>
                <w:color w:val="000000"/>
                <w:kern w:val="0"/>
                <w:szCs w:val="21"/>
                <w:highlight w:val="none"/>
              </w:rPr>
              <w:t>KG</w:t>
            </w:r>
          </w:p>
        </w:tc>
        <w:tc>
          <w:tcPr>
            <w:tcW w:w="1266"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温度/湿度：</w:t>
            </w:r>
          </w:p>
        </w:tc>
        <w:tc>
          <w:tcPr>
            <w:tcW w:w="189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 xml:space="preserve">-10-50℃ </w:t>
            </w:r>
          </w:p>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20-85%RH</w:t>
            </w:r>
          </w:p>
        </w:tc>
        <w:tc>
          <w:tcPr>
            <w:tcW w:w="1669"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0" w:hRule="atLeast"/>
          <w:jc w:val="center"/>
        </w:trPr>
        <w:tc>
          <w:tcPr>
            <w:tcW w:w="715" w:type="dxa"/>
            <w:shd w:val="clear" w:color="auto" w:fill="FFFFFF"/>
            <w:noWrap w:val="0"/>
            <w:tcMar>
              <w:top w:w="45" w:type="dxa"/>
              <w:left w:w="45" w:type="dxa"/>
              <w:bottom w:w="45" w:type="dxa"/>
              <w:right w:w="45" w:type="dxa"/>
            </w:tcMar>
            <w:vAlign w:val="center"/>
          </w:tcPr>
          <w:p>
            <w:pPr>
              <w:snapToGrid w:val="0"/>
              <w:spacing w:line="240" w:lineRule="auto"/>
              <w:ind w:left="0" w:leftChars="0" w:right="0" w:rightChars="0" w:firstLine="0" w:firstLineChars="0"/>
              <w:jc w:val="center"/>
              <w:rPr>
                <w:rFonts w:hint="default" w:ascii="宋体" w:hAnsi="宋体" w:eastAsia="宋体" w:cs="Arial"/>
                <w:color w:val="000000"/>
                <w:kern w:val="0"/>
                <w:szCs w:val="21"/>
                <w:highlight w:val="none"/>
                <w:lang w:val="en-US" w:eastAsia="zh-CN"/>
              </w:rPr>
            </w:pPr>
            <w:r>
              <w:rPr>
                <w:rFonts w:hint="eastAsia" w:cs="Arial"/>
                <w:color w:val="000000"/>
                <w:kern w:val="0"/>
                <w:szCs w:val="21"/>
                <w:highlight w:val="none"/>
                <w:lang w:val="en-US" w:eastAsia="zh-CN"/>
              </w:rPr>
              <w:t>11</w:t>
            </w:r>
          </w:p>
        </w:tc>
        <w:tc>
          <w:tcPr>
            <w:tcW w:w="1919" w:type="dxa"/>
            <w:shd w:val="clear" w:color="auto" w:fill="FFFFFF"/>
            <w:noWrap w:val="0"/>
            <w:tcMar>
              <w:top w:w="45" w:type="dxa"/>
              <w:left w:w="45" w:type="dxa"/>
              <w:bottom w:w="45" w:type="dxa"/>
              <w:right w:w="45" w:type="dxa"/>
            </w:tcMar>
            <w:vAlign w:val="center"/>
          </w:tcPr>
          <w:p>
            <w:pPr>
              <w:widowControl/>
              <w:snapToGrid w:val="0"/>
              <w:spacing w:line="240" w:lineRule="auto"/>
              <w:jc w:val="center"/>
              <w:rPr>
                <w:rFonts w:ascii="宋体" w:hAnsi="宋体" w:cs="Arial"/>
                <w:color w:val="000000"/>
                <w:kern w:val="0"/>
                <w:szCs w:val="21"/>
                <w:highlight w:val="none"/>
              </w:rPr>
            </w:pPr>
            <w:r>
              <w:rPr>
                <w:rFonts w:hint="eastAsia" w:ascii="宋体" w:hAnsi="宋体" w:cs="Arial"/>
                <w:color w:val="000000"/>
                <w:kern w:val="0"/>
                <w:szCs w:val="21"/>
                <w:highlight w:val="none"/>
              </w:rPr>
              <w:t>电源：</w:t>
            </w:r>
          </w:p>
        </w:tc>
        <w:tc>
          <w:tcPr>
            <w:tcW w:w="3954" w:type="dxa"/>
            <w:shd w:val="clear" w:color="auto" w:fill="FFFFFF"/>
            <w:noWrap w:val="0"/>
            <w:tcMar>
              <w:top w:w="45" w:type="dxa"/>
              <w:left w:w="45" w:type="dxa"/>
              <w:bottom w:w="45" w:type="dxa"/>
              <w:right w:w="45" w:type="dxa"/>
            </w:tcMar>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进口锂电池续航能力约8个小时</w:t>
            </w:r>
          </w:p>
        </w:tc>
        <w:tc>
          <w:tcPr>
            <w:tcW w:w="1266" w:type="dxa"/>
            <w:shd w:val="clear" w:color="auto" w:fill="FFFFFF"/>
            <w:noWrap w:val="0"/>
            <w:vAlign w:val="center"/>
          </w:tcPr>
          <w:p>
            <w:pPr>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壳体材料:</w:t>
            </w:r>
          </w:p>
        </w:tc>
        <w:tc>
          <w:tcPr>
            <w:tcW w:w="1894" w:type="dxa"/>
            <w:shd w:val="clear" w:color="auto" w:fill="FFFFFF"/>
            <w:noWrap w:val="0"/>
            <w:vAlign w:val="center"/>
          </w:tcPr>
          <w:p>
            <w:pPr>
              <w:widowControl/>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P</w:t>
            </w:r>
            <w:r>
              <w:rPr>
                <w:rFonts w:ascii="宋体" w:hAnsi="宋体" w:cs="Arial"/>
                <w:color w:val="000000"/>
                <w:kern w:val="0"/>
                <w:szCs w:val="21"/>
                <w:highlight w:val="none"/>
              </w:rPr>
              <w:t>C+ABS</w:t>
            </w:r>
            <w:r>
              <w:rPr>
                <w:rFonts w:hint="eastAsia" w:ascii="宋体" w:hAnsi="宋体" w:cs="Arial"/>
                <w:color w:val="000000"/>
                <w:kern w:val="0"/>
                <w:szCs w:val="21"/>
                <w:highlight w:val="none"/>
              </w:rPr>
              <w:t>外壳</w:t>
            </w:r>
          </w:p>
          <w:p>
            <w:pPr>
              <w:snapToGrid w:val="0"/>
              <w:spacing w:line="240" w:lineRule="auto"/>
              <w:ind w:left="0" w:leftChars="0" w:right="0" w:rightChars="0" w:firstLine="0" w:firstLineChars="0"/>
              <w:jc w:val="left"/>
              <w:rPr>
                <w:rFonts w:ascii="宋体" w:hAnsi="宋体" w:cs="Arial"/>
                <w:color w:val="000000"/>
                <w:kern w:val="0"/>
                <w:szCs w:val="21"/>
                <w:highlight w:val="none"/>
              </w:rPr>
            </w:pPr>
            <w:r>
              <w:rPr>
                <w:rFonts w:hint="eastAsia" w:ascii="宋体" w:hAnsi="宋体" w:cs="Arial"/>
                <w:color w:val="000000"/>
                <w:kern w:val="0"/>
                <w:szCs w:val="21"/>
                <w:highlight w:val="none"/>
              </w:rPr>
              <w:t>防护等级IP54</w:t>
            </w:r>
          </w:p>
        </w:tc>
        <w:tc>
          <w:tcPr>
            <w:tcW w:w="1669" w:type="dxa"/>
            <w:shd w:val="clear" w:color="auto" w:fill="FFFFFF"/>
            <w:noWrap w:val="0"/>
            <w:vAlign w:val="center"/>
          </w:tcPr>
          <w:p>
            <w:pPr>
              <w:snapToGrid w:val="0"/>
              <w:spacing w:line="240" w:lineRule="auto"/>
              <w:ind w:left="0" w:leftChars="0" w:right="0" w:rightChars="0" w:firstLine="0" w:firstLineChars="0"/>
              <w:jc w:val="center"/>
              <w:rPr>
                <w:rFonts w:hint="eastAsia" w:ascii="宋体" w:hAnsi="宋体" w:cs="Arial"/>
                <w:color w:val="000000"/>
                <w:kern w:val="0"/>
                <w:szCs w:val="21"/>
                <w:highlight w:val="none"/>
              </w:rPr>
            </w:pPr>
          </w:p>
        </w:tc>
      </w:tr>
    </w:tbl>
    <w:p>
      <w:pPr>
        <w:keepLines w:val="0"/>
        <w:pageBreakBefore w:val="0"/>
        <w:kinsoku/>
        <w:wordWrap/>
        <w:bidi w:val="0"/>
        <w:spacing w:line="500" w:lineRule="exact"/>
        <w:ind w:left="410"/>
        <w:rPr>
          <w:rFonts w:hint="eastAsia"/>
          <w:color w:val="auto"/>
          <w:highlight w:val="none"/>
          <w:shd w:val="clear" w:color="auto" w:fill="FFFFFF"/>
        </w:rPr>
      </w:pPr>
    </w:p>
    <w:p>
      <w:pPr>
        <w:pStyle w:val="4"/>
        <w:bidi w:val="0"/>
        <w:rPr>
          <w:rFonts w:cs="宋体"/>
          <w:spacing w:val="1"/>
          <w:highlight w:val="none"/>
        </w:rPr>
      </w:pPr>
      <w:bookmarkStart w:id="33" w:name="_Toc14198"/>
      <w:r>
        <w:rPr>
          <w:rFonts w:hint="eastAsia"/>
          <w:highlight w:val="none"/>
          <w:lang w:val="en-US" w:eastAsia="zh-CN"/>
        </w:rPr>
        <w:t>5</w:t>
      </w:r>
      <w:r>
        <w:rPr>
          <w:highlight w:val="none"/>
        </w:rPr>
        <w:t>.</w:t>
      </w:r>
      <w:r>
        <w:rPr>
          <w:rFonts w:cs="宋体"/>
          <w:spacing w:val="1"/>
          <w:highlight w:val="none"/>
        </w:rPr>
        <w:t>质量保证和试验</w:t>
      </w:r>
      <w:bookmarkEnd w:id="33"/>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4" w:name="_Toc18433"/>
      <w:r>
        <w:rPr>
          <w:rFonts w:hint="eastAsia"/>
          <w:highlight w:val="none"/>
          <w:lang w:eastAsia="zh-CN"/>
        </w:rPr>
        <w:t>6.</w:t>
      </w:r>
      <w:r>
        <w:rPr>
          <w:rFonts w:cs="宋体"/>
          <w:spacing w:val="1"/>
          <w:highlight w:val="none"/>
        </w:rPr>
        <w:t>包装、运输和储存</w:t>
      </w:r>
      <w:bookmarkEnd w:id="34"/>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5"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5"/>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1"/>
        </w:numPr>
        <w:bidi w:val="0"/>
        <w:rPr>
          <w:rFonts w:hint="eastAsia"/>
          <w:highlight w:val="none"/>
        </w:rPr>
      </w:pPr>
      <w:bookmarkStart w:id="36" w:name="_Toc25792"/>
      <w:r>
        <w:rPr>
          <w:rFonts w:hint="eastAsia"/>
          <w:highlight w:val="none"/>
        </w:rPr>
        <w:t>供货范围清单</w:t>
      </w:r>
      <w:bookmarkEnd w:id="36"/>
    </w:p>
    <w:tbl>
      <w:tblPr>
        <w:tblStyle w:val="13"/>
        <w:tblW w:w="10009" w:type="dxa"/>
        <w:tblInd w:w="0" w:type="dxa"/>
        <w:tblLayout w:type="fixed"/>
        <w:tblCellMar>
          <w:top w:w="0" w:type="dxa"/>
          <w:left w:w="108" w:type="dxa"/>
          <w:bottom w:w="0" w:type="dxa"/>
          <w:right w:w="108" w:type="dxa"/>
        </w:tblCellMar>
      </w:tblPr>
      <w:tblGrid>
        <w:gridCol w:w="1059"/>
        <w:gridCol w:w="2876"/>
        <w:gridCol w:w="1707"/>
        <w:gridCol w:w="4367"/>
      </w:tblGrid>
      <w:tr>
        <w:tblPrEx>
          <w:tblCellMar>
            <w:top w:w="0" w:type="dxa"/>
            <w:left w:w="108" w:type="dxa"/>
            <w:bottom w:w="0" w:type="dxa"/>
            <w:right w:w="108" w:type="dxa"/>
          </w:tblCellMar>
        </w:tblPrEx>
        <w:trPr>
          <w:trHeight w:val="312" w:hRule="atLeast"/>
        </w:trPr>
        <w:tc>
          <w:tcPr>
            <w:tcW w:w="1059" w:type="dxa"/>
            <w:tcBorders>
              <w:top w:val="single" w:color="auto" w:sz="4" w:space="0"/>
              <w:left w:val="single" w:color="auto" w:sz="4" w:space="0"/>
              <w:right w:val="single" w:color="auto" w:sz="4" w:space="0"/>
            </w:tcBorders>
            <w:noWrap w:val="0"/>
            <w:vAlign w:val="center"/>
          </w:tcPr>
          <w:p>
            <w:pPr>
              <w:keepLines w:val="0"/>
              <w:pageBreakBefore w:val="0"/>
              <w:kinsoku/>
              <w:wordWrap/>
              <w:bidi w:val="0"/>
              <w:spacing w:line="500" w:lineRule="exact"/>
              <w:ind w:left="0" w:leftChars="0" w:firstLine="0" w:firstLineChars="0"/>
              <w:jc w:val="center"/>
              <w:rPr>
                <w:rFonts w:hint="eastAsia" w:ascii="宋体" w:hAnsi="宋体" w:eastAsia="宋体"/>
                <w:b/>
                <w:bCs/>
                <w:sz w:val="24"/>
                <w:highlight w:val="none"/>
              </w:rPr>
            </w:pPr>
            <w:r>
              <w:rPr>
                <w:rFonts w:hint="eastAsia" w:ascii="宋体" w:hAnsi="宋体" w:eastAsia="宋体"/>
                <w:b/>
                <w:bCs/>
                <w:sz w:val="24"/>
                <w:highlight w:val="none"/>
              </w:rPr>
              <w:t>序号</w:t>
            </w:r>
          </w:p>
        </w:tc>
        <w:tc>
          <w:tcPr>
            <w:tcW w:w="2876"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b/>
                <w:bCs/>
                <w:sz w:val="24"/>
                <w:highlight w:val="none"/>
              </w:rPr>
            </w:pPr>
            <w:bookmarkStart w:id="37" w:name="RANGE!D4"/>
            <w:r>
              <w:rPr>
                <w:rFonts w:hint="eastAsia" w:ascii="宋体" w:hAnsi="宋体" w:eastAsia="宋体"/>
                <w:b/>
                <w:bCs/>
                <w:sz w:val="24"/>
                <w:highlight w:val="none"/>
              </w:rPr>
              <w:t>设备名称</w:t>
            </w:r>
            <w:bookmarkEnd w:id="37"/>
          </w:p>
        </w:tc>
        <w:tc>
          <w:tcPr>
            <w:tcW w:w="1707"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数量</w:t>
            </w:r>
          </w:p>
        </w:tc>
        <w:tc>
          <w:tcPr>
            <w:tcW w:w="4367"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default" w:ascii="宋体" w:hAnsi="宋体" w:eastAsia="宋体"/>
                <w:b/>
                <w:bCs/>
                <w:sz w:val="24"/>
                <w:highlight w:val="none"/>
                <w:lang w:val="en-US" w:eastAsia="zh-CN"/>
              </w:rPr>
            </w:pPr>
            <w:r>
              <w:rPr>
                <w:rFonts w:hint="eastAsia" w:ascii="宋体" w:hAnsi="宋体" w:eastAsia="宋体"/>
                <w:b/>
                <w:bCs/>
                <w:sz w:val="24"/>
                <w:highlight w:val="none"/>
                <w:lang w:val="en-US" w:eastAsia="zh-CN"/>
              </w:rPr>
              <w:t>供应商响应值</w:t>
            </w:r>
          </w:p>
        </w:tc>
      </w:tr>
      <w:tr>
        <w:tblPrEx>
          <w:tblCellMar>
            <w:top w:w="0" w:type="dxa"/>
            <w:left w:w="108" w:type="dxa"/>
            <w:bottom w:w="0" w:type="dxa"/>
            <w:right w:w="108" w:type="dxa"/>
          </w:tblCellMar>
        </w:tblPrEx>
        <w:trPr>
          <w:trHeight w:val="660" w:hRule="atLeast"/>
        </w:trPr>
        <w:tc>
          <w:tcPr>
            <w:tcW w:w="1059"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rPr>
            </w:pPr>
            <w:r>
              <w:rPr>
                <w:rFonts w:hint="eastAsia" w:ascii="宋体" w:hAnsi="宋体" w:eastAsia="宋体"/>
                <w:sz w:val="24"/>
                <w:highlight w:val="none"/>
              </w:rPr>
              <w:t>1</w:t>
            </w:r>
          </w:p>
        </w:tc>
        <w:tc>
          <w:tcPr>
            <w:tcW w:w="2876"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lang w:eastAsia="zh-CN"/>
              </w:rPr>
            </w:pPr>
            <w:r>
              <w:rPr>
                <w:rFonts w:hint="eastAsia" w:ascii="宋体" w:hAnsi="宋体" w:eastAsia="宋体"/>
                <w:sz w:val="24"/>
                <w:highlight w:val="none"/>
              </w:rPr>
              <w:t>SF6定量检漏仪主机</w:t>
            </w:r>
          </w:p>
        </w:tc>
        <w:tc>
          <w:tcPr>
            <w:tcW w:w="1707"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default" w:ascii="宋体" w:hAnsi="宋体" w:eastAsia="宋体"/>
                <w:sz w:val="24"/>
                <w:highlight w:val="none"/>
                <w:lang w:val="en-US" w:eastAsia="zh-CN"/>
              </w:rPr>
            </w:pPr>
            <w:r>
              <w:rPr>
                <w:rFonts w:hint="eastAsia" w:ascii="宋体" w:hAnsi="宋体" w:eastAsia="宋体"/>
                <w:sz w:val="24"/>
                <w:highlight w:val="none"/>
                <w:lang w:val="en-US" w:eastAsia="zh-CN"/>
              </w:rPr>
              <w:t>2台</w:t>
            </w:r>
          </w:p>
        </w:tc>
        <w:tc>
          <w:tcPr>
            <w:tcW w:w="4367"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rPr>
            </w:pPr>
          </w:p>
        </w:tc>
      </w:tr>
      <w:tr>
        <w:tblPrEx>
          <w:tblCellMar>
            <w:top w:w="0" w:type="dxa"/>
            <w:left w:w="108" w:type="dxa"/>
            <w:bottom w:w="0" w:type="dxa"/>
            <w:right w:w="108" w:type="dxa"/>
          </w:tblCellMar>
        </w:tblPrEx>
        <w:trPr>
          <w:trHeight w:val="739" w:hRule="atLeast"/>
        </w:trPr>
        <w:tc>
          <w:tcPr>
            <w:tcW w:w="1059"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rPr>
            </w:pPr>
            <w:r>
              <w:rPr>
                <w:rFonts w:hint="eastAsia" w:ascii="宋体" w:hAnsi="宋体" w:eastAsia="宋体"/>
                <w:sz w:val="24"/>
                <w:highlight w:val="none"/>
              </w:rPr>
              <w:t>2</w:t>
            </w:r>
          </w:p>
        </w:tc>
        <w:tc>
          <w:tcPr>
            <w:tcW w:w="2876"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rPr>
            </w:pPr>
            <w:r>
              <w:rPr>
                <w:rFonts w:hint="eastAsia" w:ascii="宋体" w:hAnsi="宋体" w:eastAsia="宋体"/>
                <w:sz w:val="24"/>
                <w:highlight w:val="none"/>
              </w:rPr>
              <w:t>充电器及信号线</w:t>
            </w:r>
          </w:p>
        </w:tc>
        <w:tc>
          <w:tcPr>
            <w:tcW w:w="1707"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default" w:ascii="宋体" w:hAnsi="宋体" w:eastAsia="宋体"/>
                <w:sz w:val="24"/>
                <w:highlight w:val="none"/>
                <w:lang w:val="en-US" w:eastAsia="zh-CN"/>
              </w:rPr>
            </w:pPr>
            <w:r>
              <w:rPr>
                <w:rFonts w:hint="eastAsia" w:ascii="宋体" w:hAnsi="宋体" w:eastAsia="宋体"/>
                <w:sz w:val="24"/>
                <w:highlight w:val="none"/>
                <w:lang w:val="en-US" w:eastAsia="zh-CN"/>
              </w:rPr>
              <w:t>2套</w:t>
            </w:r>
          </w:p>
        </w:tc>
        <w:tc>
          <w:tcPr>
            <w:tcW w:w="4367" w:type="dxa"/>
            <w:tcBorders>
              <w:top w:val="nil"/>
              <w:left w:val="single" w:color="auto" w:sz="4" w:space="0"/>
              <w:bottom w:val="single" w:color="auto" w:sz="4" w:space="0"/>
              <w:right w:val="single" w:color="auto" w:sz="4" w:space="0"/>
            </w:tcBorders>
            <w:noWrap w:val="0"/>
            <w:vAlign w:val="center"/>
          </w:tcPr>
          <w:p>
            <w:pPr>
              <w:keepLines w:val="0"/>
              <w:pageBreakBefore w:val="0"/>
              <w:kinsoku/>
              <w:wordWrap/>
              <w:bidi w:val="0"/>
              <w:spacing w:line="500" w:lineRule="exact"/>
              <w:ind w:left="410"/>
              <w:jc w:val="center"/>
              <w:rPr>
                <w:rFonts w:hint="eastAsia" w:ascii="宋体" w:hAnsi="宋体" w:eastAsia="宋体"/>
                <w:sz w:val="24"/>
                <w:highlight w:val="none"/>
              </w:rPr>
            </w:pPr>
          </w:p>
        </w:tc>
      </w:tr>
    </w:tbl>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bookmarkStart w:id="42" w:name="_GoBack"/>
      <w:bookmarkEnd w:id="42"/>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8"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8"/>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9" w:name="_Toc21346"/>
      <w:r>
        <w:rPr>
          <w:rFonts w:hint="eastAsia"/>
          <w:highlight w:val="none"/>
          <w:lang w:eastAsia="zh-CN"/>
        </w:rPr>
        <w:t>9.</w:t>
      </w:r>
      <w:r>
        <w:rPr>
          <w:rFonts w:cs="宋体"/>
          <w:spacing w:val="1"/>
          <w:highlight w:val="none"/>
        </w:rPr>
        <w:t>设备的售后服务要求</w:t>
      </w:r>
      <w:bookmarkEnd w:id="39"/>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40" w:name="_Toc10126"/>
      <w:r>
        <w:rPr>
          <w:rFonts w:hint="eastAsia"/>
          <w:spacing w:val="-6"/>
          <w:highlight w:val="none"/>
          <w:lang w:eastAsia="zh-CN"/>
        </w:rPr>
        <w:t>10.</w:t>
      </w:r>
      <w:r>
        <w:rPr>
          <w:rFonts w:cs="宋体"/>
          <w:highlight w:val="none"/>
        </w:rPr>
        <w:t>验收</w:t>
      </w:r>
      <w:bookmarkEnd w:id="40"/>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41"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1"/>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53680"/>
    <w:multiLevelType w:val="singleLevel"/>
    <w:tmpl w:val="AE853680"/>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63F4ED6"/>
    <w:rsid w:val="07B66435"/>
    <w:rsid w:val="07E06245"/>
    <w:rsid w:val="08A60FD6"/>
    <w:rsid w:val="0BAB653E"/>
    <w:rsid w:val="0D344206"/>
    <w:rsid w:val="0FB051D8"/>
    <w:rsid w:val="11624E20"/>
    <w:rsid w:val="13066AFF"/>
    <w:rsid w:val="149906BD"/>
    <w:rsid w:val="16406CB6"/>
    <w:rsid w:val="17486E4C"/>
    <w:rsid w:val="19277699"/>
    <w:rsid w:val="1C79220A"/>
    <w:rsid w:val="1C8772B6"/>
    <w:rsid w:val="1D3614FA"/>
    <w:rsid w:val="1DB4365C"/>
    <w:rsid w:val="1FA263E4"/>
    <w:rsid w:val="22703D10"/>
    <w:rsid w:val="23B96AFD"/>
    <w:rsid w:val="273F6164"/>
    <w:rsid w:val="27E502D5"/>
    <w:rsid w:val="29464C18"/>
    <w:rsid w:val="2B2A0492"/>
    <w:rsid w:val="2C3F36A7"/>
    <w:rsid w:val="2CEE645F"/>
    <w:rsid w:val="2EAE6CA3"/>
    <w:rsid w:val="30427C69"/>
    <w:rsid w:val="30C1718D"/>
    <w:rsid w:val="33342978"/>
    <w:rsid w:val="334358FC"/>
    <w:rsid w:val="33C00172"/>
    <w:rsid w:val="34234DD5"/>
    <w:rsid w:val="34DB0F5E"/>
    <w:rsid w:val="366559E4"/>
    <w:rsid w:val="367B35A2"/>
    <w:rsid w:val="3988303A"/>
    <w:rsid w:val="3C140243"/>
    <w:rsid w:val="3F3F3186"/>
    <w:rsid w:val="41F6735B"/>
    <w:rsid w:val="46535BAB"/>
    <w:rsid w:val="46FB4082"/>
    <w:rsid w:val="47874069"/>
    <w:rsid w:val="47892189"/>
    <w:rsid w:val="47B84838"/>
    <w:rsid w:val="48CC7BFD"/>
    <w:rsid w:val="49244D8F"/>
    <w:rsid w:val="4AC7411F"/>
    <w:rsid w:val="4DCA2428"/>
    <w:rsid w:val="4F8214A1"/>
    <w:rsid w:val="58B95CBA"/>
    <w:rsid w:val="596D67DA"/>
    <w:rsid w:val="59C87211"/>
    <w:rsid w:val="5A44578C"/>
    <w:rsid w:val="5E375A3D"/>
    <w:rsid w:val="5E60690D"/>
    <w:rsid w:val="5EB56C59"/>
    <w:rsid w:val="5EC33DB0"/>
    <w:rsid w:val="5F471779"/>
    <w:rsid w:val="60EC26DA"/>
    <w:rsid w:val="617D6E84"/>
    <w:rsid w:val="6268037D"/>
    <w:rsid w:val="62740596"/>
    <w:rsid w:val="62CD7EA4"/>
    <w:rsid w:val="65974683"/>
    <w:rsid w:val="6B603226"/>
    <w:rsid w:val="6E7343E3"/>
    <w:rsid w:val="70CA591E"/>
    <w:rsid w:val="727260E7"/>
    <w:rsid w:val="76211CFF"/>
    <w:rsid w:val="7867742D"/>
    <w:rsid w:val="7B340DDA"/>
    <w:rsid w:val="7CB6538D"/>
    <w:rsid w:val="7E742C8A"/>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5169</Words>
  <Characters>5709</Characters>
  <Lines>30</Lines>
  <Paragraphs>8</Paragraphs>
  <TotalTime>2</TotalTime>
  <ScaleCrop>false</ScaleCrop>
  <LinksUpToDate>false</LinksUpToDate>
  <CharactersWithSpaces>5961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2026-08-07T08:15:52Z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