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60288"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电量记录分析仪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pPr>
          <w:bookmarkStart w:id="42" w:name="_GoBack"/>
          <w:bookmarkEnd w:id="42"/>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_Toc1348 </w:instrText>
          </w:r>
          <w:r>
            <w:rPr>
              <w:rFonts w:hint="eastAsia" w:ascii="宋体" w:hAnsi="宋体" w:eastAsia="宋体" w:cs="宋体"/>
              <w:szCs w:val="28"/>
              <w:highlight w:val="none"/>
            </w:rPr>
            <w:fldChar w:fldCharType="separate"/>
          </w:r>
          <w:r>
            <w:rPr>
              <w:rFonts w:hint="eastAsia"/>
              <w:highlight w:val="none"/>
            </w:rPr>
            <w:t>1 总则</w:t>
          </w:r>
          <w:r>
            <w:tab/>
          </w:r>
          <w:r>
            <w:fldChar w:fldCharType="begin"/>
          </w:r>
          <w:r>
            <w:instrText xml:space="preserve"> PAGEREF _Toc1348 \h </w:instrText>
          </w:r>
          <w:r>
            <w:fldChar w:fldCharType="separate"/>
          </w:r>
          <w:r>
            <w:t>1</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_Toc1092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tab/>
          </w:r>
          <w:r>
            <w:fldChar w:fldCharType="begin"/>
          </w:r>
          <w:r>
            <w:instrText xml:space="preserve"> PAGEREF _Toc1092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_Toc26281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tab/>
          </w:r>
          <w:r>
            <w:fldChar w:fldCharType="begin"/>
          </w:r>
          <w:r>
            <w:instrText xml:space="preserve"> PAGEREF _Toc26281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_Toc18680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tab/>
          </w:r>
          <w:r>
            <w:fldChar w:fldCharType="begin"/>
          </w:r>
          <w:r>
            <w:instrText xml:space="preserve"> PAGEREF _Toc18680 \h </w:instrText>
          </w:r>
          <w:r>
            <w:fldChar w:fldCharType="separate"/>
          </w:r>
          <w:r>
            <w:t>3</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_Toc20099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tab/>
          </w:r>
          <w:r>
            <w:fldChar w:fldCharType="begin"/>
          </w:r>
          <w:r>
            <w:instrText xml:space="preserve"> PAGEREF _Toc20099 \h </w:instrText>
          </w:r>
          <w:r>
            <w:fldChar w:fldCharType="separate"/>
          </w:r>
          <w:r>
            <w:t>6</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_Toc7595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tab/>
          </w:r>
          <w:r>
            <w:fldChar w:fldCharType="begin"/>
          </w:r>
          <w:r>
            <w:instrText xml:space="preserve"> PAGEREF _Toc7595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_Toc8520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tab/>
          </w:r>
          <w:r>
            <w:fldChar w:fldCharType="begin"/>
          </w:r>
          <w:r>
            <w:instrText xml:space="preserve"> PAGEREF _Toc8520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_Toc20964 </w:instrText>
          </w:r>
          <w:r>
            <w:rPr>
              <w:rFonts w:hint="eastAsia" w:ascii="宋体" w:hAnsi="宋体" w:eastAsia="宋体" w:cs="宋体"/>
              <w:szCs w:val="28"/>
              <w:highlight w:val="none"/>
            </w:rPr>
            <w:fldChar w:fldCharType="separate"/>
          </w:r>
          <w:r>
            <w:rPr>
              <w:rFonts w:hint="eastAsia"/>
            </w:rPr>
            <w:t xml:space="preserve">8. </w:t>
          </w:r>
          <w:r>
            <w:rPr>
              <w:rFonts w:hint="eastAsia"/>
              <w:highlight w:val="none"/>
            </w:rPr>
            <w:t>供货范围清单</w:t>
          </w:r>
          <w:r>
            <w:tab/>
          </w:r>
          <w:r>
            <w:fldChar w:fldCharType="begin"/>
          </w:r>
          <w:r>
            <w:instrText xml:space="preserve"> PAGEREF _Toc20964 \h </w:instrText>
          </w:r>
          <w:r>
            <w:fldChar w:fldCharType="separate"/>
          </w:r>
          <w:r>
            <w:t>8</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_Toc8612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tab/>
          </w:r>
          <w:r>
            <w:fldChar w:fldCharType="begin"/>
          </w:r>
          <w:r>
            <w:instrText xml:space="preserve"> PAGEREF _Toc8612 \h </w:instrText>
          </w:r>
          <w:r>
            <w:fldChar w:fldCharType="separate"/>
          </w:r>
          <w:r>
            <w:t>8</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_Toc4571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tab/>
          </w:r>
          <w:r>
            <w:fldChar w:fldCharType="begin"/>
          </w:r>
          <w:r>
            <w:instrText xml:space="preserve"> PAGEREF _Toc4571 \h </w:instrText>
          </w:r>
          <w:r>
            <w:fldChar w:fldCharType="separate"/>
          </w:r>
          <w:r>
            <w:t>9</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_Toc22084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tab/>
          </w:r>
          <w:r>
            <w:fldChar w:fldCharType="begin"/>
          </w:r>
          <w:r>
            <w:instrText xml:space="preserve"> PAGEREF _Toc22084 \h </w:instrText>
          </w:r>
          <w:r>
            <w:fldChar w:fldCharType="separate"/>
          </w:r>
          <w:r>
            <w:t>10</w:t>
          </w:r>
          <w: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3"/>
        <w:bidi w:val="0"/>
        <w:rPr>
          <w:rFonts w:hint="eastAsia"/>
          <w:highlight w:val="none"/>
        </w:rPr>
        <w:sectPr>
          <w:footerReference r:id="rId7"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p>
      <w:pPr>
        <w:pStyle w:val="3"/>
        <w:bidi w:val="0"/>
        <w:rPr>
          <w:rFonts w:hint="eastAsia"/>
          <w:highlight w:val="none"/>
        </w:rPr>
      </w:pPr>
      <w:bookmarkStart w:id="1" w:name="_Toc1348"/>
      <w:r>
        <w:rPr>
          <w:rFonts w:hint="eastAsia"/>
          <w:highlight w:val="none"/>
        </w:rPr>
        <w:t xml:space="preserve">1 </w:t>
      </w:r>
      <w:bookmarkStart w:id="2" w:name="_Toc305941518"/>
      <w:bookmarkStart w:id="3" w:name="_Toc397006837"/>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电量记录分析仪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3"/>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05941519"/>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290652071"/>
      <w:bookmarkStart w:id="10" w:name="_Toc397006840"/>
      <w:bookmarkStart w:id="11" w:name="_Toc305941225"/>
      <w:bookmarkStart w:id="12" w:name="_Toc292221729"/>
    </w:p>
    <w:bookmarkEnd w:id="8"/>
    <w:bookmarkEnd w:id="9"/>
    <w:bookmarkEnd w:id="10"/>
    <w:bookmarkEnd w:id="11"/>
    <w:bookmarkEnd w:id="12"/>
    <w:p>
      <w:pPr>
        <w:pStyle w:val="3"/>
        <w:bidi w:val="0"/>
        <w:rPr>
          <w:highlight w:val="none"/>
        </w:rPr>
      </w:pPr>
      <w:bookmarkStart w:id="13" w:name="_Toc305941228"/>
      <w:bookmarkStart w:id="14" w:name="_Toc305941520"/>
      <w:bookmarkStart w:id="15" w:name="_Toc397006842"/>
      <w:bookmarkStart w:id="16" w:name="_Toc1092"/>
      <w:r>
        <w:rPr>
          <w:rFonts w:hint="eastAsia"/>
          <w:highlight w:val="none"/>
          <w:lang w:val="en-US" w:eastAsia="zh-CN"/>
        </w:rPr>
        <w:t>2</w:t>
      </w:r>
      <w:r>
        <w:rPr>
          <w:rFonts w:hint="eastAsia"/>
          <w:highlight w:val="none"/>
        </w:rPr>
        <w:t>.</w:t>
      </w:r>
      <w:r>
        <w:rPr>
          <w:rFonts w:hint="eastAsia"/>
          <w:highlight w:val="none"/>
        </w:rPr>
        <w:t>应遵循的主要标准</w:t>
      </w:r>
      <w:bookmarkEnd w:id="13"/>
      <w:bookmarkEnd w:id="14"/>
      <w:bookmarkEnd w:id="15"/>
      <w:bookmarkEnd w:id="16"/>
    </w:p>
    <w:p>
      <w:pPr>
        <w:pStyle w:val="21"/>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1"/>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电量记录分析仪</w:t>
      </w:r>
      <w:r>
        <w:rPr>
          <w:rFonts w:hint="eastAsia"/>
          <w:color w:val="auto"/>
          <w:highlight w:val="none"/>
        </w:rPr>
        <w:t>：</w:t>
      </w:r>
    </w:p>
    <w:p>
      <w:pPr>
        <w:pStyle w:val="21"/>
        <w:keepLines w:val="0"/>
        <w:pageBreakBefore w:val="0"/>
        <w:kinsoku/>
        <w:wordWrap/>
        <w:bidi w:val="0"/>
        <w:spacing w:line="500" w:lineRule="exact"/>
        <w:ind w:left="410" w:firstLine="480"/>
        <w:rPr>
          <w:rFonts w:ascii="宋体" w:hAnsi="宋体" w:eastAsia="宋体" w:cs="宋体"/>
          <w:sz w:val="24"/>
          <w:szCs w:val="24"/>
          <w:highlight w:val="none"/>
        </w:rPr>
      </w:pPr>
      <w:r>
        <w:rPr>
          <w:rFonts w:ascii="宋体" w:hAnsi="宋体" w:eastAsia="宋体" w:cs="宋体"/>
          <w:sz w:val="24"/>
          <w:szCs w:val="24"/>
          <w:highlight w:val="none"/>
        </w:rPr>
        <w:t>DL/T 849.6</w:t>
      </w:r>
      <w:r>
        <w:rPr>
          <w:rFonts w:ascii="宋体" w:hAnsi="宋体" w:eastAsia="宋体" w:cs="宋体"/>
          <w:sz w:val="24"/>
          <w:szCs w:val="24"/>
          <w:highlight w:val="none"/>
        </w:rPr>
        <w:noBreakHyphen/>
      </w:r>
      <w:r>
        <w:rPr>
          <w:rFonts w:ascii="宋体" w:hAnsi="宋体" w:eastAsia="宋体" w:cs="宋体"/>
          <w:sz w:val="24"/>
          <w:szCs w:val="24"/>
          <w:highlight w:val="none"/>
        </w:rPr>
        <w:t>2004 《电力设备专用测试仪器通用技术条件 第 6 部分：电力系统瞬态波形记录仪》</w:t>
      </w:r>
    </w:p>
    <w:p>
      <w:pPr>
        <w:pStyle w:val="21"/>
        <w:keepLines w:val="0"/>
        <w:pageBreakBefore w:val="0"/>
        <w:kinsoku/>
        <w:wordWrap/>
        <w:bidi w:val="0"/>
        <w:spacing w:line="500" w:lineRule="exact"/>
        <w:ind w:left="410" w:firstLine="480"/>
        <w:rPr>
          <w:rFonts w:ascii="宋体" w:hAnsi="宋体" w:eastAsia="宋体" w:cs="宋体"/>
          <w:sz w:val="24"/>
          <w:szCs w:val="24"/>
          <w:highlight w:val="none"/>
        </w:rPr>
      </w:pPr>
      <w:r>
        <w:rPr>
          <w:rFonts w:ascii="宋体" w:hAnsi="宋体" w:eastAsia="宋体" w:cs="宋体"/>
          <w:sz w:val="24"/>
          <w:szCs w:val="24"/>
          <w:highlight w:val="none"/>
        </w:rPr>
        <w:t>DL/T 663</w:t>
      </w:r>
      <w:r>
        <w:rPr>
          <w:rFonts w:ascii="宋体" w:hAnsi="宋体" w:eastAsia="宋体" w:cs="宋体"/>
          <w:sz w:val="24"/>
          <w:szCs w:val="24"/>
          <w:highlight w:val="none"/>
        </w:rPr>
        <w:noBreakHyphen/>
      </w:r>
      <w:r>
        <w:rPr>
          <w:rFonts w:ascii="宋体" w:hAnsi="宋体" w:eastAsia="宋体" w:cs="宋体"/>
          <w:sz w:val="24"/>
          <w:szCs w:val="24"/>
          <w:highlight w:val="none"/>
        </w:rPr>
        <w:t>2019 《电力系统继电保护及安全自动装置运行评价规程》</w:t>
      </w:r>
    </w:p>
    <w:p>
      <w:pPr>
        <w:pStyle w:val="3"/>
        <w:bidi w:val="0"/>
        <w:rPr>
          <w:highlight w:val="none"/>
        </w:rPr>
      </w:pPr>
      <w:bookmarkStart w:id="17" w:name="_Toc397006843"/>
      <w:bookmarkStart w:id="18" w:name="_Toc279769035"/>
      <w:bookmarkStart w:id="19" w:name="_Toc305941521"/>
      <w:bookmarkStart w:id="20" w:name="_Toc305941229"/>
      <w:bookmarkStart w:id="21" w:name="_Toc26281"/>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电量记录分析仪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tabs>
          <w:tab w:val="left" w:pos="1125"/>
          <w:tab w:val="left" w:pos="3960"/>
        </w:tabs>
        <w:spacing w:line="360" w:lineRule="auto"/>
        <w:rPr>
          <w:rFonts w:hint="eastAsia" w:ascii="宋体" w:hAnsi="宋体"/>
          <w:szCs w:val="21"/>
          <w:highlight w:val="none"/>
        </w:rPr>
      </w:pPr>
      <w:bookmarkStart w:id="30" w:name="_Toc397006845"/>
      <w:r>
        <w:rPr>
          <w:rFonts w:hint="eastAsia" w:ascii="宋体" w:hAnsi="宋体"/>
          <w:szCs w:val="21"/>
          <w:highlight w:val="none"/>
        </w:rPr>
        <w:t>环境温度：-10～+45℃</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相对湿度：5%-95%（无凝露，也不结冰）；</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大气压力：70kPa～106kPa；</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海拔高度：＜1000m</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3"/>
        <w:bidi w:val="0"/>
        <w:rPr>
          <w:rFonts w:hint="eastAsia" w:ascii="宋体" w:hAnsi="宋体" w:eastAsia="宋体" w:cs="Times New Roman"/>
          <w:b w:val="0"/>
          <w:color w:val="000000"/>
          <w:kern w:val="2"/>
          <w:sz w:val="24"/>
          <w:szCs w:val="24"/>
          <w:highlight w:val="none"/>
          <w:lang w:val="en-US" w:eastAsia="zh-CN" w:bidi="ar-SA"/>
        </w:rPr>
      </w:pPr>
      <w:bookmarkStart w:id="31" w:name="_Toc18680"/>
      <w:r>
        <w:rPr>
          <w:rFonts w:hint="eastAsia"/>
          <w:highlight w:val="none"/>
          <w:lang w:val="en-US" w:eastAsia="zh-CN"/>
        </w:rPr>
        <w:t>4</w:t>
      </w:r>
      <w:r>
        <w:rPr>
          <w:rFonts w:hint="eastAsia"/>
          <w:highlight w:val="none"/>
        </w:rPr>
        <w:t>.技术要求</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highlight w:val="none"/>
        </w:rPr>
      </w:pPr>
      <w:r>
        <w:rPr>
          <w:rFonts w:hint="eastAsia"/>
          <w:highlight w:val="none"/>
          <w:lang w:val="en-US" w:eastAsia="zh-CN"/>
        </w:rPr>
        <w:t>4</w:t>
      </w:r>
      <w:r>
        <w:rPr>
          <w:rFonts w:hint="eastAsia"/>
          <w:highlight w:val="none"/>
        </w:rPr>
        <w:t>.1</w:t>
      </w:r>
      <w:r>
        <w:rPr>
          <w:rFonts w:hint="eastAsia"/>
          <w:highlight w:val="none"/>
          <w:lang w:eastAsia="zh-CN"/>
        </w:rPr>
        <w:t>电量记录分析仪</w:t>
      </w:r>
      <w:r>
        <w:rPr>
          <w:rFonts w:hint="eastAsia"/>
          <w:color w:val="auto"/>
          <w:highlight w:val="none"/>
          <w:shd w:val="clear" w:color="auto" w:fill="FFFFFF"/>
        </w:rPr>
        <w:t>功能</w:t>
      </w:r>
      <w:r>
        <w:rPr>
          <w:rFonts w:hint="eastAsia"/>
          <w:highlight w:val="none"/>
        </w:rPr>
        <w:t>要求</w:t>
      </w:r>
    </w:p>
    <w:p>
      <w:pPr>
        <w:keepLines w:val="0"/>
        <w:pageBreakBefore w:val="0"/>
        <w:numPr>
          <w:numId w:val="0"/>
        </w:numPr>
        <w:kinsoku/>
        <w:wordWrap/>
        <w:bidi w:val="0"/>
        <w:snapToGrid w:val="0"/>
        <w:spacing w:line="500" w:lineRule="exact"/>
        <w:ind w:firstLine="482" w:firstLineChars="200"/>
        <w:jc w:val="both"/>
        <w:rPr>
          <w:rFonts w:hint="eastAsia" w:hAnsi="Times New Roman" w:cs="Times New Roman"/>
          <w:sz w:val="24"/>
          <w:szCs w:val="24"/>
          <w:highlight w:val="none"/>
          <w:lang w:eastAsia="zh-CN"/>
        </w:rPr>
      </w:pPr>
      <w:r>
        <w:rPr>
          <w:rFonts w:hint="eastAsia" w:hAnsi="Times New Roman" w:cs="Times New Roman"/>
          <w:b/>
          <w:bCs/>
          <w:sz w:val="24"/>
          <w:szCs w:val="24"/>
          <w:highlight w:val="none"/>
          <w:lang w:val="en-US" w:eastAsia="zh-CN"/>
        </w:rPr>
        <w:t>1.</w:t>
      </w:r>
      <w:r>
        <w:rPr>
          <w:rFonts w:hint="eastAsia" w:hAnsi="Times New Roman" w:cs="Times New Roman"/>
          <w:b/>
          <w:bCs/>
          <w:sz w:val="24"/>
          <w:szCs w:val="24"/>
          <w:highlight w:val="none"/>
          <w:lang w:eastAsia="zh-CN"/>
        </w:rPr>
        <w:t>具有实时录波、数据分析及参数测试的</w:t>
      </w:r>
      <w:r>
        <w:rPr>
          <w:rFonts w:hint="eastAsia" w:hAnsi="Times New Roman" w:cs="Times New Roman"/>
          <w:b/>
          <w:bCs/>
          <w:sz w:val="24"/>
          <w:szCs w:val="24"/>
          <w:highlight w:val="none"/>
          <w:lang w:val="en-US" w:eastAsia="zh-CN"/>
        </w:rPr>
        <w:t>功能</w:t>
      </w:r>
      <w:r>
        <w:rPr>
          <w:rFonts w:hint="eastAsia" w:hAnsi="Times New Roman" w:cs="Times New Roman"/>
          <w:b/>
          <w:bCs/>
          <w:sz w:val="24"/>
          <w:szCs w:val="24"/>
          <w:highlight w:val="none"/>
          <w:lang w:eastAsia="zh-CN"/>
        </w:rPr>
        <w:t>。</w:t>
      </w:r>
      <w:r>
        <w:rPr>
          <w:rFonts w:hint="eastAsia" w:hAnsi="Times New Roman" w:cs="Times New Roman"/>
          <w:sz w:val="24"/>
          <w:szCs w:val="24"/>
          <w:highlight w:val="none"/>
          <w:lang w:val="en-US" w:eastAsia="zh-CN"/>
        </w:rPr>
        <w:t>可</w:t>
      </w:r>
      <w:r>
        <w:rPr>
          <w:rFonts w:hint="eastAsia" w:hAnsi="Times New Roman" w:cs="Times New Roman"/>
          <w:sz w:val="24"/>
          <w:szCs w:val="24"/>
          <w:highlight w:val="none"/>
          <w:lang w:eastAsia="zh-CN"/>
        </w:rPr>
        <w:t>用于开展风电场及光伏电站入网测试、储能系统入网专用测试。</w:t>
      </w:r>
    </w:p>
    <w:p>
      <w:pPr>
        <w:keepLines w:val="0"/>
        <w:pageBreakBefore w:val="0"/>
        <w:numPr>
          <w:numId w:val="0"/>
        </w:numPr>
        <w:kinsoku/>
        <w:wordWrap/>
        <w:bidi w:val="0"/>
        <w:snapToGrid w:val="0"/>
        <w:spacing w:line="500" w:lineRule="exact"/>
        <w:ind w:firstLine="480" w:firstLineChars="200"/>
        <w:jc w:val="both"/>
        <w:rPr>
          <w:rFonts w:hint="eastAsia" w:hAnsi="Times New Roman" w:cs="Times New Roman"/>
          <w:sz w:val="24"/>
          <w:szCs w:val="24"/>
          <w:highlight w:val="none"/>
          <w:lang w:eastAsia="zh-CN"/>
        </w:rPr>
      </w:pPr>
      <w:r>
        <w:rPr>
          <w:rFonts w:hint="eastAsia" w:hAnsi="Times New Roman" w:cs="Times New Roman"/>
          <w:sz w:val="24"/>
          <w:szCs w:val="24"/>
          <w:highlight w:val="none"/>
          <w:lang w:val="en-US" w:eastAsia="zh-CN"/>
        </w:rPr>
        <w:t>2.可</w:t>
      </w:r>
      <w:r>
        <w:rPr>
          <w:rFonts w:hint="eastAsia" w:hAnsi="Times New Roman" w:cs="Times New Roman"/>
          <w:sz w:val="24"/>
          <w:szCs w:val="24"/>
          <w:highlight w:val="none"/>
          <w:lang w:eastAsia="zh-CN"/>
        </w:rPr>
        <w:t>连续录波及示波；故障录波，</w:t>
      </w:r>
      <w:r>
        <w:rPr>
          <w:rFonts w:hint="eastAsia" w:hAnsi="Times New Roman" w:cs="Times New Roman"/>
          <w:sz w:val="24"/>
          <w:szCs w:val="24"/>
          <w:highlight w:val="none"/>
          <w:lang w:eastAsia="zh-CN"/>
        </w:rPr>
        <w:t>实时录波与示波功能；多种直流信号时域滤波方式，能再现直流变化过程；多种模拟信号输入。</w:t>
      </w:r>
    </w:p>
    <w:p>
      <w:pPr>
        <w:keepLines w:val="0"/>
        <w:pageBreakBefore w:val="0"/>
        <w:numPr>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3.具备</w:t>
      </w:r>
      <w:r>
        <w:rPr>
          <w:rFonts w:hint="eastAsia" w:hAnsi="Times New Roman" w:cs="Times New Roman"/>
          <w:sz w:val="24"/>
          <w:szCs w:val="24"/>
          <w:highlight w:val="none"/>
          <w:lang w:eastAsia="zh-CN"/>
        </w:rPr>
        <w:t>预录手工触发、预录手工停止、预录电气量越限触发、预录开关量变位触发等多种触发方式；可同时计算各种接线方式的功率、功率因数、交流量的频率及有效值、三相系统的序分量、脉动型直流信号的直流量提取、自定义参数的通道合成功等</w:t>
      </w:r>
      <w:r>
        <w:rPr>
          <w:rFonts w:hint="eastAsia" w:hAnsi="Times New Roman" w:cs="Times New Roman"/>
          <w:sz w:val="24"/>
          <w:szCs w:val="24"/>
          <w:highlight w:val="none"/>
          <w:lang w:val="en-US" w:eastAsia="zh-CN"/>
        </w:rPr>
        <w:t>。</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ighlight w:val="none"/>
        </w:rPr>
        <w:t>★</w:t>
      </w:r>
      <w:r>
        <w:rPr>
          <w:rFonts w:hint="eastAsia" w:hAnsi="Times New Roman" w:cs="Times New Roman"/>
          <w:sz w:val="24"/>
          <w:szCs w:val="24"/>
          <w:highlight w:val="none"/>
          <w:lang w:val="en-US" w:eastAsia="zh-CN"/>
        </w:rPr>
        <w:t>4.可进行以下项目的测试：</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① 常规电厂发电机开路及短路特性试验的数据记录、特性曲线绘制、气隙线绘制及非饱和电抗Xd的计算、短路比Kc的计算。</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② 常规发电厂励磁系统各种静态及动态试验过程的录波及重要参数的分析计算</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③ PSS参数测试及整定相关试验的数据记录及分析</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④ 同期及假同期试验过程的录波的导前时间、导前相位角的计算</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⑤ 调速系统动静态试验的仿真及数据记录与分析</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⑥ 动态无功补偿装置静态及动态特性试验过程的录波及特性参数分析</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⑦ 1分钟、10分钟功率变化量测试（含变化量、正向变化量及负向变化量）；</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⑧ 各10%功率区间10分钟、1分钟数据序列的自动抓取及统计；</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⑨ 电能质量监测并自动按10%功率区间统计与分析；</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⑩ AGC、AVC性能测试；</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⑾ SVG、SVC动态特性试验</w:t>
      </w:r>
    </w:p>
    <w:p>
      <w:pPr>
        <w:keepLines w:val="0"/>
        <w:pageBreakBefore w:val="0"/>
        <w:numPr>
          <w:ilvl w:val="0"/>
          <w:numId w:val="0"/>
        </w:numPr>
        <w:kinsoku/>
        <w:wordWrap/>
        <w:bidi w:val="0"/>
        <w:snapToGrid w:val="0"/>
        <w:spacing w:line="500" w:lineRule="exact"/>
        <w:ind w:firstLine="480" w:firstLineChars="200"/>
        <w:jc w:val="both"/>
        <w:rPr>
          <w:rFonts w:hint="eastAsia" w:hAnsi="Times New Roman" w:cs="Times New Roman"/>
          <w:sz w:val="24"/>
          <w:szCs w:val="24"/>
          <w:highlight w:val="none"/>
          <w:lang w:val="en-US" w:eastAsia="zh-CN"/>
        </w:rPr>
      </w:pPr>
      <w:r>
        <w:rPr>
          <w:rFonts w:hint="eastAsia" w:hAnsi="Times New Roman" w:cs="Times New Roman"/>
          <w:sz w:val="24"/>
          <w:szCs w:val="24"/>
          <w:highlight w:val="none"/>
          <w:lang w:val="en-US" w:eastAsia="zh-CN"/>
        </w:rPr>
        <w:t>⑿ 高穿、低穿性能测试、快速频率响应测试；</w:t>
      </w:r>
    </w:p>
    <w:p>
      <w:pPr>
        <w:pageBreakBefore w:val="0"/>
        <w:kinsoku/>
        <w:wordWrap/>
        <w:overflowPunct/>
        <w:topLinePunct/>
        <w:autoSpaceDE/>
        <w:autoSpaceDN/>
        <w:bidi w:val="0"/>
        <w:adjustRightInd/>
        <w:snapToGrid w:val="0"/>
        <w:spacing w:before="62" w:beforeLines="20" w:after="62" w:afterLines="20" w:line="460" w:lineRule="exact"/>
        <w:ind w:left="410" w:leftChars="170" w:hanging="2" w:hangingChars="1"/>
        <w:textAlignment w:val="auto"/>
        <w:rPr>
          <w:highlight w:val="none"/>
        </w:rPr>
      </w:pPr>
      <w:r>
        <w:rPr>
          <w:rFonts w:hint="eastAsia" w:hAnsi="Times New Roman" w:cs="Times New Roman"/>
          <w:sz w:val="24"/>
          <w:szCs w:val="24"/>
          <w:highlight w:val="none"/>
          <w:lang w:eastAsia="zh-CN"/>
        </w:rPr>
        <w:t>⒀ 储能系统性能测试；</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电量记录分析仪</w:t>
      </w:r>
      <w:r>
        <w:rPr>
          <w:rFonts w:hint="eastAsia"/>
          <w:color w:val="auto"/>
          <w:highlight w:val="none"/>
          <w:shd w:val="clear" w:color="auto" w:fill="FFFFFF"/>
        </w:rPr>
        <w:t>技术指标</w:t>
      </w:r>
    </w:p>
    <w:tbl>
      <w:tblPr>
        <w:tblStyle w:val="14"/>
        <w:tblW w:w="10066" w:type="dxa"/>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519"/>
        <w:gridCol w:w="598"/>
        <w:gridCol w:w="5614"/>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jc w:val="both"/>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rPr>
              <w:t>序号</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i w:val="0"/>
                <w:iCs w:val="0"/>
                <w:snapToGrid w:val="0"/>
                <w:color w:val="auto"/>
                <w:kern w:val="0"/>
                <w:sz w:val="21"/>
                <w:szCs w:val="21"/>
                <w:highlight w:val="none"/>
                <w:lang w:val="en-US" w:eastAsia="zh-CN" w:bidi="ar-SA"/>
              </w:rPr>
              <w:t>技术参数名称</w:t>
            </w:r>
          </w:p>
        </w:tc>
        <w:tc>
          <w:tcPr>
            <w:tcW w:w="598"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单位</w:t>
            </w:r>
          </w:p>
        </w:tc>
        <w:tc>
          <w:tcPr>
            <w:tcW w:w="5614"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default"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采购人需求值</w:t>
            </w:r>
          </w:p>
        </w:tc>
        <w:tc>
          <w:tcPr>
            <w:tcW w:w="166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i w:val="0"/>
                <w:iCs w:val="0"/>
                <w:snapToGrid w:val="0"/>
                <w:color w:val="auto"/>
                <w:kern w:val="0"/>
                <w:sz w:val="21"/>
                <w:szCs w:val="21"/>
                <w:highlight w:val="none"/>
                <w:lang w:val="en-US" w:eastAsia="zh-CN" w:bidi="ar-SA"/>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color w:val="000000"/>
                <w:sz w:val="18"/>
                <w:szCs w:val="18"/>
                <w:highlight w:val="none"/>
              </w:rPr>
              <w:t>仪器整体结构及基本参数</w:t>
            </w:r>
          </w:p>
        </w:tc>
        <w:tc>
          <w:tcPr>
            <w:tcW w:w="598"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w:t>
            </w:r>
            <w:r>
              <w:rPr>
                <w:rFonts w:hint="eastAsia" w:ascii="宋体" w:hAnsi="宋体" w:cs="宋体"/>
                <w:sz w:val="21"/>
                <w:szCs w:val="21"/>
                <w:highlight w:val="none"/>
              </w:rPr>
              <w:t>整体结构：仪器应采用带高分辨率液晶显示屏的一体化机箱，并自带高性能CPU、防水键盘、触摸板等；</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 xml:space="preserve">(2) 内置CPU指数指标：不低于I7 2.0GHz </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(3) 内存：不低于</w:t>
            </w:r>
            <w:r>
              <w:rPr>
                <w:rFonts w:hint="eastAsia" w:ascii="宋体" w:hAnsi="宋体" w:cs="宋体"/>
                <w:sz w:val="21"/>
                <w:szCs w:val="21"/>
                <w:highlight w:val="none"/>
                <w:lang w:val="en-US" w:eastAsia="zh-CN"/>
              </w:rPr>
              <w:t>6</w:t>
            </w:r>
            <w:r>
              <w:rPr>
                <w:rFonts w:hint="eastAsia" w:ascii="宋体" w:hAnsi="宋体" w:cs="宋体"/>
                <w:sz w:val="21"/>
                <w:szCs w:val="21"/>
                <w:highlight w:val="none"/>
              </w:rPr>
              <w:t>GB</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(4) 硬盘: 不低于</w:t>
            </w:r>
            <w:r>
              <w:rPr>
                <w:rFonts w:hint="eastAsia" w:ascii="宋体" w:hAnsi="宋体" w:cs="宋体"/>
                <w:sz w:val="21"/>
                <w:szCs w:val="21"/>
                <w:highlight w:val="none"/>
                <w:lang w:val="en-US" w:eastAsia="zh-CN"/>
              </w:rPr>
              <w:t>8</w:t>
            </w:r>
            <w:r>
              <w:rPr>
                <w:rFonts w:hint="eastAsia" w:ascii="宋体" w:hAnsi="宋体" w:cs="宋体"/>
                <w:sz w:val="21"/>
                <w:szCs w:val="21"/>
                <w:highlight w:val="none"/>
              </w:rPr>
              <w:t>00GB SATA 工业级固态硬盘</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(5) LCD显示屏指数指标：</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显示器尺寸≥14</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分辨率≥1</w:t>
            </w:r>
            <w:r>
              <w:rPr>
                <w:rFonts w:hint="eastAsia" w:ascii="宋体" w:hAnsi="宋体" w:cs="宋体"/>
                <w:sz w:val="21"/>
                <w:szCs w:val="21"/>
                <w:highlight w:val="none"/>
                <w:lang w:val="en-US" w:eastAsia="zh-CN"/>
              </w:rPr>
              <w:t>92</w:t>
            </w:r>
            <w:r>
              <w:rPr>
                <w:rFonts w:hint="eastAsia" w:ascii="宋体" w:hAnsi="宋体" w:cs="宋体"/>
                <w:sz w:val="21"/>
                <w:szCs w:val="21"/>
                <w:highlight w:val="none"/>
              </w:rPr>
              <w:t>0*</w:t>
            </w:r>
            <w:r>
              <w:rPr>
                <w:rFonts w:hint="eastAsia" w:ascii="宋体" w:hAnsi="宋体" w:cs="宋体"/>
                <w:sz w:val="21"/>
                <w:szCs w:val="21"/>
                <w:highlight w:val="none"/>
                <w:lang w:val="en-US" w:eastAsia="zh-CN"/>
              </w:rPr>
              <w:t>10</w:t>
            </w:r>
            <w:r>
              <w:rPr>
                <w:rFonts w:hint="eastAsia" w:ascii="宋体" w:hAnsi="宋体" w:cs="宋体"/>
                <w:sz w:val="21"/>
                <w:szCs w:val="21"/>
                <w:highlight w:val="none"/>
              </w:rPr>
              <w:t>80</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亮度：大于700流明，强光下可视。</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(6) 以太网口：2个10/100/1000Mbps 自适应以太网接口</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(7) USB接口：5个USB2.0接口</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highlight w:val="none"/>
              </w:rPr>
              <w:t>★</w:t>
            </w:r>
            <w:r>
              <w:rPr>
                <w:rFonts w:hint="eastAsia" w:ascii="宋体" w:hAnsi="宋体" w:cs="宋体"/>
                <w:b/>
                <w:bCs/>
                <w:sz w:val="21"/>
                <w:szCs w:val="21"/>
                <w:highlight w:val="none"/>
                <w:shd w:val="clear" w:fill="FFFFFF" w:themeFill="background1"/>
                <w:lang w:val="en-US" w:eastAsia="zh-CN"/>
              </w:rPr>
              <w:t xml:space="preserve">(8) </w:t>
            </w:r>
            <w:r>
              <w:rPr>
                <w:rFonts w:hint="eastAsia" w:ascii="宋体" w:hAnsi="宋体" w:cs="宋体"/>
                <w:b/>
                <w:bCs/>
                <w:sz w:val="21"/>
                <w:szCs w:val="21"/>
                <w:highlight w:val="none"/>
                <w:shd w:val="clear" w:fill="FFFFFF" w:themeFill="background1"/>
              </w:rPr>
              <w:t>仪器既可以单独使用，也可以通过以太网与远方的电脑配合使用，并可以多台仪器并联使用，并联使用保证各台仪器同步采集。</w:t>
            </w:r>
          </w:p>
        </w:tc>
        <w:tc>
          <w:tcPr>
            <w:tcW w:w="166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3</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highlight w:val="none"/>
              </w:rPr>
              <w:t>★</w:t>
            </w:r>
            <w:r>
              <w:rPr>
                <w:rFonts w:hint="eastAsia" w:ascii="宋体" w:hAnsi="宋体" w:cs="宋体"/>
                <w:sz w:val="21"/>
                <w:szCs w:val="21"/>
                <w:highlight w:val="none"/>
              </w:rPr>
              <w:t>模拟通道量程要求</w:t>
            </w:r>
          </w:p>
        </w:tc>
        <w:tc>
          <w:tcPr>
            <w:tcW w:w="598"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b/>
                <w:bCs/>
                <w:sz w:val="21"/>
                <w:szCs w:val="21"/>
                <w:highlight w:val="none"/>
                <w:shd w:val="clear" w:fill="FFFFFF" w:themeFill="background1"/>
                <w:lang w:val="en-US" w:eastAsia="zh-CN"/>
              </w:rPr>
            </w:pPr>
          </w:p>
        </w:tc>
        <w:tc>
          <w:tcPr>
            <w:tcW w:w="5614"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每通道具有可独立程控的8挡量程，最高量程不低于DC±2000V（AC1400V），最低量程不大于±20mV（AC14mV）</w:t>
            </w:r>
          </w:p>
        </w:tc>
        <w:tc>
          <w:tcPr>
            <w:tcW w:w="166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4</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highlight w:val="none"/>
              </w:rPr>
              <w:t>★</w:t>
            </w:r>
            <w:r>
              <w:rPr>
                <w:rFonts w:hint="eastAsia" w:ascii="宋体" w:hAnsi="宋体" w:cs="宋体"/>
                <w:sz w:val="21"/>
                <w:szCs w:val="21"/>
                <w:highlight w:val="none"/>
              </w:rPr>
              <w:t>测量精度</w:t>
            </w:r>
          </w:p>
        </w:tc>
        <w:tc>
          <w:tcPr>
            <w:tcW w:w="598"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p>
        </w:tc>
        <w:tc>
          <w:tcPr>
            <w:tcW w:w="5614"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优于0.1%FS（0.1级）</w:t>
            </w:r>
          </w:p>
        </w:tc>
        <w:tc>
          <w:tcPr>
            <w:tcW w:w="166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5</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工作环境</w:t>
            </w:r>
          </w:p>
        </w:tc>
        <w:tc>
          <w:tcPr>
            <w:tcW w:w="598"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室内</w:t>
            </w:r>
          </w:p>
        </w:tc>
        <w:tc>
          <w:tcPr>
            <w:tcW w:w="166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893"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6</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bCs/>
                <w:sz w:val="21"/>
                <w:szCs w:val="21"/>
                <w:highlight w:val="none"/>
              </w:rPr>
            </w:pPr>
            <w:r>
              <w:rPr>
                <w:rFonts w:hint="eastAsia"/>
                <w:highlight w:val="none"/>
              </w:rPr>
              <w:t>★</w:t>
            </w:r>
            <w:r>
              <w:rPr>
                <w:rFonts w:hint="eastAsia" w:ascii="宋体" w:hAnsi="宋体" w:cs="宋体"/>
                <w:sz w:val="21"/>
                <w:szCs w:val="21"/>
                <w:highlight w:val="none"/>
                <w:shd w:val="clear" w:color="auto" w:fill="FFFFFF"/>
              </w:rPr>
              <w:t>仪器输入通道配置数量</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路</w:t>
            </w: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rPr>
              <w:t>① 模拟量输入通道数</w:t>
            </w:r>
            <w:r>
              <w:rPr>
                <w:rFonts w:hint="eastAsia" w:ascii="宋体" w:hAnsi="宋体" w:cs="宋体"/>
                <w:sz w:val="21"/>
                <w:szCs w:val="21"/>
                <w:highlight w:val="none"/>
              </w:rPr>
              <w:sym w:font="Symbol" w:char="F0B3"/>
            </w:r>
            <w:r>
              <w:rPr>
                <w:rFonts w:hint="eastAsia" w:ascii="宋体" w:hAnsi="宋体" w:cs="宋体"/>
                <w:sz w:val="21"/>
                <w:szCs w:val="21"/>
                <w:highlight w:val="none"/>
                <w:lang w:val="en-US" w:eastAsia="zh-CN"/>
              </w:rPr>
              <w:t>16</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开关量输入通道数</w:t>
            </w:r>
            <w:r>
              <w:rPr>
                <w:rFonts w:hint="eastAsia" w:ascii="宋体" w:hAnsi="宋体" w:cs="宋体"/>
                <w:sz w:val="21"/>
                <w:szCs w:val="21"/>
                <w:highlight w:val="none"/>
              </w:rPr>
              <w:sym w:font="Symbol" w:char="F0B3"/>
            </w:r>
            <w:r>
              <w:rPr>
                <w:rFonts w:hint="eastAsia" w:ascii="宋体" w:hAnsi="宋体" w:cs="宋体"/>
                <w:sz w:val="21"/>
                <w:szCs w:val="21"/>
                <w:highlight w:val="none"/>
              </w:rPr>
              <w:t>8</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③ 开关量输出通道数</w:t>
            </w:r>
            <w:r>
              <w:rPr>
                <w:rFonts w:hint="eastAsia" w:ascii="宋体" w:hAnsi="宋体" w:cs="宋体"/>
                <w:sz w:val="21"/>
                <w:szCs w:val="21"/>
                <w:highlight w:val="none"/>
              </w:rPr>
              <w:sym w:font="Symbol" w:char="F0B3"/>
            </w:r>
            <w:r>
              <w:rPr>
                <w:rFonts w:hint="eastAsia" w:ascii="宋体" w:hAnsi="宋体" w:cs="宋体"/>
                <w:sz w:val="21"/>
                <w:szCs w:val="21"/>
                <w:highlight w:val="none"/>
              </w:rPr>
              <w:t>8</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3"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7</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highlight w:val="none"/>
              </w:rPr>
              <w:t>★</w:t>
            </w:r>
            <w:r>
              <w:rPr>
                <w:rFonts w:hint="eastAsia" w:ascii="宋体" w:hAnsi="宋体" w:cs="宋体"/>
                <w:bCs/>
                <w:sz w:val="21"/>
                <w:szCs w:val="21"/>
                <w:highlight w:val="none"/>
              </w:rPr>
              <w:t>低电压、交流电流及变送器信号输入通道</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① 通道数量不少于</w:t>
            </w:r>
            <w:r>
              <w:rPr>
                <w:rFonts w:hint="eastAsia" w:ascii="宋体" w:hAnsi="宋体" w:cs="宋体"/>
                <w:sz w:val="21"/>
                <w:szCs w:val="21"/>
                <w:highlight w:val="none"/>
                <w:lang w:val="en-US" w:eastAsia="zh-CN"/>
              </w:rPr>
              <w:t>12</w:t>
            </w:r>
            <w:r>
              <w:rPr>
                <w:rFonts w:hint="eastAsia" w:ascii="宋体" w:hAnsi="宋体" w:cs="宋体"/>
                <w:sz w:val="21"/>
                <w:szCs w:val="21"/>
                <w:highlight w:val="none"/>
              </w:rPr>
              <w:t>路，具备通道隔离、过压保护功能；交流电流采用钳形互感器，以避免试验时断开现场电流回路，DC 20mA信号直接输入。</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隔离电压能力：不低于2000VDC，1分钟。</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③ 直流量程：具有不少于8挡的可程控量程，具体可以为DC 200V、100V、25V、10V、5V、2V、500mV(20mA)、100mV八量程内部程控分档；</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④ 交流量程：具有不少于8挡的可程控量程，具体可以为AC 140V、70V、17.5V、7V、3.5V、1.4V、1H、0.2H八量程内部程控分档.H为钳形互感器额定值。</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both"/>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⑤ 带宽≥50db</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⑥ 精度</w:t>
            </w:r>
            <w:r>
              <w:rPr>
                <w:rFonts w:hint="eastAsia" w:ascii="宋体" w:hAnsi="宋体" w:cs="宋体"/>
                <w:sz w:val="21"/>
                <w:szCs w:val="21"/>
                <w:highlight w:val="none"/>
                <w:lang w:val="en-US" w:eastAsia="zh-CN"/>
              </w:rPr>
              <w:t>优于</w:t>
            </w:r>
            <w:r>
              <w:rPr>
                <w:rFonts w:hint="eastAsia" w:ascii="宋体" w:hAnsi="宋体" w:cs="宋体"/>
                <w:sz w:val="21"/>
                <w:szCs w:val="21"/>
                <w:highlight w:val="none"/>
              </w:rPr>
              <w:t>0.1%量程值+0.05%读数值</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b/>
                <w:bCs/>
                <w:sz w:val="21"/>
                <w:szCs w:val="21"/>
                <w:highlight w:val="none"/>
                <w:shd w:val="clear" w:fill="FFFFFF" w:themeFill="background1"/>
                <w:lang w:val="en-US" w:eastAsia="zh-CN"/>
              </w:rPr>
              <w:t>⑦ 任意数量通道同步采集最大速率&gt;400kS/S</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8</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bCs/>
                <w:sz w:val="21"/>
                <w:szCs w:val="21"/>
                <w:highlight w:val="none"/>
              </w:rPr>
              <w:t>强电压交直流电压信号输入通道</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① 通道数不少于</w:t>
            </w:r>
            <w:r>
              <w:rPr>
                <w:rFonts w:hint="eastAsia" w:ascii="宋体" w:hAnsi="宋体" w:cs="宋体"/>
                <w:sz w:val="21"/>
                <w:szCs w:val="21"/>
                <w:highlight w:val="none"/>
                <w:lang w:val="en-US" w:eastAsia="zh-CN"/>
              </w:rPr>
              <w:t>4</w:t>
            </w:r>
            <w:r>
              <w:rPr>
                <w:rFonts w:hint="eastAsia" w:ascii="宋体" w:hAnsi="宋体" w:cs="宋体"/>
                <w:sz w:val="21"/>
                <w:szCs w:val="21"/>
                <w:highlight w:val="none"/>
              </w:rPr>
              <w:t>路，具备保护、隔离功能</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隔离电压水平：不低于2500VDC，1分钟。</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③直流量程：具有不少于8挡的可程控量程，具体可以为DC 2000V、1000V、400V、200V、100V、50V、20V、10V八量程内部程控分档；</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④交流量程：具有不少于8挡的可程控量程，具体可以为AC 1400V、700V、280V、140V、70V、35V、14V、7V八量程内部程控分档。</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⑤ 带宽≥50db</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⑥ 精度≤0.1%量程值+0.05%读数值</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b/>
                <w:bCs/>
                <w:sz w:val="21"/>
                <w:szCs w:val="21"/>
                <w:highlight w:val="none"/>
                <w:shd w:val="clear" w:fill="FFFFFF" w:themeFill="background1"/>
                <w:lang w:val="en-US" w:eastAsia="zh-CN"/>
              </w:rPr>
              <w:t>⑦ 任意数量通道同步采集最大速率&gt;400kS/S</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3"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9</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bCs/>
                <w:sz w:val="21"/>
                <w:szCs w:val="21"/>
                <w:highlight w:val="none"/>
              </w:rPr>
              <w:t>开关量输入通道</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① 通道数量不小于8路，可以采用空接点及有源接点兼容。</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隔离电压：不低于2000VDC，1分钟。</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③ 仪器内部提供开入回路电源。</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b/>
                <w:bCs/>
                <w:sz w:val="21"/>
                <w:szCs w:val="21"/>
                <w:highlight w:val="none"/>
                <w:shd w:val="clear" w:fill="FFFFFF" w:themeFill="background1"/>
                <w:lang w:val="en-US" w:eastAsia="zh-CN"/>
              </w:rPr>
              <w:t>④ 任意数量通道同步采集最大速率&gt;400kS/S</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219"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0</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bCs/>
                <w:sz w:val="21"/>
                <w:szCs w:val="21"/>
                <w:highlight w:val="none"/>
              </w:rPr>
              <w:t>开关量输出通道</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不小于8路光电可控硅节点输出</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隔离电压：不低于1500VDC，1分钟。</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③ 带载能力：不少于250V/0.1A</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④输出时间误差≤10μS</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1</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仪器内存</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bCs/>
                <w:sz w:val="21"/>
                <w:szCs w:val="21"/>
                <w:highlight w:val="none"/>
              </w:rPr>
            </w:pPr>
            <w:r>
              <w:rPr>
                <w:rFonts w:hint="eastAsia" w:ascii="宋体" w:hAnsi="宋体" w:cs="宋体"/>
                <w:sz w:val="21"/>
                <w:szCs w:val="21"/>
                <w:highlight w:val="none"/>
              </w:rPr>
              <w:t>GB</w:t>
            </w: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eastAsia="仿宋_GB2312" w:cs="宋体"/>
                <w:bCs/>
                <w:kern w:val="2"/>
                <w:sz w:val="21"/>
                <w:szCs w:val="21"/>
                <w:highlight w:val="none"/>
                <w:lang w:val="en-US" w:eastAsia="zh-CN" w:bidi="ar-SA"/>
              </w:rPr>
            </w:pPr>
            <w:r>
              <w:rPr>
                <w:rFonts w:hint="eastAsia" w:ascii="宋体" w:hAnsi="宋体" w:cs="宋体"/>
                <w:sz w:val="21"/>
                <w:szCs w:val="21"/>
                <w:highlight w:val="none"/>
              </w:rPr>
              <w:t>不低于</w:t>
            </w:r>
            <w:r>
              <w:rPr>
                <w:rFonts w:hint="eastAsia" w:ascii="宋体" w:hAnsi="宋体" w:cs="宋体"/>
                <w:sz w:val="21"/>
                <w:szCs w:val="21"/>
                <w:highlight w:val="none"/>
                <w:lang w:val="en-US" w:eastAsia="zh-CN"/>
              </w:rPr>
              <w:t>6</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2</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bCs/>
                <w:sz w:val="21"/>
                <w:szCs w:val="21"/>
                <w:highlight w:val="none"/>
              </w:rPr>
            </w:pPr>
            <w:r>
              <w:rPr>
                <w:rFonts w:hint="eastAsia" w:ascii="宋体" w:hAnsi="宋体" w:cs="宋体"/>
                <w:sz w:val="21"/>
                <w:szCs w:val="21"/>
                <w:highlight w:val="none"/>
              </w:rPr>
              <w:t>仪器硬盘</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bCs/>
                <w:sz w:val="21"/>
                <w:szCs w:val="21"/>
                <w:highlight w:val="none"/>
              </w:rPr>
            </w:pPr>
            <w:r>
              <w:rPr>
                <w:rFonts w:hint="eastAsia" w:ascii="宋体" w:hAnsi="宋体" w:cs="宋体"/>
                <w:sz w:val="21"/>
                <w:szCs w:val="21"/>
                <w:highlight w:val="none"/>
              </w:rPr>
              <w:t>GB</w:t>
            </w: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sz w:val="21"/>
                <w:szCs w:val="21"/>
                <w:highlight w:val="none"/>
              </w:rPr>
              <w:t>不低于</w:t>
            </w:r>
            <w:r>
              <w:rPr>
                <w:rFonts w:hint="eastAsia" w:ascii="宋体" w:hAnsi="宋体" w:cs="宋体"/>
                <w:sz w:val="21"/>
                <w:szCs w:val="21"/>
                <w:highlight w:val="none"/>
                <w:lang w:val="en-US" w:eastAsia="zh-CN"/>
              </w:rPr>
              <w:t>8</w:t>
            </w:r>
            <w:r>
              <w:rPr>
                <w:rFonts w:hint="eastAsia" w:ascii="宋体" w:hAnsi="宋体" w:cs="宋体"/>
                <w:sz w:val="21"/>
                <w:szCs w:val="21"/>
                <w:highlight w:val="none"/>
              </w:rPr>
              <w:t>00</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21" w:hRule="atLeast"/>
        </w:trPr>
        <w:tc>
          <w:tcPr>
            <w:tcW w:w="666"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3</w:t>
            </w:r>
          </w:p>
        </w:tc>
        <w:tc>
          <w:tcPr>
            <w:tcW w:w="151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bCs/>
                <w:sz w:val="21"/>
                <w:szCs w:val="21"/>
                <w:highlight w:val="none"/>
              </w:rPr>
              <w:t>配套钳形互感器</w:t>
            </w:r>
          </w:p>
        </w:tc>
        <w:tc>
          <w:tcPr>
            <w:tcW w:w="598"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Cs/>
                <w:sz w:val="21"/>
                <w:szCs w:val="21"/>
                <w:highlight w:val="none"/>
              </w:rPr>
            </w:pPr>
          </w:p>
        </w:tc>
        <w:tc>
          <w:tcPr>
            <w:tcW w:w="5614"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① 电流钳量程：5A</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sz w:val="21"/>
                <w:szCs w:val="21"/>
                <w:highlight w:val="none"/>
              </w:rPr>
            </w:pPr>
            <w:r>
              <w:rPr>
                <w:rFonts w:hint="eastAsia" w:ascii="宋体" w:hAnsi="宋体" w:cs="宋体"/>
                <w:sz w:val="21"/>
                <w:szCs w:val="21"/>
                <w:highlight w:val="none"/>
              </w:rPr>
              <w:t>② 电流钳数量：</w:t>
            </w:r>
            <w:r>
              <w:rPr>
                <w:rFonts w:hint="eastAsia" w:ascii="宋体" w:hAnsi="宋体" w:cs="宋体"/>
                <w:sz w:val="21"/>
                <w:szCs w:val="21"/>
                <w:highlight w:val="none"/>
                <w:lang w:val="en-US" w:eastAsia="zh-CN"/>
              </w:rPr>
              <w:t>9</w:t>
            </w:r>
            <w:r>
              <w:rPr>
                <w:rFonts w:hint="eastAsia" w:ascii="宋体" w:hAnsi="宋体" w:cs="宋体"/>
                <w:sz w:val="21"/>
                <w:szCs w:val="21"/>
                <w:highlight w:val="none"/>
              </w:rPr>
              <w:t>个</w:t>
            </w:r>
          </w:p>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sz w:val="21"/>
                <w:szCs w:val="21"/>
                <w:highlight w:val="none"/>
              </w:rPr>
              <w:t>③ 取电方式:无源</w:t>
            </w:r>
          </w:p>
        </w:tc>
        <w:tc>
          <w:tcPr>
            <w:tcW w:w="1669" w:type="dxa"/>
            <w:shd w:val="clear" w:color="auto" w:fill="FFFFFF"/>
            <w:noWrap w:val="0"/>
            <w:tcMar>
              <w:left w:w="0" w:type="dxa"/>
              <w:right w:w="0" w:type="dxa"/>
            </w:tcMar>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15</w:t>
            </w:r>
          </w:p>
        </w:tc>
        <w:tc>
          <w:tcPr>
            <w:tcW w:w="1519"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使用时限</w:t>
            </w:r>
          </w:p>
        </w:tc>
        <w:tc>
          <w:tcPr>
            <w:tcW w:w="598"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bCs/>
                <w:sz w:val="21"/>
                <w:szCs w:val="21"/>
                <w:highlight w:val="none"/>
              </w:rPr>
            </w:pPr>
            <w:r>
              <w:rPr>
                <w:rFonts w:hint="eastAsia" w:ascii="宋体" w:hAnsi="宋体" w:cs="宋体"/>
                <w:sz w:val="21"/>
                <w:szCs w:val="21"/>
                <w:highlight w:val="none"/>
              </w:rPr>
              <w:t>年</w:t>
            </w:r>
          </w:p>
        </w:tc>
        <w:tc>
          <w:tcPr>
            <w:tcW w:w="5614"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8</w:t>
            </w:r>
          </w:p>
        </w:tc>
        <w:tc>
          <w:tcPr>
            <w:tcW w:w="166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16</w:t>
            </w:r>
          </w:p>
        </w:tc>
        <w:tc>
          <w:tcPr>
            <w:tcW w:w="1519"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支持的数据记录方式</w:t>
            </w:r>
          </w:p>
        </w:tc>
        <w:tc>
          <w:tcPr>
            <w:tcW w:w="598"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bCs/>
                <w:sz w:val="21"/>
                <w:szCs w:val="21"/>
                <w:highlight w:val="none"/>
              </w:rPr>
            </w:pPr>
          </w:p>
        </w:tc>
        <w:tc>
          <w:tcPr>
            <w:tcW w:w="5614"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sz w:val="21"/>
                <w:szCs w:val="21"/>
                <w:highlight w:val="none"/>
              </w:rPr>
              <w:t>连续录波方式、特性试验（单组记录）方式、故障录波方式、长期监测方式、长期录波方式、功率变化及电能质量测试方式</w:t>
            </w:r>
          </w:p>
        </w:tc>
        <w:tc>
          <w:tcPr>
            <w:tcW w:w="166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17</w:t>
            </w:r>
          </w:p>
        </w:tc>
        <w:tc>
          <w:tcPr>
            <w:tcW w:w="1519"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所有通道同步采集频率</w:t>
            </w:r>
          </w:p>
        </w:tc>
        <w:tc>
          <w:tcPr>
            <w:tcW w:w="598"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left"/>
              <w:textAlignment w:val="auto"/>
              <w:rPr>
                <w:rFonts w:hint="eastAsia" w:ascii="宋体" w:hAnsi="宋体" w:cs="宋体"/>
                <w:bCs/>
                <w:sz w:val="21"/>
                <w:szCs w:val="21"/>
                <w:highlight w:val="none"/>
              </w:rPr>
            </w:pPr>
            <w:r>
              <w:rPr>
                <w:rFonts w:hint="eastAsia" w:ascii="宋体" w:hAnsi="宋体" w:cs="宋体"/>
                <w:sz w:val="21"/>
                <w:szCs w:val="21"/>
                <w:highlight w:val="none"/>
              </w:rPr>
              <w:t>kHz</w:t>
            </w:r>
          </w:p>
        </w:tc>
        <w:tc>
          <w:tcPr>
            <w:tcW w:w="5614"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left"/>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b/>
                <w:bCs/>
                <w:sz w:val="21"/>
                <w:szCs w:val="21"/>
                <w:highlight w:val="none"/>
                <w:shd w:val="clear" w:fill="FFFFFF" w:themeFill="background1"/>
                <w:lang w:val="en-US" w:eastAsia="zh-CN"/>
              </w:rPr>
              <w:t>任意数量通道同步采集不低于400，并可以在1.6、3.2、6.4、12.8、25.6、51.2、102.4、204.8、409.6之间可选。</w:t>
            </w:r>
          </w:p>
        </w:tc>
        <w:tc>
          <w:tcPr>
            <w:tcW w:w="166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18</w:t>
            </w:r>
          </w:p>
        </w:tc>
        <w:tc>
          <w:tcPr>
            <w:tcW w:w="1519"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数据采集方式</w:t>
            </w:r>
          </w:p>
        </w:tc>
        <w:tc>
          <w:tcPr>
            <w:tcW w:w="598"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
                <w:bCs/>
                <w:sz w:val="21"/>
                <w:szCs w:val="21"/>
                <w:highlight w:val="none"/>
                <w:shd w:val="clear" w:fill="FFFFFF" w:themeFill="background1"/>
                <w:lang w:val="en-US" w:eastAsia="zh-CN"/>
              </w:rPr>
            </w:pPr>
          </w:p>
        </w:tc>
        <w:tc>
          <w:tcPr>
            <w:tcW w:w="5614"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left"/>
              <w:textAlignment w:val="auto"/>
              <w:rPr>
                <w:rFonts w:hint="eastAsia" w:ascii="宋体" w:hAnsi="宋体" w:cs="宋体"/>
                <w:b/>
                <w:bCs/>
                <w:sz w:val="21"/>
                <w:szCs w:val="21"/>
                <w:highlight w:val="none"/>
                <w:shd w:val="clear" w:fill="FFFFFF" w:themeFill="background1"/>
                <w:lang w:val="en-US" w:eastAsia="zh-CN"/>
              </w:rPr>
            </w:pPr>
            <w:r>
              <w:rPr>
                <w:rFonts w:hint="eastAsia" w:ascii="宋体" w:hAnsi="宋体" w:cs="宋体"/>
                <w:b/>
                <w:bCs/>
                <w:sz w:val="21"/>
                <w:szCs w:val="21"/>
                <w:highlight w:val="none"/>
                <w:shd w:val="clear" w:fill="FFFFFF" w:themeFill="background1"/>
                <w:lang w:val="en-US" w:eastAsia="zh-CN"/>
              </w:rPr>
              <w:t>仪器支持同频或异频两种同步采集数据方式。支持多通道同时采用同一频率采集记录数据或采用高、中、低3种（或2中）不同采集频率记录数据</w:t>
            </w:r>
          </w:p>
        </w:tc>
        <w:tc>
          <w:tcPr>
            <w:tcW w:w="166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 w:hRule="atLeast"/>
        </w:trPr>
        <w:tc>
          <w:tcPr>
            <w:tcW w:w="666"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19</w:t>
            </w:r>
          </w:p>
        </w:tc>
        <w:tc>
          <w:tcPr>
            <w:tcW w:w="151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测量信号类型</w:t>
            </w:r>
          </w:p>
        </w:tc>
        <w:tc>
          <w:tcPr>
            <w:tcW w:w="598"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left"/>
              <w:textAlignment w:val="auto"/>
              <w:rPr>
                <w:rFonts w:hint="eastAsia" w:ascii="宋体" w:hAnsi="宋体" w:cs="宋体"/>
                <w:bCs/>
                <w:sz w:val="21"/>
                <w:szCs w:val="21"/>
                <w:highlight w:val="none"/>
              </w:rPr>
            </w:pPr>
          </w:p>
        </w:tc>
        <w:tc>
          <w:tcPr>
            <w:tcW w:w="5614" w:type="dxa"/>
            <w:shd w:val="clear" w:color="auto" w:fill="FFFFFF"/>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left"/>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sz w:val="21"/>
                <w:szCs w:val="21"/>
                <w:highlight w:val="none"/>
              </w:rPr>
              <w:t>工频交流信号、非工频交流信号、直流信号、工频脉冲信号，非工频脉冲信号、SPWM电压信号、变频电流信号</w:t>
            </w:r>
          </w:p>
        </w:tc>
        <w:tc>
          <w:tcPr>
            <w:tcW w:w="1669" w:type="dxa"/>
            <w:shd w:val="clear" w:color="auto" w:fill="FFFFFF"/>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20</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分析计算功能</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交流量的基波有效值、真有效值、全有效值；单相及三相系统的基波有功功率、无功功率、功率因数；单相及三相系统的全有功功率、无功功率、功率因数；工频三相系统的瞬时有功功率、无功功率、功率因数、无功电流；任意频率三相系统有功功率、无功功率、功率因数；交流波形及脉动波形的频率；三相系统正序分量、负序分量、零序分量；三相系统六角图、任意数量交流量的矢量图；直流信号平均值。动态过程的初始稳态值、峰值、终了稳态值、超调量、调节时间、上升时间、下降时间、时间常数、振荡次数、响应时间、顶值倍数、阻尼比。</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21</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测量项目</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各相电流、电压、有功、无功、视在功率、功率因数、无功电流、三相电压及电流的瞬时有效值、三相系统的瞬时有功功率及无功功率、各次谐波含量、THD、电压闪变值等，风电场及光伏电站的1分钟及10分钟功率变化量、各10%功率区间的10分钟序列自动抓取及统计。</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22</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谐波分析标准</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IEC61000-3-2 &amp; IEC61000-3-12最新标准执行谐波分析，误差&lt;1%。</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23</w:t>
            </w:r>
          </w:p>
        </w:tc>
        <w:tc>
          <w:tcPr>
            <w:tcW w:w="15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闪变分析标准</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电压波动和闪变测量符合IEC61600-3-3 &amp; IEC61000-3-11，误差&lt;1%。</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24</w:t>
            </w:r>
          </w:p>
        </w:tc>
        <w:tc>
          <w:tcPr>
            <w:tcW w:w="151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功率跟踪能力测试功能</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Ethernet接口连接AVC(AGC)等，提供电力104规约，用于获取风电场或光伏电站的有功或无功设定值。</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25</w:t>
            </w:r>
          </w:p>
        </w:tc>
        <w:tc>
          <w:tcPr>
            <w:tcW w:w="151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风电场并网测试专用功能</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default" w:ascii="宋体" w:hAnsi="宋体" w:eastAsia="仿宋_GB2312" w:cs="宋体"/>
                <w:kern w:val="2"/>
                <w:sz w:val="21"/>
                <w:szCs w:val="21"/>
                <w:highlight w:val="none"/>
                <w:lang w:val="en-US" w:eastAsia="zh-CN" w:bidi="ar-SA"/>
              </w:rPr>
            </w:pPr>
            <w:r>
              <w:rPr>
                <w:rFonts w:hint="eastAsia" w:ascii="宋体" w:hAnsi="宋体" w:cs="宋体"/>
                <w:sz w:val="21"/>
                <w:szCs w:val="21"/>
                <w:highlight w:val="none"/>
              </w:rPr>
              <w:t>满足《QGDW 10630-2023 风电场功率调节能力和电能质量测试规程》要求开展风电场功率特性及电能质量测试</w:t>
            </w:r>
            <w:r>
              <w:rPr>
                <w:rFonts w:hint="eastAsia" w:ascii="宋体" w:hAnsi="宋体" w:cs="宋体"/>
                <w:sz w:val="21"/>
                <w:szCs w:val="21"/>
                <w:highlight w:val="none"/>
                <w:lang w:eastAsia="zh-CN"/>
              </w:rPr>
              <w:t>，</w:t>
            </w:r>
            <w:r>
              <w:rPr>
                <w:rFonts w:hint="eastAsia" w:ascii="宋体" w:hAnsi="宋体" w:cs="宋体"/>
                <w:b/>
                <w:bCs/>
                <w:sz w:val="21"/>
                <w:szCs w:val="21"/>
                <w:highlight w:val="none"/>
                <w:shd w:val="clear" w:fill="FFFFFF" w:themeFill="background1"/>
                <w:lang w:val="en-US" w:eastAsia="zh-CN"/>
              </w:rPr>
              <w:t>并满足NB∕T 31005-2022 风电场电能质量测试方法的要求具备高频分量及变动量的测试及统计功能</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26</w:t>
            </w:r>
          </w:p>
        </w:tc>
        <w:tc>
          <w:tcPr>
            <w:tcW w:w="151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光伏电站并网测试专用功能</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满足《GB/T 31365-2015光伏电站接入电网检测规程》要求开展光伏电站接入电网的功率特性及电能质量测试</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27</w:t>
            </w:r>
          </w:p>
        </w:tc>
        <w:tc>
          <w:tcPr>
            <w:tcW w:w="151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黑体" w:hAnsi="黑体" w:eastAsia="黑体" w:cs="黑体"/>
                <w:szCs w:val="22"/>
                <w:highlight w:val="none"/>
              </w:rPr>
              <w:t>★</w:t>
            </w:r>
            <w:r>
              <w:rPr>
                <w:rFonts w:hint="eastAsia" w:ascii="宋体" w:hAnsi="宋体" w:cs="宋体"/>
                <w:sz w:val="21"/>
                <w:szCs w:val="21"/>
                <w:highlight w:val="none"/>
              </w:rPr>
              <w:t>一次调频测试专用功能</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cs="宋体"/>
                <w:sz w:val="21"/>
                <w:szCs w:val="21"/>
                <w:highlight w:val="none"/>
              </w:rPr>
            </w:pP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具有一次调频相关信号的测量、中间变量的计算及指标参数的计算功能</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666"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right="0" w:rightChars="0"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28</w:t>
            </w:r>
          </w:p>
        </w:tc>
        <w:tc>
          <w:tcPr>
            <w:tcW w:w="151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交流供电范围</w:t>
            </w:r>
          </w:p>
        </w:tc>
        <w:tc>
          <w:tcPr>
            <w:tcW w:w="598"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V</w:t>
            </w:r>
          </w:p>
        </w:tc>
        <w:tc>
          <w:tcPr>
            <w:tcW w:w="5614"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rPr>
              <w:t>AC</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95～260</w:t>
            </w:r>
          </w:p>
        </w:tc>
        <w:tc>
          <w:tcPr>
            <w:tcW w:w="1669" w:type="dxa"/>
            <w:noWrap w:val="0"/>
            <w:vAlign w:val="center"/>
          </w:tcPr>
          <w:p>
            <w:pPr>
              <w:keepNext w:val="0"/>
              <w:keepLines w:val="0"/>
              <w:pageBreakBefore w:val="0"/>
              <w:widowControl w:val="0"/>
              <w:kinsoku/>
              <w:wordWrap/>
              <w:overflowPunct/>
              <w:topLinePunct/>
              <w:autoSpaceDE/>
              <w:autoSpaceDN/>
              <w:bidi w:val="0"/>
              <w:adjustRightInd/>
              <w:spacing w:line="240" w:lineRule="auto"/>
              <w:ind w:left="0" w:leftChars="0" w:right="0" w:rightChars="0" w:firstLine="0" w:firstLineChars="0"/>
              <w:jc w:val="center"/>
              <w:textAlignment w:val="auto"/>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eastAsia="zh-CN"/>
              </w:rPr>
              <w:t>投标人</w:t>
            </w:r>
            <w:r>
              <w:rPr>
                <w:rFonts w:hint="eastAsia" w:ascii="宋体" w:hAnsi="宋体" w:cs="宋体"/>
                <w:sz w:val="21"/>
                <w:szCs w:val="21"/>
                <w:highlight w:val="none"/>
              </w:rPr>
              <w:t>填写）</w:t>
            </w:r>
          </w:p>
        </w:tc>
      </w:tr>
    </w:tbl>
    <w:p>
      <w:pPr>
        <w:pStyle w:val="3"/>
        <w:bidi w:val="0"/>
        <w:rPr>
          <w:rFonts w:cs="宋体"/>
          <w:spacing w:val="1"/>
          <w:highlight w:val="none"/>
        </w:rPr>
      </w:pPr>
      <w:bookmarkStart w:id="32" w:name="_Toc20099"/>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3"/>
        <w:bidi w:val="0"/>
        <w:rPr>
          <w:highlight w:val="none"/>
        </w:rPr>
      </w:pPr>
      <w:bookmarkStart w:id="33" w:name="_Toc7595"/>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3"/>
        <w:bidi w:val="0"/>
        <w:rPr>
          <w:rFonts w:hint="default"/>
          <w:highlight w:val="none"/>
          <w:lang w:val="en-US" w:eastAsia="zh-CN"/>
        </w:rPr>
      </w:pPr>
      <w:bookmarkStart w:id="34" w:name="_Toc8520"/>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3"/>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3"/>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3"/>
        <w:numPr>
          <w:ilvl w:val="0"/>
          <w:numId w:val="1"/>
        </w:numPr>
        <w:bidi w:val="0"/>
        <w:rPr>
          <w:rFonts w:hint="eastAsia"/>
          <w:highlight w:val="none"/>
        </w:rPr>
      </w:pPr>
      <w:bookmarkStart w:id="35" w:name="_Toc20964"/>
      <w:r>
        <w:rPr>
          <w:rFonts w:hint="eastAsia"/>
          <w:highlight w:val="none"/>
        </w:rPr>
        <w:t>供货范围清单</w:t>
      </w:r>
      <w:bookmarkEnd w:id="35"/>
    </w:p>
    <w:tbl>
      <w:tblPr>
        <w:tblStyle w:val="14"/>
        <w:tblpPr w:leftFromText="180" w:rightFromText="180" w:vertAnchor="text" w:horzAnchor="page" w:tblpX="1404" w:tblpY="4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461"/>
        <w:gridCol w:w="2459"/>
        <w:gridCol w:w="670"/>
        <w:gridCol w:w="1470"/>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78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bookmarkStart w:id="36" w:name="_Toc283142574"/>
            <w:r>
              <w:rPr>
                <w:rFonts w:hint="eastAsia" w:ascii="宋体" w:hAnsi="宋体" w:eastAsia="宋体" w:cs="宋体"/>
                <w:b/>
                <w:bCs/>
                <w:sz w:val="21"/>
                <w:szCs w:val="21"/>
                <w:highlight w:val="none"/>
              </w:rPr>
              <w:t>序号</w:t>
            </w:r>
          </w:p>
        </w:tc>
        <w:tc>
          <w:tcPr>
            <w:tcW w:w="24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设备名称</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单</w:t>
            </w:r>
            <w:r>
              <w:rPr>
                <w:rFonts w:hint="eastAsia" w:ascii="宋体" w:hAnsi="宋体" w:eastAsia="宋体" w:cs="宋体"/>
                <w:b/>
                <w:bCs/>
                <w:sz w:val="21"/>
                <w:szCs w:val="21"/>
                <w:highlight w:val="none"/>
                <w:lang w:val="en-US" w:eastAsia="zh-CN"/>
              </w:rPr>
              <w:t>套</w:t>
            </w:r>
            <w:r>
              <w:rPr>
                <w:rFonts w:hint="eastAsia" w:ascii="宋体" w:hAnsi="宋体" w:eastAsia="宋体" w:cs="宋体"/>
                <w:b/>
                <w:bCs/>
                <w:sz w:val="21"/>
                <w:szCs w:val="21"/>
                <w:highlight w:val="none"/>
              </w:rPr>
              <w:t>包含的测试单元及附件要求</w:t>
            </w:r>
          </w:p>
        </w:tc>
        <w:tc>
          <w:tcPr>
            <w:tcW w:w="67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单位</w:t>
            </w:r>
          </w:p>
        </w:tc>
        <w:tc>
          <w:tcPr>
            <w:tcW w:w="147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172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供应商保证值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电量记录分析仪主机</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详见</w:t>
            </w:r>
            <w:r>
              <w:rPr>
                <w:rFonts w:hint="eastAsia" w:ascii="宋体" w:hAnsi="宋体" w:eastAsia="宋体" w:cs="宋体"/>
                <w:sz w:val="21"/>
                <w:szCs w:val="21"/>
                <w:highlight w:val="none"/>
                <w:lang w:val="en-US" w:eastAsia="zh-CN"/>
              </w:rPr>
              <w:t>表1.设备规格及技术参数</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台</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1</w:t>
            </w:r>
          </w:p>
        </w:tc>
        <w:tc>
          <w:tcPr>
            <w:tcW w:w="1729"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（请供应商在技术响应文件中明确响应内容）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电量记录分析仪</w:t>
            </w:r>
            <w:r>
              <w:rPr>
                <w:rFonts w:hint="eastAsia" w:ascii="宋体" w:hAnsi="宋体" w:eastAsia="宋体" w:cs="宋体"/>
                <w:b w:val="0"/>
                <w:bCs w:val="0"/>
                <w:sz w:val="21"/>
                <w:szCs w:val="21"/>
                <w:highlight w:val="none"/>
                <w:lang w:eastAsia="zh-CN"/>
              </w:rPr>
              <w:t>监控分析软件安装包</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详见</w:t>
            </w:r>
            <w:r>
              <w:rPr>
                <w:rFonts w:hint="eastAsia" w:ascii="宋体" w:hAnsi="宋体" w:eastAsia="宋体" w:cs="宋体"/>
                <w:sz w:val="21"/>
                <w:szCs w:val="21"/>
                <w:highlight w:val="none"/>
                <w:lang w:val="en-US" w:eastAsia="zh-CN"/>
              </w:rPr>
              <w:t>表1.设备规格及技术参数</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套</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1</w:t>
            </w:r>
          </w:p>
        </w:tc>
        <w:tc>
          <w:tcPr>
            <w:tcW w:w="172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bookmarkStart w:id="37" w:name="_Toc245894377"/>
            <w:r>
              <w:rPr>
                <w:rFonts w:hint="eastAsia" w:ascii="宋体" w:hAnsi="宋体" w:eastAsia="宋体" w:cs="宋体"/>
                <w:b w:val="0"/>
                <w:bCs w:val="0"/>
                <w:sz w:val="21"/>
                <w:szCs w:val="21"/>
                <w:highlight w:val="none"/>
                <w:lang w:val="en-US" w:eastAsia="zh-CN"/>
              </w:rPr>
              <w:t>3</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钳形互感器</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AC 5A，精度优于0.1%</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个</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9</w:t>
            </w:r>
          </w:p>
        </w:tc>
        <w:tc>
          <w:tcPr>
            <w:tcW w:w="172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带拉杆工程塑料运输箱</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个</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1</w:t>
            </w:r>
          </w:p>
        </w:tc>
        <w:tc>
          <w:tcPr>
            <w:tcW w:w="172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计量校准证书</w:t>
            </w:r>
          </w:p>
        </w:tc>
        <w:tc>
          <w:tcPr>
            <w:tcW w:w="245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带CNAS标志</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份</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1</w:t>
            </w:r>
          </w:p>
        </w:tc>
        <w:tc>
          <w:tcPr>
            <w:tcW w:w="172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p>
        </w:tc>
        <w:tc>
          <w:tcPr>
            <w:tcW w:w="2461"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测试线、夹、通讯线、电源线等附件</w:t>
            </w:r>
          </w:p>
        </w:tc>
        <w:tc>
          <w:tcPr>
            <w:tcW w:w="245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t>
            </w:r>
          </w:p>
        </w:tc>
        <w:tc>
          <w:tcPr>
            <w:tcW w:w="670" w:type="dxa"/>
            <w:tcBorders>
              <w:tl2br w:val="nil"/>
              <w:tr2bl w:val="nil"/>
            </w:tcBorders>
            <w:noWrap w:val="0"/>
            <w:vAlign w:val="center"/>
          </w:tcPr>
          <w:p>
            <w:pPr>
              <w:keepNext w:val="0"/>
              <w:keepLines w:val="0"/>
              <w:pageBreakBefore w:val="0"/>
              <w:kinsoku/>
              <w:wordWrap/>
              <w:overflowPunct/>
              <w:topLinePunct/>
              <w:autoSpaceDE/>
              <w:autoSpaceDN/>
              <w:bidi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sz w:val="21"/>
                <w:szCs w:val="21"/>
                <w:highlight w:val="none"/>
              </w:rPr>
              <w:t>套</w:t>
            </w:r>
          </w:p>
        </w:tc>
        <w:tc>
          <w:tcPr>
            <w:tcW w:w="1470" w:type="dxa"/>
            <w:tcBorders>
              <w:tl2br w:val="nil"/>
              <w:tr2bl w:val="nil"/>
            </w:tcBorders>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val="0"/>
                <w:bCs w:val="0"/>
                <w:i w:val="0"/>
                <w:iCs w:val="0"/>
                <w:snapToGrid w:val="0"/>
                <w:color w:val="FF0000"/>
                <w:kern w:val="0"/>
                <w:sz w:val="21"/>
                <w:szCs w:val="21"/>
                <w:highlight w:val="none"/>
                <w:lang w:val="en-US" w:eastAsia="zh-CN" w:bidi="ar-SA"/>
              </w:rPr>
            </w:pPr>
            <w:r>
              <w:rPr>
                <w:rFonts w:hint="eastAsia" w:ascii="宋体" w:hAnsi="宋体" w:eastAsia="宋体" w:cs="宋体"/>
                <w:b w:val="0"/>
                <w:bCs w:val="0"/>
                <w:i w:val="0"/>
                <w:iCs w:val="0"/>
                <w:snapToGrid w:val="0"/>
                <w:color w:val="auto"/>
                <w:kern w:val="0"/>
                <w:sz w:val="21"/>
                <w:szCs w:val="21"/>
                <w:highlight w:val="none"/>
                <w:lang w:val="en-US" w:eastAsia="zh-CN" w:bidi="ar-SA"/>
              </w:rPr>
              <w:t>1</w:t>
            </w:r>
          </w:p>
        </w:tc>
        <w:tc>
          <w:tcPr>
            <w:tcW w:w="172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highlight w:val="none"/>
              </w:rPr>
            </w:pPr>
          </w:p>
        </w:tc>
      </w:tr>
      <w:bookmarkEnd w:id="36"/>
      <w:bookmarkEnd w:id="37"/>
    </w:tbl>
    <w:p>
      <w:pPr>
        <w:numPr>
          <w:ilvl w:val="0"/>
          <w:numId w:val="0"/>
        </w:numPr>
        <w:rPr>
          <w:highlight w:val="none"/>
        </w:rPr>
      </w:pPr>
    </w:p>
    <w:p>
      <w:pPr>
        <w:pStyle w:val="21"/>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1"/>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8" w:name="_Toc397006841"/>
    </w:p>
    <w:p>
      <w:pPr>
        <w:pStyle w:val="21"/>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8"/>
    </w:p>
    <w:tbl>
      <w:tblPr>
        <w:tblStyle w:val="14"/>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3"/>
        <w:bidi w:val="0"/>
        <w:rPr>
          <w:highlight w:val="none"/>
        </w:rPr>
      </w:pPr>
      <w:bookmarkStart w:id="39" w:name="_Toc8612"/>
      <w:r>
        <w:rPr>
          <w:rFonts w:hint="eastAsia"/>
          <w:highlight w:val="none"/>
          <w:lang w:eastAsia="zh-CN"/>
        </w:rPr>
        <w:t>9.</w:t>
      </w:r>
      <w:r>
        <w:rPr>
          <w:rFonts w:cs="宋体"/>
          <w:spacing w:val="1"/>
          <w:highlight w:val="none"/>
        </w:rPr>
        <w:t>设备的售后服务要求</w:t>
      </w:r>
      <w:bookmarkEnd w:id="39"/>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3"/>
        <w:bidi w:val="0"/>
        <w:rPr>
          <w:highlight w:val="none"/>
        </w:rPr>
      </w:pPr>
      <w:bookmarkStart w:id="40" w:name="_Toc4571"/>
      <w:r>
        <w:rPr>
          <w:rFonts w:hint="eastAsia"/>
          <w:spacing w:val="-6"/>
          <w:highlight w:val="none"/>
          <w:lang w:eastAsia="zh-CN"/>
        </w:rPr>
        <w:t>10.</w:t>
      </w:r>
      <w:r>
        <w:rPr>
          <w:rFonts w:cs="宋体"/>
          <w:highlight w:val="none"/>
        </w:rPr>
        <w:t>验收</w:t>
      </w:r>
      <w:bookmarkEnd w:id="40"/>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3"/>
        <w:bidi w:val="0"/>
        <w:rPr>
          <w:highlight w:val="none"/>
        </w:rPr>
      </w:pPr>
      <w:bookmarkStart w:id="41" w:name="_Toc22084"/>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1"/>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4"/>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3"/>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2"/>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D0A4"/>
    <w:multiLevelType w:val="singleLevel"/>
    <w:tmpl w:val="85EFD0A4"/>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7F876A6"/>
    <w:rsid w:val="09C41FA6"/>
    <w:rsid w:val="0B5E23F3"/>
    <w:rsid w:val="0BAB653E"/>
    <w:rsid w:val="0C8A677F"/>
    <w:rsid w:val="0D344206"/>
    <w:rsid w:val="11624E20"/>
    <w:rsid w:val="12694677"/>
    <w:rsid w:val="13066AFF"/>
    <w:rsid w:val="146C6C85"/>
    <w:rsid w:val="16406CB6"/>
    <w:rsid w:val="16D72E3C"/>
    <w:rsid w:val="17486E4C"/>
    <w:rsid w:val="18021834"/>
    <w:rsid w:val="19277699"/>
    <w:rsid w:val="1C3E3591"/>
    <w:rsid w:val="1C79220A"/>
    <w:rsid w:val="1C8772B6"/>
    <w:rsid w:val="1D3614FA"/>
    <w:rsid w:val="1F7F413E"/>
    <w:rsid w:val="1FA263E4"/>
    <w:rsid w:val="217676D4"/>
    <w:rsid w:val="22703D10"/>
    <w:rsid w:val="23B96AFD"/>
    <w:rsid w:val="273F6164"/>
    <w:rsid w:val="27E502D5"/>
    <w:rsid w:val="280653FC"/>
    <w:rsid w:val="29464C18"/>
    <w:rsid w:val="29487B4C"/>
    <w:rsid w:val="2B2A0492"/>
    <w:rsid w:val="2C3F36A7"/>
    <w:rsid w:val="2EAE6CA3"/>
    <w:rsid w:val="2FFC5C95"/>
    <w:rsid w:val="30427C69"/>
    <w:rsid w:val="320372EF"/>
    <w:rsid w:val="33342978"/>
    <w:rsid w:val="33890C8F"/>
    <w:rsid w:val="33C00172"/>
    <w:rsid w:val="34234DD5"/>
    <w:rsid w:val="345833BB"/>
    <w:rsid w:val="34DB0F5E"/>
    <w:rsid w:val="366559E4"/>
    <w:rsid w:val="367B35A2"/>
    <w:rsid w:val="376E6B1A"/>
    <w:rsid w:val="3988303A"/>
    <w:rsid w:val="3E35373D"/>
    <w:rsid w:val="3F3F3186"/>
    <w:rsid w:val="3FFB4CC3"/>
    <w:rsid w:val="41F6735B"/>
    <w:rsid w:val="427615CD"/>
    <w:rsid w:val="440525B4"/>
    <w:rsid w:val="476B4E24"/>
    <w:rsid w:val="4771622D"/>
    <w:rsid w:val="47874069"/>
    <w:rsid w:val="47B84838"/>
    <w:rsid w:val="48CC7BFD"/>
    <w:rsid w:val="49244D8F"/>
    <w:rsid w:val="50586005"/>
    <w:rsid w:val="51655545"/>
    <w:rsid w:val="53AF28DA"/>
    <w:rsid w:val="56200118"/>
    <w:rsid w:val="56625644"/>
    <w:rsid w:val="566F0113"/>
    <w:rsid w:val="5813392B"/>
    <w:rsid w:val="58B95CBA"/>
    <w:rsid w:val="596D67DA"/>
    <w:rsid w:val="5A44578C"/>
    <w:rsid w:val="5BE865EB"/>
    <w:rsid w:val="5C1415AA"/>
    <w:rsid w:val="5C7A5B1A"/>
    <w:rsid w:val="5E375A3D"/>
    <w:rsid w:val="5E60690D"/>
    <w:rsid w:val="5EC33DB0"/>
    <w:rsid w:val="5F471779"/>
    <w:rsid w:val="60EC26DA"/>
    <w:rsid w:val="6268037D"/>
    <w:rsid w:val="62740596"/>
    <w:rsid w:val="62CD7EA4"/>
    <w:rsid w:val="64402948"/>
    <w:rsid w:val="65974683"/>
    <w:rsid w:val="694D6BE2"/>
    <w:rsid w:val="6AA81420"/>
    <w:rsid w:val="6E5754A9"/>
    <w:rsid w:val="6F434230"/>
    <w:rsid w:val="70CA591E"/>
    <w:rsid w:val="735A34D3"/>
    <w:rsid w:val="73DC31EB"/>
    <w:rsid w:val="74F677D5"/>
    <w:rsid w:val="76211CFF"/>
    <w:rsid w:val="77CE2584"/>
    <w:rsid w:val="7867742D"/>
    <w:rsid w:val="7C080BE5"/>
    <w:rsid w:val="7CB6538D"/>
    <w:rsid w:val="7CE34539"/>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3">
    <w:name w:val="heading 1"/>
    <w:basedOn w:val="1"/>
    <w:next w:val="1"/>
    <w:link w:val="24"/>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2">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semiHidden/>
    <w:unhideWhenUsed/>
    <w:qFormat/>
    <w:uiPriority w:val="99"/>
    <w:pPr>
      <w:spacing w:after="120"/>
    </w:pPr>
  </w:style>
  <w:style w:type="paragraph" w:styleId="5">
    <w:name w:val="Plain Text"/>
    <w:basedOn w:val="1"/>
    <w:link w:val="26"/>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7"/>
    <w:semiHidden/>
    <w:unhideWhenUsed/>
    <w:qFormat/>
    <w:uiPriority w:val="99"/>
    <w:pPr>
      <w:spacing w:line="240" w:lineRule="auto"/>
    </w:pPr>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w:basedOn w:val="4"/>
    <w:link w:val="20"/>
    <w:unhideWhenUsed/>
    <w:qFormat/>
    <w:uiPriority w:val="99"/>
    <w:pPr>
      <w:ind w:firstLine="420" w:firstLineChars="100"/>
    </w:pPr>
  </w:style>
  <w:style w:type="table" w:styleId="15">
    <w:name w:val="Table Grid"/>
    <w:basedOn w:val="1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9"/>
    <w:qFormat/>
    <w:uiPriority w:val="99"/>
    <w:rPr>
      <w:sz w:val="18"/>
      <w:szCs w:val="18"/>
    </w:rPr>
  </w:style>
  <w:style w:type="character" w:customStyle="1" w:styleId="18">
    <w:name w:val="页脚 字符"/>
    <w:basedOn w:val="16"/>
    <w:link w:val="8"/>
    <w:qFormat/>
    <w:uiPriority w:val="99"/>
    <w:rPr>
      <w:sz w:val="18"/>
      <w:szCs w:val="18"/>
    </w:rPr>
  </w:style>
  <w:style w:type="character" w:customStyle="1" w:styleId="19">
    <w:name w:val="正文文本 字符"/>
    <w:basedOn w:val="16"/>
    <w:link w:val="4"/>
    <w:semiHidden/>
    <w:qFormat/>
    <w:uiPriority w:val="99"/>
    <w:rPr>
      <w:rFonts w:ascii="宋体" w:hAnsi="宋体" w:eastAsia="宋体" w:cs="Times New Roman"/>
      <w:color w:val="000000"/>
      <w:sz w:val="24"/>
      <w:szCs w:val="24"/>
    </w:rPr>
  </w:style>
  <w:style w:type="character" w:customStyle="1" w:styleId="20">
    <w:name w:val="正文文本首行缩进 字符"/>
    <w:basedOn w:val="19"/>
    <w:link w:val="13"/>
    <w:qFormat/>
    <w:uiPriority w:val="99"/>
    <w:rPr>
      <w:rFonts w:ascii="宋体" w:hAnsi="宋体" w:eastAsia="宋体" w:cs="Times New Roman"/>
      <w:color w:val="000000"/>
      <w:sz w:val="24"/>
      <w:szCs w:val="24"/>
    </w:rPr>
  </w:style>
  <w:style w:type="paragraph" w:customStyle="1" w:styleId="21">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2">
    <w:name w:val="List Paragraph"/>
    <w:basedOn w:val="1"/>
    <w:qFormat/>
    <w:uiPriority w:val="34"/>
    <w:pPr>
      <w:ind w:firstLine="420" w:firstLineChars="200"/>
    </w:p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标题 1 字符"/>
    <w:basedOn w:val="16"/>
    <w:link w:val="3"/>
    <w:qFormat/>
    <w:uiPriority w:val="0"/>
    <w:rPr>
      <w:rFonts w:ascii="仿宋体" w:hAnsi="Times New Roman" w:eastAsia="仿宋体" w:cs="Times New Roman"/>
      <w:b/>
      <w:kern w:val="28"/>
      <w:sz w:val="26"/>
      <w:szCs w:val="20"/>
    </w:rPr>
  </w:style>
  <w:style w:type="character" w:customStyle="1" w:styleId="25">
    <w:name w:val="纯文本 Char"/>
    <w:qFormat/>
    <w:uiPriority w:val="0"/>
    <w:rPr>
      <w:rFonts w:ascii="宋体" w:hAnsi="Courier New" w:eastAsia="宋体" w:cs="Times New Roman"/>
      <w:szCs w:val="20"/>
    </w:rPr>
  </w:style>
  <w:style w:type="character" w:customStyle="1" w:styleId="26">
    <w:name w:val="纯文本 字符"/>
    <w:basedOn w:val="16"/>
    <w:link w:val="5"/>
    <w:semiHidden/>
    <w:qFormat/>
    <w:uiPriority w:val="99"/>
    <w:rPr>
      <w:rFonts w:ascii="宋体" w:hAnsi="Courier New" w:eastAsia="宋体" w:cs="Courier New"/>
      <w:color w:val="000000"/>
      <w:szCs w:val="21"/>
    </w:rPr>
  </w:style>
  <w:style w:type="character" w:customStyle="1" w:styleId="27">
    <w:name w:val="批注框文本 字符"/>
    <w:basedOn w:val="16"/>
    <w:link w:val="7"/>
    <w:semiHidden/>
    <w:qFormat/>
    <w:uiPriority w:val="99"/>
    <w:rPr>
      <w:rFonts w:ascii="宋体" w:hAnsi="宋体" w:eastAsia="宋体" w:cs="Times New Roman"/>
      <w:color w:val="000000"/>
      <w:sz w:val="18"/>
      <w:szCs w:val="18"/>
    </w:rPr>
  </w:style>
  <w:style w:type="paragraph" w:customStyle="1" w:styleId="28">
    <w:name w:val="内容"/>
    <w:basedOn w:val="1"/>
    <w:link w:val="29"/>
    <w:qFormat/>
    <w:uiPriority w:val="0"/>
    <w:pPr>
      <w:adjustRightInd w:val="0"/>
      <w:snapToGrid w:val="0"/>
      <w:spacing w:line="312" w:lineRule="auto"/>
      <w:ind w:left="0" w:leftChars="0" w:firstLine="240" w:firstLineChars="100"/>
      <w:jc w:val="both"/>
    </w:pPr>
    <w:rPr>
      <w:bCs/>
      <w:color w:val="auto"/>
      <w:kern w:val="0"/>
    </w:rPr>
  </w:style>
  <w:style w:type="character" w:customStyle="1" w:styleId="29">
    <w:name w:val="内容 Char"/>
    <w:basedOn w:val="16"/>
    <w:link w:val="28"/>
    <w:qFormat/>
    <w:uiPriority w:val="0"/>
    <w:rPr>
      <w:rFonts w:ascii="宋体" w:hAnsi="宋体" w:eastAsia="宋体" w:cs="Times New Roman"/>
      <w:bCs/>
      <w:sz w:val="24"/>
      <w:szCs w:val="24"/>
    </w:rPr>
  </w:style>
  <w:style w:type="character" w:customStyle="1" w:styleId="30">
    <w:name w:val="标题 2 字符"/>
    <w:basedOn w:val="16"/>
    <w:link w:val="2"/>
    <w:semiHidden/>
    <w:qFormat/>
    <w:uiPriority w:val="9"/>
    <w:rPr>
      <w:rFonts w:asciiTheme="majorHAnsi" w:hAnsiTheme="majorHAnsi" w:eastAsiaTheme="majorEastAsia" w:cstheme="majorBidi"/>
      <w:b/>
      <w:bCs/>
      <w:color w:val="000000"/>
      <w:kern w:val="2"/>
      <w:sz w:val="32"/>
      <w:szCs w:val="32"/>
    </w:rPr>
  </w:style>
  <w:style w:type="character" w:customStyle="1" w:styleId="31">
    <w:name w:val="keyword"/>
    <w:basedOn w:val="16"/>
    <w:qFormat/>
    <w:uiPriority w:val="0"/>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 Char"/>
    <w:basedOn w:val="1"/>
    <w:qFormat/>
    <w:uiPriority w:val="0"/>
    <w:rPr>
      <w:rFonts w:ascii="Calibri"/>
      <w:szCs w:val="24"/>
    </w:rPr>
  </w:style>
  <w:style w:type="paragraph" w:customStyle="1" w:styleId="34">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5">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5279</Words>
  <Characters>5816</Characters>
  <Lines>30</Lines>
  <Paragraphs>8</Paragraphs>
  <TotalTime>1</TotalTime>
  <ScaleCrop>false</ScaleCrop>
  <LinksUpToDate>false</LinksUpToDate>
  <CharactersWithSpaces>6004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2026-08-07T05:16:32Z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