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60288"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ascii="黑体" w:hAnsi="黑体" w:eastAsia="黑体" w:cs="黑体"/>
          <w:b w:val="0"/>
          <w:bCs/>
          <w:sz w:val="44"/>
          <w:szCs w:val="44"/>
          <w:highlight w:val="none"/>
          <w:lang w:eastAsia="zh-CN"/>
        </w:rPr>
      </w:pPr>
      <w:r>
        <w:rPr>
          <w:rFonts w:hint="eastAsia" w:ascii="黑体" w:hAnsi="黑体" w:eastAsia="黑体" w:cs="黑体"/>
          <w:b w:val="0"/>
          <w:bCs/>
          <w:sz w:val="44"/>
          <w:szCs w:val="44"/>
          <w:highlight w:val="none"/>
          <w:lang w:eastAsia="zh-CN"/>
        </w:rPr>
        <w:t>频率变化信号源</w:t>
      </w:r>
    </w:p>
    <w:p>
      <w:pPr>
        <w:keepLines w:val="0"/>
        <w:pageBreakBefore w:val="0"/>
        <w:kinsoku/>
        <w:wordWrap/>
        <w:bidi w:val="0"/>
        <w:spacing w:line="500" w:lineRule="exact"/>
        <w:ind w:left="0" w:leftChars="0"/>
        <w:jc w:val="center"/>
        <w:rPr>
          <w:rFonts w:hint="eastAsia" w:ascii="黑体" w:hAnsi="黑体" w:eastAsia="黑体" w:cs="黑体"/>
          <w:b w:val="0"/>
          <w:bCs/>
          <w:sz w:val="44"/>
          <w:szCs w:val="44"/>
          <w:highlight w:val="none"/>
        </w:rPr>
      </w:pPr>
      <w:r>
        <w:rPr>
          <w:rFonts w:hint="eastAsia" w:ascii="黑体" w:hAnsi="黑体" w:eastAsia="黑体" w:cs="黑体"/>
          <w:b w:val="0"/>
          <w:bCs/>
          <w:sz w:val="44"/>
          <w:szCs w:val="44"/>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4"/>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4"/>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kern w:val="2"/>
          <w:sz w:val="21"/>
          <w:szCs w:val="24"/>
          <w:highlight w:val="none"/>
          <w:lang w:val="en-US" w:eastAsia="zh-CN" w:bidi="ar-SA"/>
        </w:rPr>
        <w:sectPr>
          <w:headerReference r:id="rId5" w:type="default"/>
          <w:footerReference r:id="rId6" w:type="default"/>
          <w:pgSz w:w="11906" w:h="16838"/>
          <w:pgMar w:top="1440" w:right="1080" w:bottom="1440" w:left="1080" w:header="737" w:footer="340" w:gutter="0"/>
          <w:pgBorders>
            <w:top w:val="none" w:sz="0" w:space="0"/>
            <w:left w:val="none" w:sz="0" w:space="0"/>
            <w:bottom w:val="none" w:sz="0" w:space="0"/>
            <w:right w:val="none" w:sz="0" w:space="0"/>
          </w:pgBorders>
          <w:pgNumType w:fmt="decimal" w:start="1"/>
          <w:cols w:space="425" w:num="1"/>
          <w:docGrid w:type="lines" w:linePitch="326" w:charSpace="0"/>
        </w:sect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0"/>
            <w:tabs>
              <w:tab w:val="right" w:leader="dot" w:pos="9746"/>
            </w:tabs>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_Toc1348 </w:instrText>
          </w:r>
          <w:r>
            <w:rPr>
              <w:rFonts w:hint="eastAsia" w:ascii="宋体" w:hAnsi="宋体" w:eastAsia="宋体" w:cs="宋体"/>
              <w:szCs w:val="28"/>
              <w:highlight w:val="none"/>
            </w:rPr>
            <w:fldChar w:fldCharType="separate"/>
          </w:r>
          <w:r>
            <w:rPr>
              <w:rFonts w:hint="eastAsia"/>
              <w:highlight w:val="none"/>
            </w:rPr>
            <w:t>1 总则</w:t>
          </w:r>
          <w:r>
            <w:tab/>
          </w:r>
          <w:r>
            <w:fldChar w:fldCharType="begin"/>
          </w:r>
          <w:r>
            <w:instrText xml:space="preserve"> PAGEREF _Toc1348 \h </w:instrText>
          </w:r>
          <w:r>
            <w:fldChar w:fldCharType="separate"/>
          </w:r>
          <w:r>
            <w:t>1</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_Toc1092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tab/>
          </w:r>
          <w:r>
            <w:fldChar w:fldCharType="begin"/>
          </w:r>
          <w:r>
            <w:instrText xml:space="preserve"> PAGEREF _Toc1092 \h </w:instrText>
          </w:r>
          <w:r>
            <w:fldChar w:fldCharType="separate"/>
          </w:r>
          <w:r>
            <w:t>2</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_Toc26281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tab/>
          </w:r>
          <w:r>
            <w:fldChar w:fldCharType="begin"/>
          </w:r>
          <w:r>
            <w:instrText xml:space="preserve"> PAGEREF _Toc26281 \h </w:instrText>
          </w:r>
          <w:r>
            <w:fldChar w:fldCharType="separate"/>
          </w:r>
          <w:r>
            <w:t>2</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_Toc18680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tab/>
          </w:r>
          <w:r>
            <w:fldChar w:fldCharType="begin"/>
          </w:r>
          <w:r>
            <w:instrText xml:space="preserve"> PAGEREF _Toc18680 \h </w:instrText>
          </w:r>
          <w:r>
            <w:fldChar w:fldCharType="separate"/>
          </w:r>
          <w:r>
            <w:t>3</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_Toc20099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tab/>
          </w:r>
          <w:r>
            <w:fldChar w:fldCharType="begin"/>
          </w:r>
          <w:r>
            <w:instrText xml:space="preserve"> PAGEREF _Toc20099 \h </w:instrText>
          </w:r>
          <w:r>
            <w:fldChar w:fldCharType="separate"/>
          </w:r>
          <w:r>
            <w:t>6</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_Toc7595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tab/>
          </w:r>
          <w:r>
            <w:fldChar w:fldCharType="begin"/>
          </w:r>
          <w:r>
            <w:instrText xml:space="preserve"> PAGEREF _Toc7595 \h </w:instrText>
          </w:r>
          <w:r>
            <w:fldChar w:fldCharType="separate"/>
          </w:r>
          <w:r>
            <w:t>7</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_Toc8520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tab/>
          </w:r>
          <w:r>
            <w:fldChar w:fldCharType="begin"/>
          </w:r>
          <w:r>
            <w:instrText xml:space="preserve"> PAGEREF _Toc8520 \h </w:instrText>
          </w:r>
          <w:r>
            <w:fldChar w:fldCharType="separate"/>
          </w:r>
          <w:r>
            <w:t>7</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_Toc20964 </w:instrText>
          </w:r>
          <w:r>
            <w:rPr>
              <w:rFonts w:hint="eastAsia" w:ascii="宋体" w:hAnsi="宋体" w:eastAsia="宋体" w:cs="宋体"/>
              <w:szCs w:val="28"/>
              <w:highlight w:val="none"/>
            </w:rPr>
            <w:fldChar w:fldCharType="separate"/>
          </w:r>
          <w:r>
            <w:rPr>
              <w:rFonts w:hint="eastAsia"/>
            </w:rPr>
            <w:t xml:space="preserve">8. </w:t>
          </w:r>
          <w:r>
            <w:rPr>
              <w:rFonts w:hint="eastAsia"/>
              <w:highlight w:val="none"/>
            </w:rPr>
            <w:t>供货范围清单</w:t>
          </w:r>
          <w:r>
            <w:tab/>
          </w:r>
          <w:r>
            <w:fldChar w:fldCharType="begin"/>
          </w:r>
          <w:r>
            <w:instrText xml:space="preserve"> PAGEREF _Toc20964 \h </w:instrText>
          </w:r>
          <w:r>
            <w:fldChar w:fldCharType="separate"/>
          </w:r>
          <w:r>
            <w:t>8</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_Toc8612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tab/>
          </w:r>
          <w:r>
            <w:fldChar w:fldCharType="begin"/>
          </w:r>
          <w:r>
            <w:instrText xml:space="preserve"> PAGEREF _Toc8612 \h </w:instrText>
          </w:r>
          <w:r>
            <w:fldChar w:fldCharType="separate"/>
          </w:r>
          <w:r>
            <w:t>8</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_Toc4571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tab/>
          </w:r>
          <w:r>
            <w:fldChar w:fldCharType="begin"/>
          </w:r>
          <w:r>
            <w:instrText xml:space="preserve"> PAGEREF _Toc4571 \h </w:instrText>
          </w:r>
          <w:r>
            <w:fldChar w:fldCharType="separate"/>
          </w:r>
          <w:r>
            <w:t>9</w:t>
          </w:r>
          <w:r>
            <w:fldChar w:fldCharType="end"/>
          </w:r>
          <w:r>
            <w:rPr>
              <w:rFonts w:hint="eastAsia" w:ascii="宋体" w:hAnsi="宋体" w:eastAsia="宋体" w:cs="宋体"/>
              <w:szCs w:val="28"/>
              <w:highlight w:val="none"/>
            </w:rPr>
            <w:fldChar w:fldCharType="end"/>
          </w:r>
        </w:p>
        <w:p>
          <w:pPr>
            <w:pStyle w:val="10"/>
            <w:tabs>
              <w:tab w:val="right" w:leader="dot" w:pos="9746"/>
            </w:tabs>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_Toc22084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tab/>
          </w:r>
          <w:r>
            <w:fldChar w:fldCharType="begin"/>
          </w:r>
          <w:r>
            <w:instrText xml:space="preserve"> PAGEREF _Toc22084 \h </w:instrText>
          </w:r>
          <w:r>
            <w:fldChar w:fldCharType="separate"/>
          </w:r>
          <w:r>
            <w:t>10</w:t>
          </w:r>
          <w: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pStyle w:val="2"/>
        <w:bidi w:val="0"/>
        <w:rPr>
          <w:rFonts w:hint="eastAsia"/>
          <w:highlight w:val="none"/>
        </w:rPr>
        <w:sectPr>
          <w:footerReference r:id="rId7" w:type="default"/>
          <w:pgSz w:w="11906" w:h="16838"/>
          <w:pgMar w:top="1440" w:right="1080" w:bottom="1440" w:left="1080" w:header="737" w:footer="340" w:gutter="0"/>
          <w:pgBorders>
            <w:top w:val="none" w:sz="0" w:space="0"/>
            <w:left w:val="none" w:sz="0" w:space="0"/>
            <w:bottom w:val="none" w:sz="0" w:space="0"/>
            <w:right w:val="none" w:sz="0" w:space="0"/>
          </w:pgBorders>
          <w:pgNumType w:fmt="decimal" w:start="1"/>
          <w:cols w:space="425" w:num="1"/>
          <w:docGrid w:type="lines" w:linePitch="326" w:charSpace="0"/>
        </w:sectPr>
      </w:pPr>
    </w:p>
    <w:p>
      <w:pPr>
        <w:pStyle w:val="2"/>
        <w:bidi w:val="0"/>
        <w:rPr>
          <w:rFonts w:hint="eastAsia"/>
          <w:highlight w:val="none"/>
        </w:rPr>
      </w:pPr>
      <w:bookmarkStart w:id="0" w:name="_Toc1348"/>
      <w:r>
        <w:rPr>
          <w:rFonts w:hint="eastAsia"/>
          <w:highlight w:val="none"/>
        </w:rPr>
        <w:t xml:space="preserve">1 </w:t>
      </w:r>
      <w:bookmarkStart w:id="1" w:name="_Toc305941223"/>
      <w:bookmarkStart w:id="2" w:name="_Toc397006837"/>
      <w:bookmarkStart w:id="3" w:name="_Toc305941518"/>
      <w:r>
        <w:rPr>
          <w:rFonts w:hint="eastAsia"/>
          <w:highlight w:val="none"/>
        </w:rPr>
        <w:t>总则</w:t>
      </w:r>
      <w:bookmarkEnd w:id="0"/>
      <w:bookmarkEnd w:id="1"/>
      <w:bookmarkEnd w:id="2"/>
      <w:bookmarkEnd w:id="3"/>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频率变化信号源</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13"/>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4" w:name="_Toc305941519"/>
      <w:bookmarkStart w:id="5" w:name="_Toc305941224"/>
      <w:bookmarkStart w:id="6" w:name="_Toc397006838"/>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4"/>
      <w:bookmarkEnd w:id="5"/>
      <w:bookmarkEnd w:id="6"/>
      <w:bookmarkStart w:id="7" w:name="_Toc397006840"/>
      <w:bookmarkStart w:id="8" w:name="_Toc290652071"/>
      <w:bookmarkStart w:id="9" w:name="_Toc291768528"/>
      <w:bookmarkStart w:id="10" w:name="_Toc305941225"/>
      <w:bookmarkStart w:id="11" w:name="_Toc292221729"/>
    </w:p>
    <w:bookmarkEnd w:id="7"/>
    <w:bookmarkEnd w:id="8"/>
    <w:bookmarkEnd w:id="9"/>
    <w:bookmarkEnd w:id="10"/>
    <w:bookmarkEnd w:id="11"/>
    <w:p>
      <w:pPr>
        <w:pStyle w:val="2"/>
        <w:bidi w:val="0"/>
        <w:rPr>
          <w:highlight w:val="none"/>
        </w:rPr>
      </w:pPr>
      <w:bookmarkStart w:id="12" w:name="_Toc305941520"/>
      <w:bookmarkStart w:id="13" w:name="_Toc305941228"/>
      <w:bookmarkStart w:id="14" w:name="_Toc1092"/>
      <w:bookmarkStart w:id="15" w:name="_Toc397006842"/>
      <w:r>
        <w:rPr>
          <w:rFonts w:hint="eastAsia"/>
          <w:highlight w:val="none"/>
          <w:lang w:val="en-US" w:eastAsia="zh-CN"/>
        </w:rPr>
        <w:t>2</w:t>
      </w:r>
      <w:r>
        <w:rPr>
          <w:rFonts w:hint="eastAsia"/>
          <w:highlight w:val="none"/>
        </w:rPr>
        <w:t>.应遵循的主要标准</w:t>
      </w:r>
      <w:bookmarkEnd w:id="12"/>
      <w:bookmarkEnd w:id="13"/>
      <w:bookmarkEnd w:id="14"/>
      <w:bookmarkEnd w:id="15"/>
    </w:p>
    <w:p>
      <w:pPr>
        <w:pStyle w:val="21"/>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1"/>
        <w:keepLines w:val="0"/>
        <w:pageBreakBefore w:val="0"/>
        <w:kinsoku/>
        <w:wordWrap/>
        <w:bidi w:val="0"/>
        <w:spacing w:line="500" w:lineRule="exact"/>
        <w:ind w:left="410" w:firstLine="480"/>
        <w:rPr>
          <w:rFonts w:hint="eastAsia"/>
          <w:color w:val="auto"/>
          <w:highlight w:val="none"/>
        </w:rPr>
      </w:pPr>
      <w:r>
        <w:rPr>
          <w:rFonts w:hint="eastAsia" w:ascii="宋体" w:hAnsi="宋体"/>
          <w:color w:val="auto"/>
          <w:szCs w:val="24"/>
          <w:highlight w:val="none"/>
          <w:lang w:eastAsia="zh-CN"/>
        </w:rPr>
        <w:t>频率变化信号源</w:t>
      </w:r>
      <w:r>
        <w:rPr>
          <w:rFonts w:hint="eastAsia"/>
          <w:color w:val="auto"/>
          <w:highlight w:val="none"/>
        </w:rPr>
        <w:t>：</w:t>
      </w:r>
    </w:p>
    <w:p>
      <w:pPr>
        <w:pStyle w:val="21"/>
        <w:keepLines w:val="0"/>
        <w:pageBreakBefore w:val="0"/>
        <w:kinsoku/>
        <w:wordWrap/>
        <w:bidi w:val="0"/>
        <w:spacing w:line="500" w:lineRule="exact"/>
        <w:ind w:left="410" w:firstLine="480"/>
        <w:rPr>
          <w:rFonts w:hint="eastAsia"/>
          <w:color w:val="auto"/>
          <w:highlight w:val="none"/>
        </w:rPr>
      </w:pPr>
    </w:p>
    <w:p>
      <w:pPr>
        <w:pStyle w:val="2"/>
        <w:bidi w:val="0"/>
        <w:rPr>
          <w:highlight w:val="none"/>
        </w:rPr>
      </w:pPr>
      <w:bookmarkStart w:id="16" w:name="_Toc305941521"/>
      <w:bookmarkStart w:id="17" w:name="_Toc397006843"/>
      <w:bookmarkStart w:id="18" w:name="_Toc305941229"/>
      <w:bookmarkStart w:id="19" w:name="_Toc26281"/>
      <w:bookmarkStart w:id="20" w:name="_Toc279769035"/>
      <w:r>
        <w:rPr>
          <w:rFonts w:hint="eastAsia"/>
          <w:highlight w:val="none"/>
          <w:lang w:val="en-US" w:eastAsia="zh-CN"/>
        </w:rPr>
        <w:t>3</w:t>
      </w:r>
      <w:r>
        <w:rPr>
          <w:rFonts w:hint="eastAsia"/>
          <w:highlight w:val="none"/>
        </w:rPr>
        <w:t>.使用条件</w:t>
      </w:r>
      <w:bookmarkEnd w:id="16"/>
      <w:bookmarkEnd w:id="17"/>
      <w:bookmarkEnd w:id="18"/>
      <w:bookmarkEnd w:id="19"/>
      <w:bookmarkEnd w:id="20"/>
    </w:p>
    <w:p>
      <w:pPr>
        <w:keepLines w:val="0"/>
        <w:pageBreakBefore w:val="0"/>
        <w:kinsoku/>
        <w:wordWrap/>
        <w:bidi w:val="0"/>
        <w:spacing w:line="500" w:lineRule="exact"/>
        <w:ind w:left="410"/>
        <w:rPr>
          <w:highlight w:val="none"/>
        </w:rPr>
      </w:pPr>
      <w:bookmarkStart w:id="21"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频率变化信号源</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2" w:name="_Toc305941230"/>
      <w:bookmarkStart w:id="23" w:name="_Toc397006844"/>
      <w:r>
        <w:rPr>
          <w:rFonts w:hint="eastAsia"/>
          <w:b w:val="0"/>
          <w:bCs w:val="0"/>
          <w:highlight w:val="none"/>
          <w:lang w:val="en-US" w:eastAsia="zh-CN"/>
        </w:rPr>
        <w:t>3</w:t>
      </w:r>
      <w:r>
        <w:rPr>
          <w:rFonts w:hint="eastAsia"/>
          <w:b w:val="0"/>
          <w:bCs w:val="0"/>
          <w:highlight w:val="none"/>
        </w:rPr>
        <w:t>.1</w:t>
      </w:r>
      <w:bookmarkStart w:id="24" w:name="_Toc285701796"/>
      <w:bookmarkStart w:id="25" w:name="_Toc285621516"/>
      <w:r>
        <w:rPr>
          <w:rFonts w:hint="eastAsia"/>
          <w:b w:val="0"/>
          <w:bCs w:val="0"/>
          <w:highlight w:val="none"/>
        </w:rPr>
        <w:t>正常使用条件</w:t>
      </w:r>
      <w:bookmarkEnd w:id="21"/>
      <w:bookmarkEnd w:id="22"/>
      <w:bookmarkEnd w:id="23"/>
      <w:bookmarkEnd w:id="24"/>
      <w:bookmarkEnd w:id="25"/>
      <w:bookmarkStart w:id="26" w:name="_Toc276492375"/>
      <w:bookmarkStart w:id="27" w:name="_Toc276490903"/>
    </w:p>
    <w:p>
      <w:pPr>
        <w:keepLines w:val="0"/>
        <w:pageBreakBefore w:val="0"/>
        <w:kinsoku/>
        <w:wordWrap/>
        <w:bidi w:val="0"/>
        <w:spacing w:line="500" w:lineRule="exact"/>
        <w:ind w:left="410"/>
        <w:rPr>
          <w:highlight w:val="none"/>
        </w:rPr>
      </w:pPr>
      <w:bookmarkStart w:id="28" w:name="_Toc305940419"/>
      <w:r>
        <w:rPr>
          <w:rFonts w:hint="eastAsia"/>
          <w:highlight w:val="none"/>
        </w:rPr>
        <w:t>本仪器技术文件所规定的仪器技术条款和参数要求，应适用下列环境条件使用。</w:t>
      </w:r>
      <w:bookmarkEnd w:id="28"/>
    </w:p>
    <w:p>
      <w:pPr>
        <w:tabs>
          <w:tab w:val="left" w:pos="1125"/>
          <w:tab w:val="left" w:pos="3960"/>
        </w:tabs>
        <w:spacing w:line="360" w:lineRule="auto"/>
        <w:rPr>
          <w:rFonts w:hint="eastAsia" w:ascii="宋体" w:hAnsi="宋体"/>
          <w:szCs w:val="21"/>
          <w:highlight w:val="none"/>
        </w:rPr>
      </w:pPr>
      <w:bookmarkStart w:id="29" w:name="_Toc397006845"/>
      <w:r>
        <w:rPr>
          <w:rFonts w:hint="eastAsia" w:ascii="宋体" w:hAnsi="宋体"/>
          <w:szCs w:val="21"/>
          <w:highlight w:val="none"/>
        </w:rPr>
        <w:t>环境温度：-10～+45℃</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相对湿度：5%-95%（无凝露，也不结冰）；</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大气压力：70kPa～106kPa；</w:t>
      </w:r>
    </w:p>
    <w:p>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海拔高度：＜1000m</w:t>
      </w:r>
    </w:p>
    <w:p>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29"/>
    </w:p>
    <w:bookmarkEnd w:id="26"/>
    <w:bookmarkEnd w:id="27"/>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2"/>
        <w:bidi w:val="0"/>
        <w:rPr>
          <w:rFonts w:hint="eastAsia" w:ascii="宋体" w:hAnsi="宋体" w:eastAsia="宋体" w:cs="Times New Roman"/>
          <w:b w:val="0"/>
          <w:color w:val="000000"/>
          <w:kern w:val="2"/>
          <w:sz w:val="24"/>
          <w:szCs w:val="24"/>
          <w:highlight w:val="none"/>
          <w:lang w:val="en-US" w:eastAsia="zh-CN" w:bidi="ar-SA"/>
        </w:rPr>
      </w:pPr>
      <w:bookmarkStart w:id="30" w:name="_Toc18680"/>
      <w:r>
        <w:rPr>
          <w:rFonts w:hint="eastAsia"/>
          <w:highlight w:val="none"/>
          <w:lang w:val="en-US" w:eastAsia="zh-CN"/>
        </w:rPr>
        <w:t>4</w:t>
      </w:r>
      <w:r>
        <w:rPr>
          <w:rFonts w:hint="eastAsia"/>
          <w:highlight w:val="none"/>
        </w:rPr>
        <w:t>.技术要求</w:t>
      </w:r>
      <w:bookmarkEnd w:id="30"/>
    </w:p>
    <w:p>
      <w:pPr>
        <w:keepNext w:val="0"/>
        <w:keepLines w:val="0"/>
        <w:pageBreakBefore w:val="0"/>
        <w:widowControl w:val="0"/>
        <w:kinsoku/>
        <w:wordWrap/>
        <w:overflowPunct/>
        <w:topLinePunct w:val="0"/>
        <w:autoSpaceDE/>
        <w:autoSpaceDN/>
        <w:bidi w:val="0"/>
        <w:adjustRightInd/>
        <w:snapToGrid/>
        <w:spacing w:line="500" w:lineRule="exact"/>
        <w:textAlignment w:val="auto"/>
        <w:rPr>
          <w:highlight w:val="none"/>
        </w:rPr>
      </w:pPr>
      <w:r>
        <w:rPr>
          <w:rFonts w:hint="eastAsia"/>
          <w:highlight w:val="none"/>
          <w:lang w:val="en-US" w:eastAsia="zh-CN"/>
        </w:rPr>
        <w:t>4</w:t>
      </w:r>
      <w:r>
        <w:rPr>
          <w:rFonts w:hint="eastAsia"/>
          <w:highlight w:val="none"/>
        </w:rPr>
        <w:t>.1</w:t>
      </w:r>
      <w:r>
        <w:rPr>
          <w:rFonts w:hint="eastAsia"/>
          <w:highlight w:val="none"/>
          <w:lang w:eastAsia="zh-CN"/>
        </w:rPr>
        <w:t>频率变化信号源</w:t>
      </w:r>
      <w:r>
        <w:rPr>
          <w:rFonts w:hint="eastAsia"/>
          <w:color w:val="auto"/>
          <w:highlight w:val="none"/>
          <w:shd w:val="clear" w:color="auto" w:fill="FFFFFF"/>
        </w:rPr>
        <w:t>功能</w:t>
      </w:r>
      <w:r>
        <w:rPr>
          <w:rFonts w:hint="eastAsia"/>
          <w:highlight w:val="none"/>
        </w:rPr>
        <w:t>要求</w:t>
      </w:r>
    </w:p>
    <w:p>
      <w:pPr>
        <w:keepLines w:val="0"/>
        <w:pageBreakBefore w:val="0"/>
        <w:kinsoku/>
        <w:wordWrap/>
        <w:bidi w:val="0"/>
        <w:spacing w:line="500" w:lineRule="exact"/>
        <w:ind w:left="410" w:firstLine="480" w:firstLineChars="200"/>
        <w:rPr>
          <w:rFonts w:hint="eastAsia"/>
          <w:highlight w:val="none"/>
          <w:lang w:val="en-US" w:eastAsia="zh-CN"/>
        </w:rPr>
      </w:pPr>
      <w:r>
        <w:rPr>
          <w:rFonts w:hint="eastAsia"/>
          <w:highlight w:val="none"/>
          <w:lang w:val="en-US" w:eastAsia="zh-CN"/>
        </w:rPr>
        <w:t>1、基本功能：双操作模式，同一套程序既可单机操作，也可以连PC操作。在基波上可叠加最高24次的谐波、间歇波。</w:t>
      </w:r>
    </w:p>
    <w:p>
      <w:pPr>
        <w:keepLines w:val="0"/>
        <w:pageBreakBefore w:val="0"/>
        <w:kinsoku/>
        <w:wordWrap/>
        <w:bidi w:val="0"/>
        <w:spacing w:line="500" w:lineRule="exact"/>
        <w:ind w:left="410" w:firstLine="480" w:firstLineChars="200"/>
        <w:rPr>
          <w:rFonts w:hint="eastAsia"/>
          <w:highlight w:val="none"/>
          <w:lang w:val="en-US" w:eastAsia="zh-CN"/>
        </w:rPr>
      </w:pPr>
      <w:r>
        <w:rPr>
          <w:rFonts w:hint="eastAsia"/>
          <w:highlight w:val="none"/>
          <w:lang w:val="en-US" w:eastAsia="zh-CN"/>
        </w:rPr>
        <w:t>2、实现电压信号可连续变化输出，可模拟实际电网故障电压曲线，电压输出信号刷新频率不低于100KHz。</w:t>
      </w:r>
    </w:p>
    <w:p>
      <w:pPr>
        <w:keepLines w:val="0"/>
        <w:pageBreakBefore w:val="0"/>
        <w:kinsoku/>
        <w:wordWrap/>
        <w:bidi w:val="0"/>
        <w:spacing w:line="500" w:lineRule="exact"/>
        <w:ind w:left="410" w:firstLine="480" w:firstLineChars="200"/>
        <w:rPr>
          <w:rFonts w:hint="eastAsia"/>
          <w:highlight w:val="none"/>
          <w:lang w:val="en-US" w:eastAsia="zh-CN"/>
        </w:rPr>
      </w:pPr>
      <w:r>
        <w:rPr>
          <w:rFonts w:hint="eastAsia"/>
          <w:highlight w:val="none"/>
          <w:lang w:val="en-US" w:eastAsia="zh-CN"/>
        </w:rPr>
        <w:t>3、</w:t>
      </w:r>
      <w:r>
        <w:rPr>
          <w:rFonts w:hint="eastAsia"/>
          <w:b/>
          <w:bCs/>
          <w:highlight w:val="none"/>
        </w:rPr>
        <w:t>★</w:t>
      </w:r>
      <w:r>
        <w:rPr>
          <w:rFonts w:hint="eastAsia"/>
          <w:b/>
          <w:bCs/>
          <w:highlight w:val="none"/>
          <w:lang w:val="en-US" w:eastAsia="zh-CN"/>
        </w:rPr>
        <w:t>频率信号可设定点不低于6万点；频率输出信号刷新频率在参数设置界面可随时设置，最高刷新频率不低于1KHz。</w:t>
      </w:r>
    </w:p>
    <w:p>
      <w:pPr>
        <w:keepLines w:val="0"/>
        <w:pageBreakBefore w:val="0"/>
        <w:kinsoku/>
        <w:wordWrap/>
        <w:bidi w:val="0"/>
        <w:spacing w:line="500" w:lineRule="exact"/>
        <w:ind w:left="410" w:firstLine="480" w:firstLineChars="200"/>
        <w:rPr>
          <w:rFonts w:hint="eastAsia"/>
          <w:highlight w:val="none"/>
          <w:lang w:val="en-US" w:eastAsia="zh-CN"/>
        </w:rPr>
      </w:pPr>
      <w:r>
        <w:rPr>
          <w:rFonts w:hint="eastAsia"/>
          <w:highlight w:val="none"/>
          <w:lang w:val="en-US" w:eastAsia="zh-CN"/>
        </w:rPr>
        <w:t>4、可按dv/dt、df/dt模式输出，每相电压的dv/dt、df/dt可调，可在参数设置界面可随时设置。</w:t>
      </w:r>
    </w:p>
    <w:p>
      <w:pPr>
        <w:keepLines w:val="0"/>
        <w:pageBreakBefore w:val="0"/>
        <w:kinsoku/>
        <w:wordWrap/>
        <w:bidi w:val="0"/>
        <w:spacing w:line="500" w:lineRule="exact"/>
        <w:ind w:left="410" w:firstLine="480" w:firstLineChars="200"/>
        <w:rPr>
          <w:rFonts w:hint="eastAsia"/>
          <w:highlight w:val="none"/>
          <w:lang w:val="en-US" w:eastAsia="zh-CN"/>
        </w:rPr>
      </w:pPr>
      <w:r>
        <w:rPr>
          <w:rFonts w:hint="eastAsia"/>
          <w:highlight w:val="none"/>
          <w:lang w:val="en-US" w:eastAsia="zh-CN"/>
        </w:rPr>
        <w:t>5、可实现频率信号连续可调，可模拟实际电网故障频率曲线，频率输出间隔可调，最小1ms一个点，确保频率变化率计算准确。</w:t>
      </w:r>
    </w:p>
    <w:p>
      <w:pPr>
        <w:keepLines w:val="0"/>
        <w:pageBreakBefore w:val="0"/>
        <w:kinsoku/>
        <w:wordWrap/>
        <w:bidi w:val="0"/>
        <w:spacing w:line="500" w:lineRule="exact"/>
        <w:ind w:left="410" w:firstLine="480" w:firstLineChars="200"/>
        <w:rPr>
          <w:rFonts w:hint="eastAsia"/>
          <w:highlight w:val="none"/>
          <w:lang w:val="en-US" w:eastAsia="zh-CN"/>
        </w:rPr>
      </w:pPr>
      <w:r>
        <w:rPr>
          <w:rFonts w:hint="eastAsia"/>
          <w:highlight w:val="none"/>
          <w:lang w:val="en-US" w:eastAsia="zh-CN"/>
        </w:rPr>
        <w:t>6、实际频率变化波形模拟：可读取波形文件（excel表格）完整模拟实际运行工况，最高支持60000个频率变化点，最小变化间隔1ms。实验过程中可以直观的观察电压、频率变化曲线。</w:t>
      </w:r>
    </w:p>
    <w:p>
      <w:pPr>
        <w:keepLines w:val="0"/>
        <w:pageBreakBefore w:val="0"/>
        <w:kinsoku/>
        <w:wordWrap/>
        <w:bidi w:val="0"/>
        <w:spacing w:line="500" w:lineRule="exact"/>
        <w:ind w:left="410" w:firstLine="480" w:firstLineChars="200"/>
        <w:rPr>
          <w:rFonts w:hint="eastAsia"/>
          <w:highlight w:val="none"/>
          <w:lang w:val="en-US" w:eastAsia="zh-CN"/>
        </w:rPr>
      </w:pPr>
      <w:r>
        <w:rPr>
          <w:rFonts w:hint="eastAsia"/>
          <w:highlight w:val="none"/>
          <w:lang w:val="en-US" w:eastAsia="zh-CN"/>
        </w:rPr>
        <w:t>7、电压阶跃模拟：可模拟电压高穿、低穿及同时相位突变的故障状态。电压高穿、低穿过程可按dv/dt设置变化，可以连续输出多次电压阶跃变化故障。</w:t>
      </w:r>
    </w:p>
    <w:p>
      <w:pPr>
        <w:keepLines w:val="0"/>
        <w:pageBreakBefore w:val="0"/>
        <w:kinsoku/>
        <w:wordWrap/>
        <w:bidi w:val="0"/>
        <w:spacing w:line="500" w:lineRule="exact"/>
        <w:ind w:left="410" w:firstLine="480" w:firstLineChars="200"/>
        <w:rPr>
          <w:rFonts w:hint="eastAsia"/>
          <w:highlight w:val="none"/>
          <w:lang w:val="en-US" w:eastAsia="zh-CN"/>
        </w:rPr>
      </w:pPr>
      <w:r>
        <w:rPr>
          <w:rFonts w:hint="eastAsia"/>
          <w:highlight w:val="none"/>
          <w:lang w:val="en-US" w:eastAsia="zh-CN"/>
        </w:rPr>
        <w:t>8、频率扰动模拟：可模拟电压频率上扰及下扰的故障状态，同时叠加谐波。频率扰动过程可按df/dt设置变化，可以连续输出多次频率扰动故障。</w:t>
      </w:r>
    </w:p>
    <w:p>
      <w:pPr>
        <w:keepLines w:val="0"/>
        <w:pageBreakBefore w:val="0"/>
        <w:kinsoku/>
        <w:wordWrap/>
        <w:bidi w:val="0"/>
        <w:spacing w:line="500" w:lineRule="exact"/>
        <w:ind w:left="410" w:firstLine="480" w:firstLineChars="200"/>
        <w:rPr>
          <w:rFonts w:hint="eastAsia"/>
          <w:highlight w:val="none"/>
          <w:lang w:val="en-US" w:eastAsia="zh-CN"/>
        </w:rPr>
      </w:pPr>
      <w:r>
        <w:rPr>
          <w:rFonts w:hint="eastAsia"/>
          <w:highlight w:val="none"/>
          <w:lang w:val="en-US" w:eastAsia="zh-CN"/>
        </w:rPr>
        <w:t>9、可编辑多个方案，测试时按方案连续输出，测试过程中也可对方案进行自由编辑，保证测试过程中连续输出。</w:t>
      </w:r>
    </w:p>
    <w:p>
      <w:pPr>
        <w:keepLines w:val="0"/>
        <w:pageBreakBefore w:val="0"/>
        <w:kinsoku/>
        <w:wordWrap/>
        <w:bidi w:val="0"/>
        <w:spacing w:line="500" w:lineRule="exact"/>
        <w:ind w:left="410" w:firstLine="480" w:firstLineChars="200"/>
        <w:rPr>
          <w:rFonts w:hint="eastAsia"/>
          <w:highlight w:val="none"/>
          <w:lang w:val="en-US" w:eastAsia="zh-CN"/>
        </w:rPr>
      </w:pPr>
      <w:r>
        <w:rPr>
          <w:rFonts w:hint="eastAsia"/>
          <w:highlight w:val="none"/>
          <w:lang w:val="en-US" w:eastAsia="zh-CN"/>
        </w:rPr>
        <w:t>10、波形监视：可对输出波形进行实时监控并录波。</w:t>
      </w:r>
    </w:p>
    <w:p>
      <w:pPr>
        <w:keepLines w:val="0"/>
        <w:pageBreakBefore w:val="0"/>
        <w:kinsoku/>
        <w:wordWrap/>
        <w:bidi w:val="0"/>
        <w:spacing w:line="500" w:lineRule="exact"/>
        <w:ind w:left="410" w:firstLine="480" w:firstLineChars="200"/>
        <w:rPr>
          <w:rFonts w:hint="eastAsia"/>
          <w:highlight w:val="none"/>
          <w:lang w:val="en-US" w:eastAsia="zh-CN"/>
        </w:rPr>
      </w:pPr>
      <w:r>
        <w:rPr>
          <w:rFonts w:hint="eastAsia"/>
          <w:highlight w:val="none"/>
          <w:lang w:val="en-US" w:eastAsia="zh-CN"/>
        </w:rPr>
        <w:t>11、波形回放：可对COMTRADE格式的文件进行回放，进行故障再现。</w:t>
      </w:r>
    </w:p>
    <w:p>
      <w:pPr>
        <w:keepLines w:val="0"/>
        <w:pageBreakBefore w:val="0"/>
        <w:kinsoku/>
        <w:wordWrap/>
        <w:bidi w:val="0"/>
        <w:spacing w:line="500" w:lineRule="exact"/>
        <w:ind w:left="410" w:firstLine="480" w:firstLineChars="200"/>
        <w:rPr>
          <w:rFonts w:hint="eastAsia"/>
          <w:highlight w:val="none"/>
          <w:lang w:eastAsia="zh-CN"/>
        </w:rPr>
      </w:pPr>
      <w:r>
        <w:rPr>
          <w:rFonts w:hint="eastAsia"/>
          <w:highlight w:val="none"/>
          <w:lang w:val="en-US" w:eastAsia="zh-CN"/>
        </w:rPr>
        <w:t>12、具备电压输出短路、过载自保护功能</w:t>
      </w: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频率变化信号源</w:t>
      </w:r>
      <w:r>
        <w:rPr>
          <w:rFonts w:hint="eastAsia"/>
          <w:color w:val="auto"/>
          <w:highlight w:val="none"/>
          <w:shd w:val="clear" w:color="auto" w:fill="FFFFFF"/>
        </w:rPr>
        <w:t>技术指标</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1697"/>
        <w:gridCol w:w="577"/>
        <w:gridCol w:w="4381"/>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b/>
                <w:bCs/>
                <w:highlight w:val="none"/>
                <w:lang w:val="en-US" w:eastAsia="zh-CN"/>
              </w:rPr>
            </w:pPr>
            <w:r>
              <w:rPr>
                <w:rFonts w:hint="eastAsia"/>
                <w:b/>
                <w:bCs/>
                <w:highlight w:val="none"/>
                <w:lang w:val="en-US" w:eastAsia="zh-CN"/>
              </w:rPr>
              <w:t>序号</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b/>
                <w:bCs/>
                <w:highlight w:val="none"/>
                <w:lang w:val="en-US" w:eastAsia="zh-CN"/>
              </w:rPr>
            </w:pPr>
            <w:r>
              <w:rPr>
                <w:rFonts w:hint="eastAsia"/>
                <w:b/>
                <w:bCs/>
                <w:highlight w:val="none"/>
                <w:lang w:val="en-US" w:eastAsia="zh-CN"/>
              </w:rPr>
              <w:t>项    目</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b/>
                <w:bCs/>
                <w:highlight w:val="none"/>
                <w:lang w:val="en-US" w:eastAsia="zh-CN"/>
              </w:rPr>
            </w:pPr>
            <w:r>
              <w:rPr>
                <w:rFonts w:hint="eastAsia"/>
                <w:b/>
                <w:bCs/>
                <w:highlight w:val="none"/>
                <w:lang w:val="en-US" w:eastAsia="zh-CN"/>
              </w:rPr>
              <w:t>单位</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b/>
                <w:bCs/>
                <w:highlight w:val="none"/>
                <w:lang w:val="en-US" w:eastAsia="zh-CN"/>
              </w:rPr>
            </w:pPr>
            <w:r>
              <w:rPr>
                <w:rFonts w:hint="eastAsia"/>
                <w:b/>
                <w:bCs/>
                <w:highlight w:val="none"/>
                <w:lang w:val="en-US" w:eastAsia="zh-CN"/>
              </w:rPr>
              <w:t>采购人需求值</w:t>
            </w:r>
          </w:p>
        </w:tc>
        <w:tc>
          <w:tcPr>
            <w:tcW w:w="219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b/>
                <w:bCs/>
                <w:highlight w:val="none"/>
                <w:lang w:val="en-US" w:eastAsia="zh-CN"/>
              </w:rPr>
            </w:pPr>
            <w:r>
              <w:rPr>
                <w:rFonts w:hint="eastAsia"/>
                <w:b/>
                <w:bCs/>
                <w:highlight w:val="none"/>
                <w:lang w:val="en-US" w:eastAsia="zh-CN"/>
              </w:rPr>
              <w:t>投标人响应值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1</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交流电压输出</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V</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4路交流电压输出，输出范围0~150V，全量程范围内可输出，输出精度0.05%（主量程范围内），输出分辨力：0.001V</w:t>
            </w:r>
          </w:p>
        </w:tc>
        <w:tc>
          <w:tcPr>
            <w:tcW w:w="2196" w:type="dxa"/>
            <w:noWrap w:val="0"/>
            <w:vAlign w:val="center"/>
          </w:tcPr>
          <w:p>
            <w:pPr>
              <w:spacing w:line="27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2</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交流电压输出功率</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VA</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最大输出功率80VA/相</w:t>
            </w:r>
          </w:p>
        </w:tc>
        <w:tc>
          <w:tcPr>
            <w:tcW w:w="2196" w:type="dxa"/>
            <w:noWrap w:val="0"/>
            <w:vAlign w:val="center"/>
          </w:tcPr>
          <w:p>
            <w:pPr>
              <w:spacing w:line="27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3</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频率输出</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Hz</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频率输出范围0~1200Hz，</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输出误差不大于±0.001Hz，</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频率输出分辨力0.001Hz</w:t>
            </w:r>
          </w:p>
        </w:tc>
        <w:tc>
          <w:tcPr>
            <w:tcW w:w="2196" w:type="dxa"/>
            <w:noWrap w:val="0"/>
            <w:vAlign w:val="center"/>
          </w:tcPr>
          <w:p>
            <w:pPr>
              <w:spacing w:line="27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4</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相位输出</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相位输出范围0~360°，相位输出误差不大于±0.1°，相位输出分辨力0.01°</w:t>
            </w:r>
          </w:p>
        </w:tc>
        <w:tc>
          <w:tcPr>
            <w:tcW w:w="2196" w:type="dxa"/>
            <w:noWrap w:val="0"/>
            <w:vAlign w:val="center"/>
          </w:tcPr>
          <w:p>
            <w:pPr>
              <w:spacing w:line="27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5</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输出采样频率</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100kHz</w:t>
            </w:r>
          </w:p>
        </w:tc>
        <w:tc>
          <w:tcPr>
            <w:tcW w:w="2196" w:type="dxa"/>
            <w:noWrap w:val="0"/>
            <w:vAlign w:val="center"/>
          </w:tcPr>
          <w:p>
            <w:pPr>
              <w:spacing w:line="27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6</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输出时间控制</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时间控制精度：±1us</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时间控制分辨力：1ms</w:t>
            </w:r>
          </w:p>
        </w:tc>
        <w:tc>
          <w:tcPr>
            <w:tcW w:w="2196" w:type="dxa"/>
            <w:noWrap w:val="0"/>
            <w:vAlign w:val="center"/>
          </w:tcPr>
          <w:p>
            <w:pPr>
              <w:spacing w:line="27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7</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直流电压</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输出路数</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4路</w:t>
            </w:r>
          </w:p>
        </w:tc>
        <w:tc>
          <w:tcPr>
            <w:tcW w:w="2196" w:type="dxa"/>
            <w:noWrap w:val="0"/>
            <w:vAlign w:val="center"/>
          </w:tcPr>
          <w:p>
            <w:pPr>
              <w:spacing w:line="27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8</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直流相电压</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输出范围</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0～150V，输出准确度0.1%（主量程范围内）</w:t>
            </w:r>
          </w:p>
        </w:tc>
        <w:tc>
          <w:tcPr>
            <w:tcW w:w="2196" w:type="dxa"/>
            <w:noWrap w:val="0"/>
            <w:vAlign w:val="center"/>
          </w:tcPr>
          <w:p>
            <w:pPr>
              <w:spacing w:line="27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9</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直流相电压</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最大输出功率</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80VA</w:t>
            </w:r>
          </w:p>
        </w:tc>
        <w:tc>
          <w:tcPr>
            <w:tcW w:w="2196" w:type="dxa"/>
            <w:noWrap w:val="0"/>
            <w:vAlign w:val="center"/>
          </w:tcPr>
          <w:p>
            <w:pPr>
              <w:spacing w:line="27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10</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显示屏尺寸</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10.1寸1280</w:t>
            </w:r>
            <w:r>
              <w:rPr>
                <w:rFonts w:hint="eastAsia"/>
                <w:highlight w:val="none"/>
                <w:lang w:val="en-US" w:eastAsia="zh-CN"/>
              </w:rPr>
              <w:fldChar w:fldCharType="begin"/>
            </w:r>
            <w:r>
              <w:rPr>
                <w:rFonts w:hint="eastAsia"/>
                <w:highlight w:val="none"/>
                <w:lang w:val="en-US" w:eastAsia="zh-CN"/>
              </w:rPr>
              <w:instrText xml:space="preserve"> INCLUDEPICTURE "D:\\WeChat Files\\wxid_e7ssm3z0iy0j22\\FileStorage\\Users\\fzq\\AppData\\Local\\Temp\\ksohtml16584\\wps1.png" \* MERGEFORMAT </w:instrText>
            </w:r>
            <w:r>
              <w:rPr>
                <w:rFonts w:hint="eastAsia"/>
                <w:highlight w:val="none"/>
                <w:lang w:val="en-US" w:eastAsia="zh-CN"/>
              </w:rPr>
              <w:fldChar w:fldCharType="separate"/>
            </w:r>
            <w:r>
              <w:rPr>
                <w:rFonts w:hint="eastAsia"/>
                <w:highlight w:val="none"/>
                <w:lang w:val="en-US" w:eastAsia="zh-CN"/>
              </w:rPr>
              <w:drawing>
                <wp:inline distT="0" distB="0" distL="114300" distR="114300">
                  <wp:extent cx="114935" cy="123190"/>
                  <wp:effectExtent l="0" t="0" r="12065" b="0"/>
                  <wp:docPr id="3" name="图片 1"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wps1"/>
                          <pic:cNvPicPr>
                            <a:picLocks noChangeAspect="1"/>
                          </pic:cNvPicPr>
                        </pic:nvPicPr>
                        <pic:blipFill>
                          <a:blip r:embed="rId11"/>
                          <a:stretch>
                            <a:fillRect/>
                          </a:stretch>
                        </pic:blipFill>
                        <pic:spPr>
                          <a:xfrm>
                            <a:off x="0" y="0"/>
                            <a:ext cx="114935" cy="123190"/>
                          </a:xfrm>
                          <a:prstGeom prst="rect">
                            <a:avLst/>
                          </a:prstGeom>
                          <a:noFill/>
                          <a:ln>
                            <a:noFill/>
                          </a:ln>
                        </pic:spPr>
                      </pic:pic>
                    </a:graphicData>
                  </a:graphic>
                </wp:inline>
              </w:drawing>
            </w:r>
            <w:r>
              <w:rPr>
                <w:rFonts w:hint="eastAsia"/>
                <w:highlight w:val="none"/>
                <w:lang w:val="en-US" w:eastAsia="zh-CN"/>
              </w:rPr>
              <w:fldChar w:fldCharType="end"/>
            </w:r>
            <w:r>
              <w:rPr>
                <w:rFonts w:hint="eastAsia"/>
                <w:highlight w:val="none"/>
                <w:lang w:val="en-US" w:eastAsia="zh-CN"/>
              </w:rPr>
              <w:t>800真彩液晶显示屏</w:t>
            </w:r>
          </w:p>
        </w:tc>
        <w:tc>
          <w:tcPr>
            <w:tcW w:w="2196" w:type="dxa"/>
            <w:noWrap w:val="0"/>
            <w:vAlign w:val="center"/>
          </w:tcPr>
          <w:p>
            <w:pPr>
              <w:spacing w:line="27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11</w:t>
            </w:r>
            <w:bookmarkStart w:id="39" w:name="_GoBack"/>
            <w:bookmarkEnd w:id="39"/>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USB接口</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2个</w:t>
            </w:r>
          </w:p>
        </w:tc>
        <w:tc>
          <w:tcPr>
            <w:tcW w:w="2196" w:type="dxa"/>
            <w:noWrap w:val="0"/>
            <w:vAlign w:val="center"/>
          </w:tcPr>
          <w:p>
            <w:pPr>
              <w:spacing w:line="27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12</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以太网接口</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2个RJ45接口</w:t>
            </w:r>
          </w:p>
        </w:tc>
        <w:tc>
          <w:tcPr>
            <w:tcW w:w="2196" w:type="dxa"/>
            <w:noWrap w:val="0"/>
            <w:vAlign w:val="center"/>
          </w:tcPr>
          <w:p>
            <w:pPr>
              <w:spacing w:line="27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13</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尺寸</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347mm*235mm*110mm</w:t>
            </w:r>
          </w:p>
        </w:tc>
        <w:tc>
          <w:tcPr>
            <w:tcW w:w="2196" w:type="dxa"/>
            <w:noWrap w:val="0"/>
            <w:vAlign w:val="center"/>
          </w:tcPr>
          <w:p>
            <w:pPr>
              <w:spacing w:line="27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7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14</w:t>
            </w:r>
          </w:p>
        </w:tc>
        <w:tc>
          <w:tcPr>
            <w:tcW w:w="16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重量</w:t>
            </w:r>
          </w:p>
        </w:tc>
        <w:tc>
          <w:tcPr>
            <w:tcW w:w="57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w:t>
            </w:r>
          </w:p>
        </w:tc>
        <w:tc>
          <w:tcPr>
            <w:tcW w:w="43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highlight w:val="none"/>
                <w:lang w:val="en-US" w:eastAsia="zh-CN"/>
              </w:rPr>
            </w:pPr>
            <w:r>
              <w:rPr>
                <w:rFonts w:hint="eastAsia"/>
                <w:highlight w:val="none"/>
                <w:lang w:val="en-US" w:eastAsia="zh-CN"/>
              </w:rPr>
              <w:t>＜8kg</w:t>
            </w:r>
          </w:p>
        </w:tc>
        <w:tc>
          <w:tcPr>
            <w:tcW w:w="2196" w:type="dxa"/>
            <w:noWrap w:val="0"/>
            <w:vAlign w:val="center"/>
          </w:tcPr>
          <w:p>
            <w:pPr>
              <w:spacing w:line="270" w:lineRule="atLeast"/>
              <w:jc w:val="center"/>
              <w:rPr>
                <w:sz w:val="18"/>
                <w:szCs w:val="18"/>
              </w:rPr>
            </w:pPr>
          </w:p>
        </w:tc>
      </w:tr>
    </w:tbl>
    <w:p>
      <w:pPr>
        <w:pStyle w:val="2"/>
        <w:bidi w:val="0"/>
        <w:rPr>
          <w:rFonts w:cs="宋体"/>
          <w:spacing w:val="1"/>
          <w:highlight w:val="none"/>
        </w:rPr>
      </w:pPr>
      <w:bookmarkStart w:id="31" w:name="_Toc20099"/>
      <w:r>
        <w:rPr>
          <w:rFonts w:hint="eastAsia"/>
          <w:highlight w:val="none"/>
          <w:lang w:val="en-US" w:eastAsia="zh-CN"/>
        </w:rPr>
        <w:t>5</w:t>
      </w:r>
      <w:r>
        <w:rPr>
          <w:highlight w:val="none"/>
        </w:rPr>
        <w:t>.</w:t>
      </w:r>
      <w:r>
        <w:rPr>
          <w:rFonts w:cs="宋体"/>
          <w:spacing w:val="1"/>
          <w:highlight w:val="none"/>
        </w:rPr>
        <w:t>质量保证和试验</w:t>
      </w:r>
      <w:bookmarkEnd w:id="31"/>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2"/>
        <w:bidi w:val="0"/>
        <w:rPr>
          <w:highlight w:val="none"/>
        </w:rPr>
      </w:pPr>
      <w:bookmarkStart w:id="32" w:name="_Toc7595"/>
      <w:r>
        <w:rPr>
          <w:rFonts w:hint="eastAsia"/>
          <w:highlight w:val="none"/>
          <w:lang w:eastAsia="zh-CN"/>
        </w:rPr>
        <w:t>6.</w:t>
      </w:r>
      <w:r>
        <w:rPr>
          <w:rFonts w:cs="宋体"/>
          <w:spacing w:val="1"/>
          <w:highlight w:val="none"/>
        </w:rPr>
        <w:t>包装、运输和储存</w:t>
      </w:r>
      <w:bookmarkEnd w:id="32"/>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2"/>
        <w:bidi w:val="0"/>
        <w:rPr>
          <w:rFonts w:hint="default"/>
          <w:highlight w:val="none"/>
          <w:lang w:val="en-US" w:eastAsia="zh-CN"/>
        </w:rPr>
      </w:pPr>
      <w:bookmarkStart w:id="33" w:name="_Toc8520"/>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3"/>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3"/>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3"/>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2"/>
        <w:numPr>
          <w:ilvl w:val="0"/>
          <w:numId w:val="1"/>
        </w:numPr>
        <w:bidi w:val="0"/>
        <w:rPr>
          <w:rFonts w:hint="eastAsia"/>
          <w:highlight w:val="none"/>
        </w:rPr>
      </w:pPr>
      <w:bookmarkStart w:id="34" w:name="_Toc20964"/>
      <w:r>
        <w:rPr>
          <w:rFonts w:hint="eastAsia"/>
          <w:highlight w:val="none"/>
        </w:rPr>
        <w:t>供货范围清单</w:t>
      </w:r>
      <w:bookmarkEnd w:id="34"/>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2"/>
        <w:gridCol w:w="3124"/>
        <w:gridCol w:w="1593"/>
        <w:gridCol w:w="722"/>
        <w:gridCol w:w="17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jc w:val="center"/>
        </w:trPr>
        <w:tc>
          <w:tcPr>
            <w:tcW w:w="88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序号</w:t>
            </w:r>
          </w:p>
        </w:tc>
        <w:tc>
          <w:tcPr>
            <w:tcW w:w="312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物资名称</w:t>
            </w:r>
          </w:p>
        </w:tc>
        <w:tc>
          <w:tcPr>
            <w:tcW w:w="15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单位</w:t>
            </w:r>
          </w:p>
        </w:tc>
        <w:tc>
          <w:tcPr>
            <w:tcW w:w="72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数量</w:t>
            </w:r>
          </w:p>
        </w:tc>
        <w:tc>
          <w:tcPr>
            <w:tcW w:w="171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供应商响应值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jc w:val="center"/>
        </w:trPr>
        <w:tc>
          <w:tcPr>
            <w:tcW w:w="88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1</w:t>
            </w:r>
          </w:p>
        </w:tc>
        <w:tc>
          <w:tcPr>
            <w:tcW w:w="312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频率变化信号源主机</w:t>
            </w:r>
          </w:p>
        </w:tc>
        <w:tc>
          <w:tcPr>
            <w:tcW w:w="15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台</w:t>
            </w:r>
          </w:p>
        </w:tc>
        <w:tc>
          <w:tcPr>
            <w:tcW w:w="72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1</w:t>
            </w:r>
          </w:p>
        </w:tc>
        <w:tc>
          <w:tcPr>
            <w:tcW w:w="171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jc w:val="center"/>
        </w:trPr>
        <w:tc>
          <w:tcPr>
            <w:tcW w:w="88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2</w:t>
            </w:r>
          </w:p>
        </w:tc>
        <w:tc>
          <w:tcPr>
            <w:tcW w:w="312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专用测试线</w:t>
            </w:r>
          </w:p>
        </w:tc>
        <w:tc>
          <w:tcPr>
            <w:tcW w:w="15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套</w:t>
            </w:r>
          </w:p>
        </w:tc>
        <w:tc>
          <w:tcPr>
            <w:tcW w:w="72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1</w:t>
            </w:r>
          </w:p>
        </w:tc>
        <w:tc>
          <w:tcPr>
            <w:tcW w:w="171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8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3</w:t>
            </w:r>
          </w:p>
        </w:tc>
        <w:tc>
          <w:tcPr>
            <w:tcW w:w="312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专用测试软件</w:t>
            </w:r>
          </w:p>
        </w:tc>
        <w:tc>
          <w:tcPr>
            <w:tcW w:w="15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套</w:t>
            </w:r>
          </w:p>
        </w:tc>
        <w:tc>
          <w:tcPr>
            <w:tcW w:w="72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1</w:t>
            </w:r>
          </w:p>
        </w:tc>
        <w:tc>
          <w:tcPr>
            <w:tcW w:w="171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 w:hRule="atLeast"/>
          <w:jc w:val="center"/>
        </w:trPr>
        <w:tc>
          <w:tcPr>
            <w:tcW w:w="88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4</w:t>
            </w:r>
          </w:p>
        </w:tc>
        <w:tc>
          <w:tcPr>
            <w:tcW w:w="312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仪器箱</w:t>
            </w:r>
          </w:p>
        </w:tc>
        <w:tc>
          <w:tcPr>
            <w:tcW w:w="159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个</w:t>
            </w:r>
          </w:p>
        </w:tc>
        <w:tc>
          <w:tcPr>
            <w:tcW w:w="72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r>
              <w:rPr>
                <w:rFonts w:hint="eastAsia" w:ascii="Calibri" w:hAnsi="Calibri" w:eastAsia="方正书宋简体" w:cs="宋体"/>
                <w:color w:val="000000"/>
                <w:kern w:val="2"/>
                <w:sz w:val="24"/>
                <w:szCs w:val="22"/>
                <w:highlight w:val="none"/>
                <w:lang w:val="en-US" w:eastAsia="zh-CN" w:bidi="ar-SA"/>
              </w:rPr>
              <w:t>1</w:t>
            </w:r>
          </w:p>
        </w:tc>
        <w:tc>
          <w:tcPr>
            <w:tcW w:w="171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Calibri" w:hAnsi="Calibri" w:eastAsia="方正书宋简体" w:cs="宋体"/>
                <w:color w:val="000000"/>
                <w:kern w:val="2"/>
                <w:sz w:val="24"/>
                <w:szCs w:val="22"/>
                <w:highlight w:val="none"/>
                <w:lang w:val="en-US" w:eastAsia="zh-CN" w:bidi="ar-SA"/>
              </w:rPr>
            </w:pPr>
          </w:p>
        </w:tc>
      </w:tr>
    </w:tbl>
    <w:p>
      <w:pPr>
        <w:numPr>
          <w:ilvl w:val="0"/>
          <w:numId w:val="0"/>
        </w:numPr>
        <w:rPr>
          <w:highlight w:val="none"/>
        </w:rPr>
      </w:pPr>
    </w:p>
    <w:p>
      <w:pPr>
        <w:pStyle w:val="21"/>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1"/>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5" w:name="_Toc397006841"/>
    </w:p>
    <w:p>
      <w:pPr>
        <w:pStyle w:val="21"/>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5"/>
    </w:p>
    <w:tbl>
      <w:tblPr>
        <w:tblStyle w:val="14"/>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2"/>
        <w:bidi w:val="0"/>
        <w:rPr>
          <w:highlight w:val="none"/>
        </w:rPr>
      </w:pPr>
      <w:bookmarkStart w:id="36" w:name="_Toc8612"/>
      <w:r>
        <w:rPr>
          <w:rFonts w:hint="eastAsia"/>
          <w:highlight w:val="none"/>
          <w:lang w:eastAsia="zh-CN"/>
        </w:rPr>
        <w:t>9.</w:t>
      </w:r>
      <w:r>
        <w:rPr>
          <w:rFonts w:cs="宋体"/>
          <w:spacing w:val="1"/>
          <w:highlight w:val="none"/>
        </w:rPr>
        <w:t>设备的售后服务要求</w:t>
      </w:r>
      <w:bookmarkEnd w:id="36"/>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2"/>
        <w:bidi w:val="0"/>
        <w:rPr>
          <w:highlight w:val="none"/>
        </w:rPr>
      </w:pPr>
      <w:bookmarkStart w:id="37" w:name="_Toc4571"/>
      <w:r>
        <w:rPr>
          <w:rFonts w:hint="eastAsia"/>
          <w:spacing w:val="-6"/>
          <w:highlight w:val="none"/>
          <w:lang w:eastAsia="zh-CN"/>
        </w:rPr>
        <w:t>10.</w:t>
      </w:r>
      <w:r>
        <w:rPr>
          <w:rFonts w:cs="宋体"/>
          <w:highlight w:val="none"/>
        </w:rPr>
        <w:t>验收</w:t>
      </w:r>
      <w:bookmarkEnd w:id="37"/>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2"/>
        <w:bidi w:val="0"/>
        <w:rPr>
          <w:highlight w:val="none"/>
        </w:rPr>
      </w:pPr>
      <w:bookmarkStart w:id="38" w:name="_Toc22084"/>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8"/>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4"/>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13"/>
        <w:keepLines w:val="0"/>
        <w:pageBreakBefore w:val="0"/>
        <w:kinsoku/>
        <w:wordWrap/>
        <w:bidi w:val="0"/>
        <w:spacing w:line="500" w:lineRule="exact"/>
        <w:ind w:left="410" w:firstLine="240"/>
        <w:rPr>
          <w:highlight w:val="none"/>
        </w:rPr>
      </w:pPr>
    </w:p>
    <w:sectPr>
      <w:footerReference r:id="rId8" w:type="default"/>
      <w:pgSz w:w="11906" w:h="16838"/>
      <w:pgMar w:top="1440" w:right="1080" w:bottom="1440" w:left="1080" w:header="737" w:footer="340" w:gutter="0"/>
      <w:pgBorders>
        <w:top w:val="none" w:sz="0" w:space="0"/>
        <w:left w:val="none" w:sz="0" w:space="0"/>
        <w:bottom w:val="none" w:sz="0" w:space="0"/>
        <w:right w:val="none" w:sz="0" w:space="0"/>
      </w:pgBorders>
      <w:pgNumType w:fmt="decimal"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p>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p>
                    <w:pPr>
                      <w:pStyle w:val="3"/>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EFD0A4"/>
    <w:multiLevelType w:val="singleLevel"/>
    <w:tmpl w:val="85EFD0A4"/>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6C3066"/>
    <w:rsid w:val="04AC73D9"/>
    <w:rsid w:val="052208DA"/>
    <w:rsid w:val="07B66435"/>
    <w:rsid w:val="07D77390"/>
    <w:rsid w:val="07E06245"/>
    <w:rsid w:val="07F876A6"/>
    <w:rsid w:val="09C41FA6"/>
    <w:rsid w:val="0B5E23F3"/>
    <w:rsid w:val="0BAB653E"/>
    <w:rsid w:val="0C8A677F"/>
    <w:rsid w:val="0D344206"/>
    <w:rsid w:val="10C954D8"/>
    <w:rsid w:val="11624E20"/>
    <w:rsid w:val="12694677"/>
    <w:rsid w:val="13066AFF"/>
    <w:rsid w:val="146C6C85"/>
    <w:rsid w:val="161F618A"/>
    <w:rsid w:val="16406CB6"/>
    <w:rsid w:val="16D72E3C"/>
    <w:rsid w:val="17486E4C"/>
    <w:rsid w:val="18021834"/>
    <w:rsid w:val="19277699"/>
    <w:rsid w:val="1C3E3591"/>
    <w:rsid w:val="1C79220A"/>
    <w:rsid w:val="1C8772B6"/>
    <w:rsid w:val="1D3614FA"/>
    <w:rsid w:val="1F7F413E"/>
    <w:rsid w:val="1FA263E4"/>
    <w:rsid w:val="209B0B03"/>
    <w:rsid w:val="217676D4"/>
    <w:rsid w:val="22703D10"/>
    <w:rsid w:val="23B96AFD"/>
    <w:rsid w:val="273F6164"/>
    <w:rsid w:val="27E502D5"/>
    <w:rsid w:val="280653FC"/>
    <w:rsid w:val="29464C18"/>
    <w:rsid w:val="29487B4C"/>
    <w:rsid w:val="2B1E0CAF"/>
    <w:rsid w:val="2B2A0492"/>
    <w:rsid w:val="2C3F36A7"/>
    <w:rsid w:val="2EAE6CA3"/>
    <w:rsid w:val="2FFC5C95"/>
    <w:rsid w:val="30427C69"/>
    <w:rsid w:val="320372EF"/>
    <w:rsid w:val="33342978"/>
    <w:rsid w:val="33890C8F"/>
    <w:rsid w:val="33C00172"/>
    <w:rsid w:val="34234DD5"/>
    <w:rsid w:val="345833BB"/>
    <w:rsid w:val="34DB0F5E"/>
    <w:rsid w:val="366559E4"/>
    <w:rsid w:val="367B35A2"/>
    <w:rsid w:val="376E6B1A"/>
    <w:rsid w:val="3988303A"/>
    <w:rsid w:val="3E35373D"/>
    <w:rsid w:val="3F3F3186"/>
    <w:rsid w:val="3F9335C1"/>
    <w:rsid w:val="3FFB4CC3"/>
    <w:rsid w:val="41F6735B"/>
    <w:rsid w:val="427615CD"/>
    <w:rsid w:val="440525B4"/>
    <w:rsid w:val="476B4E24"/>
    <w:rsid w:val="4771622D"/>
    <w:rsid w:val="47874069"/>
    <w:rsid w:val="47B84838"/>
    <w:rsid w:val="48CC7BFD"/>
    <w:rsid w:val="49244D8F"/>
    <w:rsid w:val="50586005"/>
    <w:rsid w:val="51655545"/>
    <w:rsid w:val="53AF28DA"/>
    <w:rsid w:val="56200118"/>
    <w:rsid w:val="56625644"/>
    <w:rsid w:val="566F0113"/>
    <w:rsid w:val="5813392B"/>
    <w:rsid w:val="58B95CBA"/>
    <w:rsid w:val="596D67DA"/>
    <w:rsid w:val="5A44578C"/>
    <w:rsid w:val="5BE865EB"/>
    <w:rsid w:val="5C1415AA"/>
    <w:rsid w:val="5C7A5B1A"/>
    <w:rsid w:val="5CA6628A"/>
    <w:rsid w:val="5E375A3D"/>
    <w:rsid w:val="5E60690D"/>
    <w:rsid w:val="5EC33DB0"/>
    <w:rsid w:val="5F471779"/>
    <w:rsid w:val="60EC26DA"/>
    <w:rsid w:val="61E84C4F"/>
    <w:rsid w:val="6268037D"/>
    <w:rsid w:val="62740596"/>
    <w:rsid w:val="628B3C44"/>
    <w:rsid w:val="62CD7EA4"/>
    <w:rsid w:val="64402948"/>
    <w:rsid w:val="65974683"/>
    <w:rsid w:val="65C43F02"/>
    <w:rsid w:val="68DD2D1F"/>
    <w:rsid w:val="68F41FC9"/>
    <w:rsid w:val="694D6BE2"/>
    <w:rsid w:val="6AA81420"/>
    <w:rsid w:val="6E5754A9"/>
    <w:rsid w:val="6F1928EC"/>
    <w:rsid w:val="6F434230"/>
    <w:rsid w:val="70CA591E"/>
    <w:rsid w:val="71A633FF"/>
    <w:rsid w:val="726A345E"/>
    <w:rsid w:val="735A34D3"/>
    <w:rsid w:val="73DC31EB"/>
    <w:rsid w:val="74F677D5"/>
    <w:rsid w:val="75777748"/>
    <w:rsid w:val="76211CFF"/>
    <w:rsid w:val="77CE2584"/>
    <w:rsid w:val="7867742D"/>
    <w:rsid w:val="7C080BE5"/>
    <w:rsid w:val="7CB6538D"/>
    <w:rsid w:val="7CE34539"/>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2">
    <w:name w:val="heading 1"/>
    <w:basedOn w:val="1"/>
    <w:next w:val="1"/>
    <w:link w:val="24"/>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semiHidden/>
    <w:unhideWhenUsed/>
    <w:qFormat/>
    <w:uiPriority w:val="99"/>
    <w:pPr>
      <w:spacing w:after="120"/>
    </w:pPr>
  </w:style>
  <w:style w:type="paragraph" w:styleId="5">
    <w:name w:val="Plain Text"/>
    <w:basedOn w:val="1"/>
    <w:link w:val="26"/>
    <w:qFormat/>
    <w:uiPriority w:val="0"/>
    <w:rPr>
      <w:rFonts w:hAnsi="Courier New"/>
      <w:color w:val="auto"/>
      <w:sz w:val="21"/>
      <w:szCs w:val="20"/>
    </w:rPr>
  </w:style>
  <w:style w:type="paragraph" w:styleId="6">
    <w:name w:val="Body Text Indent 2"/>
    <w:basedOn w:val="1"/>
    <w:qFormat/>
    <w:uiPriority w:val="0"/>
    <w:pPr>
      <w:ind w:firstLine="570"/>
    </w:pPr>
    <w:rPr>
      <w:rFonts w:ascii="仿宋_GB2312" w:eastAsia="仿宋_GB2312"/>
      <w:sz w:val="24"/>
    </w:rPr>
  </w:style>
  <w:style w:type="paragraph" w:styleId="7">
    <w:name w:val="Balloon Text"/>
    <w:basedOn w:val="1"/>
    <w:link w:val="27"/>
    <w:semiHidden/>
    <w:unhideWhenUsed/>
    <w:qFormat/>
    <w:uiPriority w:val="99"/>
    <w:pPr>
      <w:spacing w:line="240" w:lineRule="auto"/>
    </w:pPr>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paragraph" w:styleId="12">
    <w:name w:val="Normal (Web)"/>
    <w:basedOn w:val="1"/>
    <w:qFormat/>
    <w:uiPriority w:val="0"/>
    <w:pPr>
      <w:spacing w:before="100" w:beforeAutospacing="1" w:after="100" w:afterAutospacing="1"/>
      <w:jc w:val="left"/>
    </w:pPr>
    <w:rPr>
      <w:kern w:val="0"/>
      <w:sz w:val="24"/>
    </w:rPr>
  </w:style>
  <w:style w:type="paragraph" w:styleId="13">
    <w:name w:val="Body Text First Indent"/>
    <w:basedOn w:val="4"/>
    <w:link w:val="20"/>
    <w:unhideWhenUsed/>
    <w:qFormat/>
    <w:uiPriority w:val="99"/>
    <w:pPr>
      <w:ind w:firstLine="420" w:firstLineChars="100"/>
    </w:pPr>
  </w:style>
  <w:style w:type="table" w:styleId="15">
    <w:name w:val="Table Grid"/>
    <w:basedOn w:val="1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页眉 字符"/>
    <w:basedOn w:val="16"/>
    <w:link w:val="9"/>
    <w:qFormat/>
    <w:uiPriority w:val="99"/>
    <w:rPr>
      <w:sz w:val="18"/>
      <w:szCs w:val="18"/>
    </w:rPr>
  </w:style>
  <w:style w:type="character" w:customStyle="1" w:styleId="18">
    <w:name w:val="页脚 字符"/>
    <w:basedOn w:val="16"/>
    <w:link w:val="8"/>
    <w:qFormat/>
    <w:uiPriority w:val="99"/>
    <w:rPr>
      <w:sz w:val="18"/>
      <w:szCs w:val="18"/>
    </w:rPr>
  </w:style>
  <w:style w:type="character" w:customStyle="1" w:styleId="19">
    <w:name w:val="正文文本 字符"/>
    <w:basedOn w:val="16"/>
    <w:link w:val="4"/>
    <w:semiHidden/>
    <w:qFormat/>
    <w:uiPriority w:val="99"/>
    <w:rPr>
      <w:rFonts w:ascii="宋体" w:hAnsi="宋体" w:eastAsia="宋体" w:cs="Times New Roman"/>
      <w:color w:val="000000"/>
      <w:sz w:val="24"/>
      <w:szCs w:val="24"/>
    </w:rPr>
  </w:style>
  <w:style w:type="character" w:customStyle="1" w:styleId="20">
    <w:name w:val="正文文本首行缩进 字符"/>
    <w:basedOn w:val="19"/>
    <w:link w:val="13"/>
    <w:qFormat/>
    <w:uiPriority w:val="99"/>
    <w:rPr>
      <w:rFonts w:ascii="宋体" w:hAnsi="宋体" w:eastAsia="宋体" w:cs="Times New Roman"/>
      <w:color w:val="000000"/>
      <w:sz w:val="24"/>
      <w:szCs w:val="24"/>
    </w:rPr>
  </w:style>
  <w:style w:type="paragraph" w:customStyle="1" w:styleId="21">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2">
    <w:name w:val="List Paragraph"/>
    <w:basedOn w:val="1"/>
    <w:qFormat/>
    <w:uiPriority w:val="34"/>
    <w:pPr>
      <w:ind w:firstLine="420" w:firstLineChars="200"/>
    </w:p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4">
    <w:name w:val="标题 1 字符"/>
    <w:basedOn w:val="16"/>
    <w:link w:val="2"/>
    <w:qFormat/>
    <w:uiPriority w:val="0"/>
    <w:rPr>
      <w:rFonts w:ascii="仿宋体" w:hAnsi="Times New Roman" w:eastAsia="仿宋体" w:cs="Times New Roman"/>
      <w:b/>
      <w:kern w:val="28"/>
      <w:sz w:val="26"/>
      <w:szCs w:val="20"/>
    </w:rPr>
  </w:style>
  <w:style w:type="character" w:customStyle="1" w:styleId="25">
    <w:name w:val="纯文本 Char"/>
    <w:qFormat/>
    <w:uiPriority w:val="0"/>
    <w:rPr>
      <w:rFonts w:ascii="宋体" w:hAnsi="Courier New" w:eastAsia="宋体" w:cs="Times New Roman"/>
      <w:szCs w:val="20"/>
    </w:rPr>
  </w:style>
  <w:style w:type="character" w:customStyle="1" w:styleId="26">
    <w:name w:val="纯文本 字符"/>
    <w:basedOn w:val="16"/>
    <w:link w:val="5"/>
    <w:semiHidden/>
    <w:qFormat/>
    <w:uiPriority w:val="99"/>
    <w:rPr>
      <w:rFonts w:ascii="宋体" w:hAnsi="Courier New" w:eastAsia="宋体" w:cs="Courier New"/>
      <w:color w:val="000000"/>
      <w:szCs w:val="21"/>
    </w:rPr>
  </w:style>
  <w:style w:type="character" w:customStyle="1" w:styleId="27">
    <w:name w:val="批注框文本 字符"/>
    <w:basedOn w:val="16"/>
    <w:link w:val="7"/>
    <w:semiHidden/>
    <w:qFormat/>
    <w:uiPriority w:val="99"/>
    <w:rPr>
      <w:rFonts w:ascii="宋体" w:hAnsi="宋体" w:eastAsia="宋体" w:cs="Times New Roman"/>
      <w:color w:val="000000"/>
      <w:sz w:val="18"/>
      <w:szCs w:val="18"/>
    </w:rPr>
  </w:style>
  <w:style w:type="paragraph" w:customStyle="1" w:styleId="28">
    <w:name w:val="内容"/>
    <w:basedOn w:val="1"/>
    <w:link w:val="29"/>
    <w:qFormat/>
    <w:uiPriority w:val="0"/>
    <w:pPr>
      <w:adjustRightInd w:val="0"/>
      <w:snapToGrid w:val="0"/>
      <w:spacing w:line="312" w:lineRule="auto"/>
      <w:ind w:left="0" w:leftChars="0" w:firstLine="240" w:firstLineChars="100"/>
      <w:jc w:val="both"/>
    </w:pPr>
    <w:rPr>
      <w:bCs/>
      <w:color w:val="auto"/>
      <w:kern w:val="0"/>
    </w:rPr>
  </w:style>
  <w:style w:type="character" w:customStyle="1" w:styleId="29">
    <w:name w:val="内容 Char"/>
    <w:basedOn w:val="16"/>
    <w:link w:val="28"/>
    <w:qFormat/>
    <w:uiPriority w:val="0"/>
    <w:rPr>
      <w:rFonts w:ascii="宋体" w:hAnsi="宋体" w:eastAsia="宋体" w:cs="Times New Roman"/>
      <w:bCs/>
      <w:sz w:val="24"/>
      <w:szCs w:val="24"/>
    </w:rPr>
  </w:style>
  <w:style w:type="character" w:customStyle="1" w:styleId="30">
    <w:name w:val="标题 2 字符"/>
    <w:basedOn w:val="16"/>
    <w:link w:val="3"/>
    <w:semiHidden/>
    <w:qFormat/>
    <w:uiPriority w:val="9"/>
    <w:rPr>
      <w:rFonts w:asciiTheme="majorHAnsi" w:hAnsiTheme="majorHAnsi" w:eastAsiaTheme="majorEastAsia" w:cstheme="majorBidi"/>
      <w:b/>
      <w:bCs/>
      <w:color w:val="000000"/>
      <w:kern w:val="2"/>
      <w:sz w:val="32"/>
      <w:szCs w:val="32"/>
    </w:rPr>
  </w:style>
  <w:style w:type="character" w:customStyle="1" w:styleId="31">
    <w:name w:val="keyword"/>
    <w:basedOn w:val="16"/>
    <w:qFormat/>
    <w:uiPriority w:val="0"/>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 w:type="paragraph" w:customStyle="1" w:styleId="33">
    <w:name w:val=" Char"/>
    <w:basedOn w:val="1"/>
    <w:qFormat/>
    <w:uiPriority w:val="0"/>
    <w:rPr>
      <w:rFonts w:ascii="Calibri"/>
      <w:szCs w:val="24"/>
    </w:rPr>
  </w:style>
  <w:style w:type="paragraph" w:customStyle="1" w:styleId="34">
    <w:name w:val="图表"/>
    <w:qFormat/>
    <w:uiPriority w:val="0"/>
    <w:pPr>
      <w:jc w:val="center"/>
    </w:pPr>
    <w:rPr>
      <w:rFonts w:ascii="Times New Roman" w:hAnsi="Times New Roman" w:eastAsia="宋体" w:cs="Times New Roman"/>
      <w:sz w:val="18"/>
      <w:szCs w:val="18"/>
      <w:lang w:val="en-US" w:eastAsia="zh-CN" w:bidi="ar-SA"/>
    </w:rPr>
  </w:style>
  <w:style w:type="paragraph" w:customStyle="1" w:styleId="35">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5279</Words>
  <Characters>5816</Characters>
  <Lines>30</Lines>
  <Paragraphs>8</Paragraphs>
  <TotalTime>0</TotalTime>
  <ScaleCrop>false</ScaleCrop>
  <LinksUpToDate>false</LinksUpToDate>
  <CharactersWithSpaces>6004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2026-08-07T05:36:19Z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