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CB1F84">
      <w:pPr>
        <w:rPr>
          <w:rFonts w:eastAsia="黑体"/>
          <w:color w:val="auto"/>
          <w:sz w:val="32"/>
          <w:szCs w:val="32"/>
          <w:highlight w:val="none"/>
        </w:rPr>
      </w:pPr>
      <w:r>
        <w:rPr>
          <w:color w:val="auto"/>
          <w:highlight w:val="none"/>
        </w:rPr>
        <w:drawing>
          <wp:anchor distT="0" distB="0" distL="114300" distR="114300" simplePos="0" relativeHeight="251659264" behindDoc="0" locked="0" layoutInCell="1" allowOverlap="1">
            <wp:simplePos x="0" y="0"/>
            <wp:positionH relativeFrom="column">
              <wp:posOffset>-1602105</wp:posOffset>
            </wp:positionH>
            <wp:positionV relativeFrom="paragraph">
              <wp:posOffset>-893445</wp:posOffset>
            </wp:positionV>
            <wp:extent cx="8256270" cy="3635375"/>
            <wp:effectExtent l="0" t="0" r="11430" b="9525"/>
            <wp:wrapNone/>
            <wp:docPr id="1"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模板-3"/>
                    <pic:cNvPicPr>
                      <a:picLocks noChangeAspect="1"/>
                    </pic:cNvPicPr>
                  </pic:nvPicPr>
                  <pic:blipFill>
                    <a:blip r:embed="rId5"/>
                    <a:stretch>
                      <a:fillRect/>
                    </a:stretch>
                  </pic:blipFill>
                  <pic:spPr>
                    <a:xfrm>
                      <a:off x="0" y="0"/>
                      <a:ext cx="8256270" cy="3635375"/>
                    </a:xfrm>
                    <a:prstGeom prst="rect">
                      <a:avLst/>
                    </a:prstGeom>
                    <a:noFill/>
                    <a:ln>
                      <a:noFill/>
                    </a:ln>
                  </pic:spPr>
                </pic:pic>
              </a:graphicData>
            </a:graphic>
          </wp:anchor>
        </w:drawing>
      </w:r>
    </w:p>
    <w:p w14:paraId="0D22AFFF">
      <w:pPr>
        <w:rPr>
          <w:rFonts w:eastAsia="黑体"/>
          <w:color w:val="auto"/>
          <w:sz w:val="32"/>
          <w:szCs w:val="32"/>
          <w:highlight w:val="none"/>
        </w:rPr>
      </w:pPr>
    </w:p>
    <w:p w14:paraId="3EC7EF45">
      <w:pPr>
        <w:rPr>
          <w:rFonts w:eastAsia="黑体"/>
          <w:color w:val="auto"/>
          <w:sz w:val="32"/>
          <w:szCs w:val="32"/>
          <w:highlight w:val="none"/>
        </w:rPr>
      </w:pPr>
    </w:p>
    <w:p w14:paraId="16C4A2C7">
      <w:pPr>
        <w:spacing w:line="480" w:lineRule="auto"/>
        <w:jc w:val="center"/>
        <w:rPr>
          <w:rFonts w:hint="eastAsia" w:hAnsi="宋体"/>
          <w:b/>
          <w:color w:val="auto"/>
          <w:sz w:val="48"/>
          <w:szCs w:val="52"/>
          <w:highlight w:val="none"/>
        </w:rPr>
      </w:pPr>
    </w:p>
    <w:p w14:paraId="18DB2059">
      <w:pPr>
        <w:spacing w:line="480" w:lineRule="auto"/>
        <w:jc w:val="center"/>
        <w:rPr>
          <w:rFonts w:hint="eastAsia" w:hAnsi="宋体"/>
          <w:b/>
          <w:color w:val="auto"/>
          <w:sz w:val="48"/>
          <w:szCs w:val="52"/>
          <w:highlight w:val="none"/>
        </w:rPr>
      </w:pPr>
    </w:p>
    <w:p w14:paraId="4179B1CD">
      <w:pPr>
        <w:pStyle w:val="17"/>
        <w:jc w:val="center"/>
        <w:rPr>
          <w:rFonts w:hint="eastAsia" w:hAnsi="宋体"/>
          <w:b/>
          <w:color w:val="auto"/>
          <w:sz w:val="48"/>
          <w:szCs w:val="52"/>
          <w:highlight w:val="none"/>
        </w:rPr>
      </w:pPr>
    </w:p>
    <w:p w14:paraId="33E9FA74">
      <w:pPr>
        <w:pStyle w:val="17"/>
        <w:jc w:val="center"/>
        <w:rPr>
          <w:rFonts w:hint="eastAsia" w:hAnsi="宋体"/>
          <w:b/>
          <w:color w:val="auto"/>
          <w:sz w:val="48"/>
          <w:szCs w:val="52"/>
          <w:highlight w:val="none"/>
        </w:rPr>
      </w:pPr>
    </w:p>
    <w:p w14:paraId="26936873">
      <w:pPr>
        <w:pStyle w:val="17"/>
        <w:jc w:val="center"/>
        <w:rPr>
          <w:rFonts w:hint="eastAsia" w:hAnsi="宋体"/>
          <w:b/>
          <w:color w:val="auto"/>
          <w:sz w:val="48"/>
          <w:szCs w:val="52"/>
          <w:highlight w:val="none"/>
        </w:rPr>
      </w:pPr>
    </w:p>
    <w:p w14:paraId="10A715D9">
      <w:pPr>
        <w:spacing w:line="480" w:lineRule="auto"/>
        <w:jc w:val="center"/>
        <w:rPr>
          <w:rFonts w:hint="eastAsia" w:hAnsi="宋体"/>
          <w:b/>
          <w:color w:val="auto"/>
          <w:sz w:val="48"/>
          <w:szCs w:val="52"/>
          <w:highlight w:val="none"/>
        </w:rPr>
      </w:pPr>
    </w:p>
    <w:p w14:paraId="50607E6F">
      <w:pPr>
        <w:spacing w:line="480" w:lineRule="auto"/>
        <w:jc w:val="center"/>
        <w:rPr>
          <w:rFonts w:hint="eastAsia" w:hAnsi="宋体"/>
          <w:b/>
          <w:color w:val="auto"/>
          <w:sz w:val="48"/>
          <w:szCs w:val="52"/>
          <w:highlight w:val="none"/>
        </w:rPr>
      </w:pPr>
    </w:p>
    <w:p w14:paraId="5349AF9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color w:val="auto"/>
          <w:sz w:val="44"/>
          <w:szCs w:val="48"/>
          <w:highlight w:val="none"/>
        </w:rPr>
      </w:pPr>
      <w:r>
        <w:rPr>
          <w:rFonts w:hint="eastAsia" w:ascii="方正小标宋_GBK" w:hAnsi="方正小标宋_GBK" w:eastAsia="方正小标宋_GBK" w:cs="方正小标宋_GBK"/>
          <w:b/>
          <w:color w:val="auto"/>
          <w:sz w:val="44"/>
          <w:szCs w:val="48"/>
          <w:highlight w:val="none"/>
          <w:lang w:eastAsia="zh-CN"/>
        </w:rPr>
        <w:t>输电运行支持系统与输电视频主站融合改造项目</w:t>
      </w:r>
      <w:r>
        <w:rPr>
          <w:rFonts w:hint="eastAsia" w:ascii="方正小标宋_GBK" w:hAnsi="方正小标宋_GBK" w:eastAsia="方正小标宋_GBK" w:cs="方正小标宋_GBK"/>
          <w:b/>
          <w:color w:val="auto"/>
          <w:sz w:val="44"/>
          <w:szCs w:val="48"/>
          <w:highlight w:val="none"/>
        </w:rPr>
        <w:t>技术规范书</w:t>
      </w:r>
    </w:p>
    <w:p w14:paraId="374D3265">
      <w:pPr>
        <w:spacing w:line="480" w:lineRule="auto"/>
        <w:jc w:val="center"/>
        <w:rPr>
          <w:rFonts w:hint="eastAsia"/>
          <w:b/>
          <w:color w:val="auto"/>
          <w:sz w:val="48"/>
          <w:szCs w:val="52"/>
          <w:highlight w:val="none"/>
        </w:rPr>
      </w:pPr>
    </w:p>
    <w:p w14:paraId="295ED32C">
      <w:pPr>
        <w:spacing w:line="480" w:lineRule="auto"/>
        <w:jc w:val="center"/>
        <w:rPr>
          <w:rFonts w:hint="eastAsia"/>
          <w:b/>
          <w:color w:val="auto"/>
          <w:sz w:val="48"/>
          <w:szCs w:val="52"/>
          <w:highlight w:val="none"/>
        </w:rPr>
      </w:pPr>
    </w:p>
    <w:p w14:paraId="18031F2A">
      <w:pPr>
        <w:spacing w:line="480" w:lineRule="auto"/>
        <w:jc w:val="center"/>
        <w:rPr>
          <w:rFonts w:hint="eastAsia"/>
          <w:b/>
          <w:color w:val="auto"/>
          <w:sz w:val="48"/>
          <w:szCs w:val="52"/>
          <w:highlight w:val="none"/>
        </w:rPr>
      </w:pPr>
    </w:p>
    <w:p w14:paraId="585C4FFE">
      <w:pPr>
        <w:spacing w:line="480" w:lineRule="auto"/>
        <w:jc w:val="center"/>
        <w:rPr>
          <w:b/>
          <w:color w:val="auto"/>
          <w:sz w:val="48"/>
          <w:szCs w:val="52"/>
          <w:highlight w:val="none"/>
        </w:rPr>
      </w:pPr>
    </w:p>
    <w:p w14:paraId="66A7BD69">
      <w:pPr>
        <w:spacing w:line="480" w:lineRule="auto"/>
        <w:jc w:val="center"/>
        <w:rPr>
          <w:b/>
          <w:color w:val="auto"/>
          <w:sz w:val="48"/>
          <w:szCs w:val="52"/>
          <w:highlight w:val="none"/>
        </w:rPr>
      </w:pPr>
    </w:p>
    <w:p w14:paraId="77A88F01">
      <w:pPr>
        <w:spacing w:line="480" w:lineRule="auto"/>
        <w:jc w:val="center"/>
        <w:rPr>
          <w:b/>
          <w:color w:val="auto"/>
          <w:sz w:val="48"/>
          <w:szCs w:val="52"/>
          <w:highlight w:val="none"/>
        </w:rPr>
      </w:pPr>
    </w:p>
    <w:p w14:paraId="28CFA319">
      <w:pPr>
        <w:spacing w:line="480" w:lineRule="auto"/>
        <w:jc w:val="center"/>
        <w:rPr>
          <w:rFonts w:hint="eastAsia"/>
          <w:b/>
          <w:color w:val="auto"/>
          <w:sz w:val="48"/>
          <w:szCs w:val="52"/>
          <w:highlight w:val="none"/>
        </w:rPr>
      </w:pPr>
    </w:p>
    <w:p w14:paraId="4315362A">
      <w:pPr>
        <w:spacing w:line="480" w:lineRule="auto"/>
        <w:jc w:val="center"/>
        <w:rPr>
          <w:rFonts w:hint="eastAsia"/>
          <w:b/>
          <w:color w:val="auto"/>
          <w:sz w:val="48"/>
          <w:szCs w:val="52"/>
          <w:highlight w:val="none"/>
        </w:rPr>
      </w:pPr>
      <w:bookmarkStart w:id="0" w:name="_Toc205870354"/>
      <w:bookmarkStart w:id="1" w:name="_Toc243992938"/>
      <w:bookmarkStart w:id="2" w:name="_Toc240776279"/>
      <w:bookmarkStart w:id="3" w:name="_Toc229991543"/>
    </w:p>
    <w:p w14:paraId="760BD2EE">
      <w:pPr>
        <w:spacing w:line="360" w:lineRule="auto"/>
        <w:jc w:val="center"/>
        <w:rPr>
          <w:rFonts w:hint="default" w:ascii="方正小标宋_GBK" w:hAnsi="方正小标宋_GBK" w:eastAsia="方正小标宋_GBK" w:cs="方正小标宋_GBK"/>
          <w:b/>
          <w:color w:val="auto"/>
          <w:sz w:val="32"/>
          <w:highlight w:val="none"/>
          <w:lang w:val="en-US" w:eastAsia="zh-CN"/>
        </w:rPr>
      </w:pPr>
      <w:r>
        <w:rPr>
          <w:rFonts w:hint="eastAsia" w:ascii="方正小标宋_GBK" w:hAnsi="方正小标宋_GBK" w:eastAsia="方正小标宋_GBK" w:cs="方正小标宋_GBK"/>
          <w:b/>
          <w:color w:val="auto"/>
          <w:sz w:val="32"/>
          <w:highlight w:val="none"/>
          <w:lang w:val="en-US" w:eastAsia="zh-CN"/>
        </w:rPr>
        <w:t>海南电网有限责任公司</w:t>
      </w:r>
    </w:p>
    <w:p w14:paraId="0F9E070F">
      <w:pPr>
        <w:spacing w:line="360" w:lineRule="auto"/>
        <w:jc w:val="center"/>
        <w:rPr>
          <w:rFonts w:hint="eastAsia" w:ascii="方正小标宋_GBK" w:hAnsi="方正小标宋_GBK" w:eastAsia="方正小标宋_GBK" w:cs="方正小标宋_GBK"/>
          <w:b/>
          <w:color w:val="auto"/>
          <w:sz w:val="32"/>
          <w:highlight w:val="none"/>
        </w:rPr>
      </w:pPr>
      <w:r>
        <w:rPr>
          <w:rFonts w:hint="eastAsia" w:ascii="方正小标宋_GBK" w:hAnsi="方正小标宋_GBK" w:eastAsia="方正小标宋_GBK" w:cs="方正小标宋_GBK"/>
          <w:b/>
          <w:color w:val="auto"/>
          <w:sz w:val="32"/>
          <w:highlight w:val="none"/>
        </w:rPr>
        <w:t>202</w:t>
      </w:r>
      <w:r>
        <w:rPr>
          <w:rFonts w:hint="eastAsia" w:ascii="方正小标宋_GBK" w:hAnsi="方正小标宋_GBK" w:eastAsia="方正小标宋_GBK" w:cs="方正小标宋_GBK"/>
          <w:b/>
          <w:color w:val="auto"/>
          <w:sz w:val="32"/>
          <w:highlight w:val="none"/>
          <w:lang w:val="en-US" w:eastAsia="zh-CN"/>
        </w:rPr>
        <w:t>6</w:t>
      </w:r>
      <w:r>
        <w:rPr>
          <w:rFonts w:hint="eastAsia" w:ascii="方正小标宋_GBK" w:hAnsi="方正小标宋_GBK" w:eastAsia="方正小标宋_GBK" w:cs="方正小标宋_GBK"/>
          <w:b/>
          <w:color w:val="auto"/>
          <w:sz w:val="32"/>
          <w:highlight w:val="none"/>
        </w:rPr>
        <w:t>年</w:t>
      </w:r>
      <w:r>
        <w:rPr>
          <w:rFonts w:hint="eastAsia" w:ascii="方正小标宋_GBK" w:hAnsi="方正小标宋_GBK" w:eastAsia="方正小标宋_GBK" w:cs="方正小标宋_GBK"/>
          <w:b/>
          <w:color w:val="auto"/>
          <w:sz w:val="32"/>
          <w:highlight w:val="none"/>
          <w:lang w:val="en-US" w:eastAsia="zh-CN"/>
        </w:rPr>
        <w:t>5</w:t>
      </w:r>
      <w:r>
        <w:rPr>
          <w:rFonts w:hint="eastAsia" w:ascii="方正小标宋_GBK" w:hAnsi="方正小标宋_GBK" w:eastAsia="方正小标宋_GBK" w:cs="方正小标宋_GBK"/>
          <w:b/>
          <w:color w:val="auto"/>
          <w:sz w:val="32"/>
          <w:highlight w:val="none"/>
        </w:rPr>
        <w:t>月</w:t>
      </w:r>
    </w:p>
    <w:p w14:paraId="2DE4C3D5">
      <w:pPr>
        <w:spacing w:before="0" w:beforeLines="0" w:after="0" w:afterLines="0" w:line="240" w:lineRule="auto"/>
        <w:ind w:left="0" w:leftChars="0" w:right="0" w:rightChars="0" w:firstLine="0" w:firstLineChars="0"/>
        <w:jc w:val="center"/>
      </w:pPr>
      <w:r>
        <w:rPr>
          <w:rFonts w:ascii="宋体" w:hAnsi="宋体" w:eastAsia="宋体"/>
          <w:sz w:val="21"/>
        </w:rPr>
        <w:t>目录</w:t>
      </w:r>
    </w:p>
    <w:p w14:paraId="3D93FB87">
      <w:pPr>
        <w:pStyle w:val="24"/>
        <w:tabs>
          <w:tab w:val="right" w:leader="dot" w:pos="8312"/>
        </w:tabs>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TOC \o "1-2" \h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_Toc29849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1. </w:t>
      </w:r>
      <w:r>
        <w:rPr>
          <w:rFonts w:hint="eastAsia" w:ascii="宋体" w:hAnsi="宋体" w:eastAsia="宋体" w:cs="宋体"/>
          <w:szCs w:val="24"/>
          <w:highlight w:val="none"/>
          <w:lang w:val="en-US" w:eastAsia="zh-CN"/>
        </w:rPr>
        <w:t>总则</w:t>
      </w:r>
      <w:r>
        <w:tab/>
      </w:r>
      <w:r>
        <w:fldChar w:fldCharType="begin"/>
      </w:r>
      <w:r>
        <w:instrText xml:space="preserve"> PAGEREF _Toc29849 \h </w:instrText>
      </w:r>
      <w:r>
        <w:fldChar w:fldCharType="separate"/>
      </w:r>
      <w:r>
        <w:t>3</w:t>
      </w:r>
      <w:r>
        <w:fldChar w:fldCharType="end"/>
      </w:r>
      <w:r>
        <w:rPr>
          <w:rFonts w:hint="eastAsia" w:ascii="宋体" w:hAnsi="宋体" w:eastAsia="宋体" w:cs="宋体"/>
          <w:color w:val="auto"/>
          <w:szCs w:val="24"/>
          <w:highlight w:val="none"/>
        </w:rPr>
        <w:fldChar w:fldCharType="end"/>
      </w:r>
    </w:p>
    <w:p w14:paraId="2142D62E">
      <w:pPr>
        <w:pStyle w:val="24"/>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_Toc19516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2. </w:t>
      </w:r>
      <w:r>
        <w:rPr>
          <w:rFonts w:hint="eastAsia" w:ascii="宋体" w:hAnsi="宋体" w:eastAsia="宋体" w:cs="宋体"/>
          <w:szCs w:val="24"/>
          <w:highlight w:val="none"/>
          <w:lang w:val="en-US" w:eastAsia="zh-CN"/>
        </w:rPr>
        <w:t>项目要求</w:t>
      </w:r>
      <w:r>
        <w:tab/>
      </w:r>
      <w:r>
        <w:fldChar w:fldCharType="begin"/>
      </w:r>
      <w:r>
        <w:instrText xml:space="preserve"> PAGEREF _Toc19516 \h </w:instrText>
      </w:r>
      <w:r>
        <w:fldChar w:fldCharType="separate"/>
      </w:r>
      <w:r>
        <w:t>3</w:t>
      </w:r>
      <w:r>
        <w:fldChar w:fldCharType="end"/>
      </w:r>
      <w:r>
        <w:rPr>
          <w:rFonts w:hint="eastAsia" w:ascii="宋体" w:hAnsi="宋体" w:eastAsia="宋体" w:cs="宋体"/>
          <w:color w:val="auto"/>
          <w:szCs w:val="24"/>
          <w:highlight w:val="none"/>
        </w:rPr>
        <w:fldChar w:fldCharType="end"/>
      </w:r>
    </w:p>
    <w:p w14:paraId="54656292">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_Toc14826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2.1. </w:t>
      </w:r>
      <w:r>
        <w:rPr>
          <w:rFonts w:hint="eastAsia" w:ascii="宋体" w:hAnsi="宋体" w:eastAsia="宋体" w:cs="宋体"/>
          <w:szCs w:val="24"/>
          <w:highlight w:val="none"/>
          <w:lang w:val="en-US" w:eastAsia="zh-CN"/>
        </w:rPr>
        <w:t>项目概况</w:t>
      </w:r>
      <w:r>
        <w:tab/>
      </w:r>
      <w:r>
        <w:fldChar w:fldCharType="begin"/>
      </w:r>
      <w:r>
        <w:instrText xml:space="preserve"> PAGEREF _Toc14826 \h </w:instrText>
      </w:r>
      <w:r>
        <w:fldChar w:fldCharType="separate"/>
      </w:r>
      <w:r>
        <w:t>3</w:t>
      </w:r>
      <w:r>
        <w:fldChar w:fldCharType="end"/>
      </w:r>
      <w:r>
        <w:rPr>
          <w:rFonts w:hint="eastAsia" w:ascii="宋体" w:hAnsi="宋体" w:eastAsia="宋体" w:cs="宋体"/>
          <w:color w:val="auto"/>
          <w:szCs w:val="24"/>
          <w:highlight w:val="none"/>
        </w:rPr>
        <w:fldChar w:fldCharType="end"/>
      </w:r>
    </w:p>
    <w:p w14:paraId="5EEE86A8">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_Toc18061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2.2. </w:t>
      </w:r>
      <w:r>
        <w:rPr>
          <w:rFonts w:hint="eastAsia" w:ascii="宋体" w:hAnsi="宋体" w:eastAsia="宋体" w:cs="宋体"/>
          <w:szCs w:val="24"/>
          <w:highlight w:val="none"/>
          <w:lang w:val="en-US" w:eastAsia="zh-CN"/>
        </w:rPr>
        <w:t>项目目标</w:t>
      </w:r>
      <w:r>
        <w:tab/>
      </w:r>
      <w:r>
        <w:fldChar w:fldCharType="begin"/>
      </w:r>
      <w:r>
        <w:instrText xml:space="preserve"> PAGEREF _Toc18061 \h </w:instrText>
      </w:r>
      <w:r>
        <w:fldChar w:fldCharType="separate"/>
      </w:r>
      <w:r>
        <w:t>4</w:t>
      </w:r>
      <w:r>
        <w:fldChar w:fldCharType="end"/>
      </w:r>
      <w:r>
        <w:rPr>
          <w:rFonts w:hint="eastAsia" w:ascii="宋体" w:hAnsi="宋体" w:eastAsia="宋体" w:cs="宋体"/>
          <w:color w:val="auto"/>
          <w:szCs w:val="24"/>
          <w:highlight w:val="none"/>
        </w:rPr>
        <w:fldChar w:fldCharType="end"/>
      </w:r>
    </w:p>
    <w:p w14:paraId="7ACAA645">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_Toc17740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2.3. </w:t>
      </w:r>
      <w:r>
        <w:rPr>
          <w:rFonts w:hint="eastAsia" w:ascii="宋体" w:hAnsi="宋体" w:eastAsia="宋体" w:cs="宋体"/>
          <w:szCs w:val="24"/>
          <w:highlight w:val="none"/>
          <w:lang w:val="en-US" w:eastAsia="zh-CN"/>
        </w:rPr>
        <w:t>项目范围</w:t>
      </w:r>
      <w:r>
        <w:tab/>
      </w:r>
      <w:r>
        <w:fldChar w:fldCharType="begin"/>
      </w:r>
      <w:r>
        <w:instrText xml:space="preserve"> PAGEREF _Toc17740 \h </w:instrText>
      </w:r>
      <w:r>
        <w:fldChar w:fldCharType="separate"/>
      </w:r>
      <w:r>
        <w:t>4</w:t>
      </w:r>
      <w:r>
        <w:fldChar w:fldCharType="end"/>
      </w:r>
      <w:r>
        <w:rPr>
          <w:rFonts w:hint="eastAsia" w:ascii="宋体" w:hAnsi="宋体" w:eastAsia="宋体" w:cs="宋体"/>
          <w:color w:val="auto"/>
          <w:szCs w:val="24"/>
          <w:highlight w:val="none"/>
        </w:rPr>
        <w:fldChar w:fldCharType="end"/>
      </w:r>
    </w:p>
    <w:p w14:paraId="4A9A58DE">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_Toc10762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2.4. </w:t>
      </w:r>
      <w:r>
        <w:rPr>
          <w:rFonts w:hint="eastAsia" w:ascii="宋体" w:hAnsi="宋体" w:eastAsia="宋体" w:cs="宋体"/>
          <w:szCs w:val="24"/>
          <w:highlight w:val="none"/>
          <w:lang w:val="en-US" w:eastAsia="zh-CN"/>
        </w:rPr>
        <w:t>项目关键节点</w:t>
      </w:r>
      <w:r>
        <w:tab/>
      </w:r>
      <w:r>
        <w:fldChar w:fldCharType="begin"/>
      </w:r>
      <w:r>
        <w:instrText xml:space="preserve"> PAGEREF _Toc10762 \h </w:instrText>
      </w:r>
      <w:r>
        <w:fldChar w:fldCharType="separate"/>
      </w:r>
      <w:r>
        <w:t>4</w:t>
      </w:r>
      <w:r>
        <w:fldChar w:fldCharType="end"/>
      </w:r>
      <w:r>
        <w:rPr>
          <w:rFonts w:hint="eastAsia" w:ascii="宋体" w:hAnsi="宋体" w:eastAsia="宋体" w:cs="宋体"/>
          <w:color w:val="auto"/>
          <w:szCs w:val="24"/>
          <w:highlight w:val="none"/>
        </w:rPr>
        <w:fldChar w:fldCharType="end"/>
      </w:r>
    </w:p>
    <w:p w14:paraId="743E1725">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_Toc11279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2.5. </w:t>
      </w:r>
      <w:r>
        <w:rPr>
          <w:rFonts w:hint="eastAsia" w:ascii="宋体" w:hAnsi="宋体" w:eastAsia="宋体" w:cs="宋体"/>
          <w:szCs w:val="24"/>
          <w:highlight w:val="none"/>
          <w:lang w:val="en-US" w:eastAsia="zh-CN"/>
        </w:rPr>
        <w:t>项目交付物</w:t>
      </w:r>
      <w:r>
        <w:tab/>
      </w:r>
      <w:r>
        <w:fldChar w:fldCharType="begin"/>
      </w:r>
      <w:r>
        <w:instrText xml:space="preserve"> PAGEREF _Toc11279 \h </w:instrText>
      </w:r>
      <w:r>
        <w:fldChar w:fldCharType="separate"/>
      </w:r>
      <w:r>
        <w:t>5</w:t>
      </w:r>
      <w:r>
        <w:fldChar w:fldCharType="end"/>
      </w:r>
      <w:r>
        <w:rPr>
          <w:rFonts w:hint="eastAsia" w:ascii="宋体" w:hAnsi="宋体" w:eastAsia="宋体" w:cs="宋体"/>
          <w:color w:val="auto"/>
          <w:szCs w:val="24"/>
          <w:highlight w:val="none"/>
        </w:rPr>
        <w:fldChar w:fldCharType="end"/>
      </w:r>
    </w:p>
    <w:p w14:paraId="74D87F77">
      <w:pPr>
        <w:pStyle w:val="24"/>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_Toc23475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 </w:t>
      </w:r>
      <w:r>
        <w:rPr>
          <w:rFonts w:hint="eastAsia" w:ascii="宋体" w:hAnsi="宋体" w:eastAsia="宋体" w:cs="宋体"/>
          <w:szCs w:val="24"/>
          <w:highlight w:val="none"/>
          <w:lang w:val="en-US" w:eastAsia="zh-CN"/>
        </w:rPr>
        <w:t>技术要求</w:t>
      </w:r>
      <w:r>
        <w:tab/>
      </w:r>
      <w:r>
        <w:fldChar w:fldCharType="begin"/>
      </w:r>
      <w:r>
        <w:instrText xml:space="preserve"> PAGEREF _Toc23475 \h </w:instrText>
      </w:r>
      <w:r>
        <w:fldChar w:fldCharType="separate"/>
      </w:r>
      <w:r>
        <w:t>5</w:t>
      </w:r>
      <w:r>
        <w:fldChar w:fldCharType="end"/>
      </w:r>
      <w:r>
        <w:rPr>
          <w:rFonts w:hint="eastAsia" w:ascii="宋体" w:hAnsi="宋体" w:eastAsia="宋体" w:cs="宋体"/>
          <w:color w:val="auto"/>
          <w:szCs w:val="24"/>
          <w:highlight w:val="none"/>
        </w:rPr>
        <w:fldChar w:fldCharType="end"/>
      </w:r>
    </w:p>
    <w:p w14:paraId="182EE9C6">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_Toc6237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3.1. </w:t>
      </w:r>
      <w:r>
        <w:rPr>
          <w:rFonts w:hint="eastAsia" w:ascii="宋体" w:hAnsi="宋体" w:eastAsia="宋体" w:cs="宋体"/>
          <w:szCs w:val="24"/>
          <w:highlight w:val="none"/>
          <w:lang w:val="en-US" w:eastAsia="zh-CN"/>
        </w:rPr>
        <w:t>基本要求</w:t>
      </w:r>
      <w:r>
        <w:tab/>
      </w:r>
      <w:r>
        <w:fldChar w:fldCharType="begin"/>
      </w:r>
      <w:r>
        <w:instrText xml:space="preserve"> PAGEREF _Toc6237 \h </w:instrText>
      </w:r>
      <w:r>
        <w:fldChar w:fldCharType="separate"/>
      </w:r>
      <w:r>
        <w:t>5</w:t>
      </w:r>
      <w:r>
        <w:fldChar w:fldCharType="end"/>
      </w:r>
      <w:r>
        <w:rPr>
          <w:rFonts w:hint="eastAsia" w:ascii="宋体" w:hAnsi="宋体" w:eastAsia="宋体" w:cs="宋体"/>
          <w:color w:val="auto"/>
          <w:szCs w:val="24"/>
          <w:highlight w:val="none"/>
        </w:rPr>
        <w:fldChar w:fldCharType="end"/>
      </w:r>
    </w:p>
    <w:p w14:paraId="6F0F5D84">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_Toc31119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3.2. </w:t>
      </w:r>
      <w:r>
        <w:rPr>
          <w:rFonts w:hint="eastAsia" w:ascii="宋体" w:hAnsi="宋体" w:eastAsia="宋体" w:cs="宋体"/>
          <w:szCs w:val="24"/>
          <w:highlight w:val="none"/>
          <w:lang w:val="en-US" w:eastAsia="zh-CN"/>
        </w:rPr>
        <w:t>技术路线</w:t>
      </w:r>
      <w:r>
        <w:tab/>
      </w:r>
      <w:r>
        <w:fldChar w:fldCharType="begin"/>
      </w:r>
      <w:r>
        <w:instrText xml:space="preserve"> PAGEREF _Toc31119 \h </w:instrText>
      </w:r>
      <w:r>
        <w:fldChar w:fldCharType="separate"/>
      </w:r>
      <w:r>
        <w:t>7</w:t>
      </w:r>
      <w:r>
        <w:fldChar w:fldCharType="end"/>
      </w:r>
      <w:r>
        <w:rPr>
          <w:rFonts w:hint="eastAsia" w:ascii="宋体" w:hAnsi="宋体" w:eastAsia="宋体" w:cs="宋体"/>
          <w:color w:val="auto"/>
          <w:szCs w:val="24"/>
          <w:highlight w:val="none"/>
        </w:rPr>
        <w:fldChar w:fldCharType="end"/>
      </w:r>
    </w:p>
    <w:p w14:paraId="24B298D9">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_Toc25244 </w:instrText>
      </w:r>
      <w:r>
        <w:rPr>
          <w:rFonts w:hint="eastAsia" w:ascii="宋体" w:hAnsi="宋体" w:eastAsia="宋体" w:cs="宋体"/>
          <w:szCs w:val="24"/>
          <w:highlight w:val="none"/>
        </w:rPr>
        <w:fldChar w:fldCharType="separate"/>
      </w:r>
      <w:r>
        <w:rPr>
          <w:rFonts w:hint="default" w:ascii="仿宋_GB2312" w:hAnsi="仿宋_GB2312" w:eastAsia="仿宋_GB2312" w:cs="仿宋_GB2312"/>
        </w:rPr>
        <w:t xml:space="preserve">3.3. </w:t>
      </w:r>
      <w:r>
        <w:rPr>
          <w:rFonts w:hint="eastAsia" w:ascii="宋体" w:hAnsi="宋体" w:eastAsia="宋体" w:cs="宋体"/>
          <w:szCs w:val="24"/>
          <w:highlight w:val="none"/>
          <w:lang w:val="en-US" w:eastAsia="zh-CN"/>
        </w:rPr>
        <w:t>部署方式</w:t>
      </w:r>
      <w:r>
        <w:tab/>
      </w:r>
      <w:r>
        <w:fldChar w:fldCharType="begin"/>
      </w:r>
      <w:r>
        <w:instrText xml:space="preserve"> PAGEREF _Toc25244 \h </w:instrText>
      </w:r>
      <w:r>
        <w:fldChar w:fldCharType="separate"/>
      </w:r>
      <w:r>
        <w:t>7</w:t>
      </w:r>
      <w:r>
        <w:fldChar w:fldCharType="end"/>
      </w:r>
      <w:r>
        <w:rPr>
          <w:rFonts w:hint="eastAsia" w:ascii="宋体" w:hAnsi="宋体" w:eastAsia="宋体" w:cs="宋体"/>
          <w:color w:val="auto"/>
          <w:szCs w:val="24"/>
          <w:highlight w:val="none"/>
        </w:rPr>
        <w:fldChar w:fldCharType="end"/>
      </w:r>
    </w:p>
    <w:p w14:paraId="09816A36">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_Toc19194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3.4. </w:t>
      </w:r>
      <w:r>
        <w:rPr>
          <w:rFonts w:hint="eastAsia" w:ascii="宋体" w:hAnsi="宋体" w:eastAsia="宋体" w:cs="宋体"/>
          <w:szCs w:val="24"/>
          <w:highlight w:val="none"/>
          <w:lang w:val="en-US" w:eastAsia="zh-CN"/>
        </w:rPr>
        <w:t>系统数据集成</w:t>
      </w:r>
      <w:r>
        <w:tab/>
      </w:r>
      <w:r>
        <w:fldChar w:fldCharType="begin"/>
      </w:r>
      <w:r>
        <w:instrText xml:space="preserve"> PAGEREF _Toc19194 \h </w:instrText>
      </w:r>
      <w:r>
        <w:fldChar w:fldCharType="separate"/>
      </w:r>
      <w:r>
        <w:t>8</w:t>
      </w:r>
      <w:r>
        <w:fldChar w:fldCharType="end"/>
      </w:r>
      <w:r>
        <w:rPr>
          <w:rFonts w:hint="eastAsia" w:ascii="宋体" w:hAnsi="宋体" w:eastAsia="宋体" w:cs="宋体"/>
          <w:color w:val="auto"/>
          <w:szCs w:val="24"/>
          <w:highlight w:val="none"/>
        </w:rPr>
        <w:fldChar w:fldCharType="end"/>
      </w:r>
    </w:p>
    <w:p w14:paraId="57744321">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_Toc2815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3.5. </w:t>
      </w:r>
      <w:r>
        <w:rPr>
          <w:rFonts w:hint="eastAsia" w:ascii="宋体" w:hAnsi="宋体" w:cs="宋体"/>
          <w:szCs w:val="24"/>
          <w:highlight w:val="none"/>
          <w:lang w:val="en-US" w:eastAsia="zh-CN"/>
        </w:rPr>
        <w:t>适应性改造内容</w:t>
      </w:r>
      <w:r>
        <w:tab/>
      </w:r>
      <w:r>
        <w:fldChar w:fldCharType="begin"/>
      </w:r>
      <w:r>
        <w:instrText xml:space="preserve"> PAGEREF _Toc2815 \h </w:instrText>
      </w:r>
      <w:r>
        <w:fldChar w:fldCharType="separate"/>
      </w:r>
      <w:r>
        <w:t>8</w:t>
      </w:r>
      <w:r>
        <w:fldChar w:fldCharType="end"/>
      </w:r>
      <w:r>
        <w:rPr>
          <w:rFonts w:hint="eastAsia" w:ascii="宋体" w:hAnsi="宋体" w:eastAsia="宋体" w:cs="宋体"/>
          <w:color w:val="auto"/>
          <w:szCs w:val="24"/>
          <w:highlight w:val="none"/>
        </w:rPr>
        <w:fldChar w:fldCharType="end"/>
      </w:r>
    </w:p>
    <w:p w14:paraId="37CE0D3F">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_Toc29823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3.5.1. </w:t>
      </w:r>
      <w:r>
        <w:rPr>
          <w:rFonts w:hint="eastAsia" w:ascii="宋体" w:hAnsi="宋体" w:eastAsia="宋体" w:cs="宋体"/>
          <w:szCs w:val="24"/>
          <w:highlight w:val="none"/>
          <w:lang w:val="en-US" w:eastAsia="zh-CN"/>
        </w:rPr>
        <w:t>设备管理</w:t>
      </w:r>
      <w:r>
        <w:tab/>
      </w:r>
      <w:r>
        <w:fldChar w:fldCharType="begin"/>
      </w:r>
      <w:r>
        <w:instrText xml:space="preserve"> PAGEREF _Toc29823 \h </w:instrText>
      </w:r>
      <w:r>
        <w:fldChar w:fldCharType="separate"/>
      </w:r>
      <w:r>
        <w:t>8</w:t>
      </w:r>
      <w:r>
        <w:fldChar w:fldCharType="end"/>
      </w:r>
      <w:r>
        <w:rPr>
          <w:rFonts w:hint="eastAsia" w:ascii="宋体" w:hAnsi="宋体" w:eastAsia="宋体" w:cs="宋体"/>
          <w:color w:val="auto"/>
          <w:szCs w:val="24"/>
          <w:highlight w:val="none"/>
        </w:rPr>
        <w:fldChar w:fldCharType="end"/>
      </w:r>
    </w:p>
    <w:p w14:paraId="3CA0B278">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_Toc15493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3.5.2. </w:t>
      </w:r>
      <w:r>
        <w:rPr>
          <w:rFonts w:hint="default" w:ascii="宋体" w:hAnsi="宋体" w:eastAsia="宋体" w:cs="宋体"/>
          <w:szCs w:val="24"/>
          <w:highlight w:val="none"/>
          <w:lang w:val="en-US" w:eastAsia="zh-CN"/>
        </w:rPr>
        <w:t>运行监测</w:t>
      </w:r>
      <w:r>
        <w:tab/>
      </w:r>
      <w:r>
        <w:fldChar w:fldCharType="begin"/>
      </w:r>
      <w:r>
        <w:instrText xml:space="preserve"> PAGEREF _Toc15493 \h </w:instrText>
      </w:r>
      <w:r>
        <w:fldChar w:fldCharType="separate"/>
      </w:r>
      <w:r>
        <w:t>9</w:t>
      </w:r>
      <w:r>
        <w:fldChar w:fldCharType="end"/>
      </w:r>
      <w:r>
        <w:rPr>
          <w:rFonts w:hint="eastAsia" w:ascii="宋体" w:hAnsi="宋体" w:eastAsia="宋体" w:cs="宋体"/>
          <w:color w:val="auto"/>
          <w:szCs w:val="24"/>
          <w:highlight w:val="none"/>
        </w:rPr>
        <w:fldChar w:fldCharType="end"/>
      </w:r>
    </w:p>
    <w:p w14:paraId="696C70A0">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_Toc4948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3.5.3. </w:t>
      </w:r>
      <w:r>
        <w:rPr>
          <w:rFonts w:hint="eastAsia" w:ascii="宋体" w:hAnsi="宋体" w:eastAsia="宋体" w:cs="宋体"/>
          <w:szCs w:val="24"/>
          <w:highlight w:val="none"/>
          <w:lang w:val="en-US" w:eastAsia="zh-CN"/>
        </w:rPr>
        <w:t>智能运维</w:t>
      </w:r>
      <w:r>
        <w:tab/>
      </w:r>
      <w:r>
        <w:fldChar w:fldCharType="begin"/>
      </w:r>
      <w:r>
        <w:instrText xml:space="preserve"> PAGEREF _Toc4948 \h </w:instrText>
      </w:r>
      <w:r>
        <w:fldChar w:fldCharType="separate"/>
      </w:r>
      <w:r>
        <w:t>12</w:t>
      </w:r>
      <w:r>
        <w:fldChar w:fldCharType="end"/>
      </w:r>
      <w:r>
        <w:rPr>
          <w:rFonts w:hint="eastAsia" w:ascii="宋体" w:hAnsi="宋体" w:eastAsia="宋体" w:cs="宋体"/>
          <w:color w:val="auto"/>
          <w:szCs w:val="24"/>
          <w:highlight w:val="none"/>
        </w:rPr>
        <w:fldChar w:fldCharType="end"/>
      </w:r>
    </w:p>
    <w:p w14:paraId="5064566C">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_Toc3310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3.5.4. </w:t>
      </w:r>
      <w:r>
        <w:rPr>
          <w:rFonts w:hint="eastAsia" w:ascii="宋体" w:hAnsi="宋体" w:eastAsia="宋体" w:cs="宋体"/>
          <w:szCs w:val="24"/>
          <w:highlight w:val="none"/>
          <w:lang w:val="en-US" w:eastAsia="zh-CN"/>
        </w:rPr>
        <w:t>运行评价</w:t>
      </w:r>
      <w:r>
        <w:tab/>
      </w:r>
      <w:r>
        <w:fldChar w:fldCharType="begin"/>
      </w:r>
      <w:r>
        <w:instrText xml:space="preserve"> PAGEREF _Toc3310 \h </w:instrText>
      </w:r>
      <w:r>
        <w:fldChar w:fldCharType="separate"/>
      </w:r>
      <w:r>
        <w:t>15</w:t>
      </w:r>
      <w:r>
        <w:fldChar w:fldCharType="end"/>
      </w:r>
      <w:r>
        <w:rPr>
          <w:rFonts w:hint="eastAsia" w:ascii="宋体" w:hAnsi="宋体" w:eastAsia="宋体" w:cs="宋体"/>
          <w:color w:val="auto"/>
          <w:szCs w:val="24"/>
          <w:highlight w:val="none"/>
        </w:rPr>
        <w:fldChar w:fldCharType="end"/>
      </w:r>
    </w:p>
    <w:p w14:paraId="7473DF39">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_Toc17914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3.5.5. </w:t>
      </w:r>
      <w:r>
        <w:rPr>
          <w:rFonts w:hint="eastAsia" w:ascii="宋体" w:hAnsi="宋体" w:eastAsia="宋体" w:cs="宋体"/>
          <w:szCs w:val="24"/>
          <w:highlight w:val="none"/>
          <w:lang w:val="en-US" w:eastAsia="zh-CN"/>
        </w:rPr>
        <w:t>台账同步</w:t>
      </w:r>
      <w:r>
        <w:tab/>
      </w:r>
      <w:r>
        <w:fldChar w:fldCharType="begin"/>
      </w:r>
      <w:r>
        <w:instrText xml:space="preserve"> PAGEREF _Toc17914 \h </w:instrText>
      </w:r>
      <w:r>
        <w:fldChar w:fldCharType="separate"/>
      </w:r>
      <w:r>
        <w:t>15</w:t>
      </w:r>
      <w:r>
        <w:fldChar w:fldCharType="end"/>
      </w:r>
      <w:r>
        <w:rPr>
          <w:rFonts w:hint="eastAsia" w:ascii="宋体" w:hAnsi="宋体" w:eastAsia="宋体" w:cs="宋体"/>
          <w:color w:val="auto"/>
          <w:szCs w:val="24"/>
          <w:highlight w:val="none"/>
        </w:rPr>
        <w:fldChar w:fldCharType="end"/>
      </w:r>
    </w:p>
    <w:p w14:paraId="3E197900">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_Toc2424 </w:instrText>
      </w:r>
      <w:r>
        <w:rPr>
          <w:rFonts w:hint="eastAsia" w:ascii="宋体" w:hAnsi="宋体" w:eastAsia="宋体" w:cs="宋体"/>
          <w:szCs w:val="24"/>
          <w:highlight w:val="none"/>
        </w:rPr>
        <w:fldChar w:fldCharType="separate"/>
      </w:r>
      <w:r>
        <w:rPr>
          <w:rFonts w:hint="default" w:ascii="宋体" w:hAnsi="宋体" w:eastAsia="宋体" w:cs="宋体"/>
          <w:kern w:val="2"/>
          <w:szCs w:val="24"/>
          <w:lang w:val="en-US" w:eastAsia="zh-CN" w:bidi="ar-SA"/>
        </w:rPr>
        <w:t xml:space="preserve">3.5.6. </w:t>
      </w:r>
      <w:r>
        <w:rPr>
          <w:rFonts w:hint="eastAsia" w:ascii="宋体" w:hAnsi="宋体" w:cs="宋体"/>
          <w:kern w:val="2"/>
          <w:szCs w:val="24"/>
          <w:highlight w:val="none"/>
          <w:lang w:val="en-US" w:eastAsia="zh-CN" w:bidi="ar-SA"/>
        </w:rPr>
        <w:t>视频测距</w:t>
      </w:r>
      <w:r>
        <w:tab/>
      </w:r>
      <w:r>
        <w:fldChar w:fldCharType="begin"/>
      </w:r>
      <w:r>
        <w:instrText xml:space="preserve"> PAGEREF _Toc2424 \h </w:instrText>
      </w:r>
      <w:r>
        <w:fldChar w:fldCharType="separate"/>
      </w:r>
      <w:r>
        <w:t>15</w:t>
      </w:r>
      <w:r>
        <w:fldChar w:fldCharType="end"/>
      </w:r>
      <w:r>
        <w:rPr>
          <w:rFonts w:hint="eastAsia" w:ascii="宋体" w:hAnsi="宋体" w:eastAsia="宋体" w:cs="宋体"/>
          <w:color w:val="auto"/>
          <w:szCs w:val="24"/>
          <w:highlight w:val="none"/>
        </w:rPr>
        <w:fldChar w:fldCharType="end"/>
      </w:r>
    </w:p>
    <w:p w14:paraId="1C4EF5A0">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_Toc4746 </w:instrText>
      </w:r>
      <w:r>
        <w:rPr>
          <w:rFonts w:hint="eastAsia" w:ascii="宋体" w:hAnsi="宋体" w:eastAsia="宋体" w:cs="宋体"/>
          <w:szCs w:val="24"/>
          <w:highlight w:val="none"/>
        </w:rPr>
        <w:fldChar w:fldCharType="separate"/>
      </w:r>
      <w:r>
        <w:rPr>
          <w:rFonts w:hint="default" w:ascii="宋体" w:hAnsi="宋体" w:eastAsia="宋体" w:cs="宋体"/>
          <w:kern w:val="2"/>
          <w:szCs w:val="24"/>
          <w:lang w:val="en-US" w:eastAsia="zh-CN" w:bidi="ar-SA"/>
        </w:rPr>
        <w:t xml:space="preserve">3.5.7. </w:t>
      </w:r>
      <w:r>
        <w:rPr>
          <w:rFonts w:hint="eastAsia" w:ascii="宋体" w:hAnsi="宋体" w:cs="宋体"/>
          <w:kern w:val="2"/>
          <w:szCs w:val="24"/>
          <w:highlight w:val="none"/>
          <w:lang w:val="en-US" w:eastAsia="zh-CN" w:bidi="ar-SA"/>
        </w:rPr>
        <w:t>跳闸分析升级</w:t>
      </w:r>
      <w:r>
        <w:tab/>
      </w:r>
      <w:r>
        <w:fldChar w:fldCharType="begin"/>
      </w:r>
      <w:r>
        <w:instrText xml:space="preserve"> PAGEREF _Toc4746 \h </w:instrText>
      </w:r>
      <w:r>
        <w:fldChar w:fldCharType="separate"/>
      </w:r>
      <w:r>
        <w:t>16</w:t>
      </w:r>
      <w:r>
        <w:fldChar w:fldCharType="end"/>
      </w:r>
      <w:r>
        <w:rPr>
          <w:rFonts w:hint="eastAsia" w:ascii="宋体" w:hAnsi="宋体" w:eastAsia="宋体" w:cs="宋体"/>
          <w:color w:val="auto"/>
          <w:szCs w:val="24"/>
          <w:highlight w:val="none"/>
        </w:rPr>
        <w:fldChar w:fldCharType="end"/>
      </w:r>
    </w:p>
    <w:p w14:paraId="14A0E442">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_Toc24159 </w:instrText>
      </w:r>
      <w:r>
        <w:rPr>
          <w:rFonts w:hint="eastAsia" w:ascii="宋体" w:hAnsi="宋体" w:eastAsia="宋体" w:cs="宋体"/>
          <w:szCs w:val="24"/>
          <w:highlight w:val="none"/>
        </w:rPr>
        <w:fldChar w:fldCharType="separate"/>
      </w:r>
      <w:r>
        <w:rPr>
          <w:rFonts w:hint="default" w:ascii="宋体" w:hAnsi="宋体" w:eastAsia="宋体" w:cs="宋体"/>
          <w:kern w:val="2"/>
          <w:szCs w:val="24"/>
          <w:lang w:val="en-US" w:eastAsia="zh-CN" w:bidi="ar-SA"/>
        </w:rPr>
        <w:t xml:space="preserve">3.5.8. </w:t>
      </w:r>
      <w:r>
        <w:rPr>
          <w:rFonts w:hint="eastAsia" w:ascii="宋体" w:hAnsi="宋体" w:cs="宋体"/>
          <w:kern w:val="2"/>
          <w:szCs w:val="24"/>
          <w:highlight w:val="none"/>
          <w:lang w:val="en-US" w:eastAsia="zh-CN" w:bidi="ar-SA"/>
        </w:rPr>
        <w:t>告警评分</w:t>
      </w:r>
      <w:r>
        <w:tab/>
      </w:r>
      <w:r>
        <w:fldChar w:fldCharType="begin"/>
      </w:r>
      <w:r>
        <w:instrText xml:space="preserve"> PAGEREF _Toc24159 \h </w:instrText>
      </w:r>
      <w:r>
        <w:fldChar w:fldCharType="separate"/>
      </w:r>
      <w:r>
        <w:t>16</w:t>
      </w:r>
      <w:r>
        <w:fldChar w:fldCharType="end"/>
      </w:r>
      <w:r>
        <w:rPr>
          <w:rFonts w:hint="eastAsia" w:ascii="宋体" w:hAnsi="宋体" w:eastAsia="宋体" w:cs="宋体"/>
          <w:color w:val="auto"/>
          <w:szCs w:val="24"/>
          <w:highlight w:val="none"/>
        </w:rPr>
        <w:fldChar w:fldCharType="end"/>
      </w:r>
    </w:p>
    <w:p w14:paraId="474C8562">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_Toc24756 </w:instrText>
      </w:r>
      <w:r>
        <w:rPr>
          <w:rFonts w:hint="eastAsia" w:ascii="宋体" w:hAnsi="宋体" w:eastAsia="宋体" w:cs="宋体"/>
          <w:szCs w:val="24"/>
          <w:highlight w:val="none"/>
        </w:rPr>
        <w:fldChar w:fldCharType="separate"/>
      </w:r>
      <w:r>
        <w:rPr>
          <w:rFonts w:hint="default" w:ascii="宋体" w:hAnsi="宋体" w:eastAsia="宋体" w:cs="宋体"/>
          <w:kern w:val="2"/>
          <w:szCs w:val="24"/>
          <w:lang w:val="en-US" w:eastAsia="zh-CN" w:bidi="ar-SA"/>
        </w:rPr>
        <w:t xml:space="preserve">3.5.9. </w:t>
      </w:r>
      <w:r>
        <w:rPr>
          <w:rFonts w:hint="eastAsia" w:ascii="宋体" w:hAnsi="宋体" w:cs="宋体"/>
          <w:kern w:val="2"/>
          <w:szCs w:val="24"/>
          <w:highlight w:val="none"/>
          <w:lang w:val="en-US" w:eastAsia="zh-CN" w:bidi="ar-SA"/>
        </w:rPr>
        <w:t>九防巡视</w:t>
      </w:r>
      <w:r>
        <w:tab/>
      </w:r>
      <w:r>
        <w:fldChar w:fldCharType="begin"/>
      </w:r>
      <w:r>
        <w:instrText xml:space="preserve"> PAGEREF _Toc24756 \h </w:instrText>
      </w:r>
      <w:r>
        <w:fldChar w:fldCharType="separate"/>
      </w:r>
      <w:r>
        <w:t>16</w:t>
      </w:r>
      <w:r>
        <w:fldChar w:fldCharType="end"/>
      </w:r>
      <w:r>
        <w:rPr>
          <w:rFonts w:hint="eastAsia" w:ascii="宋体" w:hAnsi="宋体" w:eastAsia="宋体" w:cs="宋体"/>
          <w:color w:val="auto"/>
          <w:szCs w:val="24"/>
          <w:highlight w:val="none"/>
        </w:rPr>
        <w:fldChar w:fldCharType="end"/>
      </w:r>
    </w:p>
    <w:p w14:paraId="5BC8FAA2">
      <w:pPr>
        <w:pStyle w:val="24"/>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_Toc5998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4. </w:t>
      </w:r>
      <w:r>
        <w:rPr>
          <w:rFonts w:hint="eastAsia" w:ascii="宋体" w:hAnsi="宋体" w:eastAsia="宋体" w:cs="宋体"/>
          <w:szCs w:val="24"/>
          <w:highlight w:val="none"/>
          <w:lang w:val="en-US" w:eastAsia="zh-CN"/>
        </w:rPr>
        <w:t>数据集成</w:t>
      </w:r>
      <w:r>
        <w:tab/>
      </w:r>
      <w:r>
        <w:fldChar w:fldCharType="begin"/>
      </w:r>
      <w:r>
        <w:instrText xml:space="preserve"> PAGEREF _Toc5998 \h </w:instrText>
      </w:r>
      <w:r>
        <w:fldChar w:fldCharType="separate"/>
      </w:r>
      <w:r>
        <w:t>16</w:t>
      </w:r>
      <w:r>
        <w:fldChar w:fldCharType="end"/>
      </w:r>
      <w:r>
        <w:rPr>
          <w:rFonts w:hint="eastAsia" w:ascii="宋体" w:hAnsi="宋体" w:eastAsia="宋体" w:cs="宋体"/>
          <w:color w:val="auto"/>
          <w:szCs w:val="24"/>
          <w:highlight w:val="none"/>
        </w:rPr>
        <w:fldChar w:fldCharType="end"/>
      </w:r>
    </w:p>
    <w:p w14:paraId="7975A642">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_Toc11393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4.1. </w:t>
      </w:r>
      <w:r>
        <w:rPr>
          <w:rFonts w:hint="eastAsia" w:ascii="宋体" w:hAnsi="宋体" w:eastAsia="宋体" w:cs="宋体"/>
          <w:szCs w:val="24"/>
          <w:highlight w:val="none"/>
          <w:lang w:val="en-US" w:eastAsia="zh-CN"/>
        </w:rPr>
        <w:t>集成</w:t>
      </w:r>
      <w:r>
        <w:rPr>
          <w:rFonts w:hint="eastAsia" w:ascii="宋体" w:hAnsi="宋体" w:cs="宋体"/>
          <w:szCs w:val="24"/>
          <w:highlight w:val="none"/>
          <w:lang w:val="en-US" w:eastAsia="zh-CN"/>
        </w:rPr>
        <w:t>南网智瞰</w:t>
      </w:r>
      <w:r>
        <w:tab/>
      </w:r>
      <w:r>
        <w:fldChar w:fldCharType="begin"/>
      </w:r>
      <w:r>
        <w:instrText xml:space="preserve"> PAGEREF _Toc11393 \h </w:instrText>
      </w:r>
      <w:r>
        <w:fldChar w:fldCharType="separate"/>
      </w:r>
      <w:r>
        <w:t>16</w:t>
      </w:r>
      <w:r>
        <w:fldChar w:fldCharType="end"/>
      </w:r>
      <w:r>
        <w:rPr>
          <w:rFonts w:hint="eastAsia" w:ascii="宋体" w:hAnsi="宋体" w:eastAsia="宋体" w:cs="宋体"/>
          <w:color w:val="auto"/>
          <w:szCs w:val="24"/>
          <w:highlight w:val="none"/>
        </w:rPr>
        <w:fldChar w:fldCharType="end"/>
      </w:r>
    </w:p>
    <w:p w14:paraId="59140465">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_Toc10802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4.2. </w:t>
      </w:r>
      <w:r>
        <w:rPr>
          <w:rFonts w:hint="eastAsia" w:ascii="宋体" w:hAnsi="宋体" w:eastAsia="宋体" w:cs="宋体"/>
          <w:szCs w:val="24"/>
          <w:highlight w:val="none"/>
          <w:lang w:val="en-US" w:eastAsia="zh-CN"/>
        </w:rPr>
        <w:t>集成物联网平台</w:t>
      </w:r>
      <w:r>
        <w:tab/>
      </w:r>
      <w:r>
        <w:fldChar w:fldCharType="begin"/>
      </w:r>
      <w:r>
        <w:instrText xml:space="preserve"> PAGEREF _Toc10802 \h </w:instrText>
      </w:r>
      <w:r>
        <w:fldChar w:fldCharType="separate"/>
      </w:r>
      <w:r>
        <w:t>16</w:t>
      </w:r>
      <w:r>
        <w:fldChar w:fldCharType="end"/>
      </w:r>
      <w:r>
        <w:rPr>
          <w:rFonts w:hint="eastAsia" w:ascii="宋体" w:hAnsi="宋体" w:eastAsia="宋体" w:cs="宋体"/>
          <w:color w:val="auto"/>
          <w:szCs w:val="24"/>
          <w:highlight w:val="none"/>
        </w:rPr>
        <w:fldChar w:fldCharType="end"/>
      </w:r>
    </w:p>
    <w:p w14:paraId="3B93C52F">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_Toc83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4.3. </w:t>
      </w:r>
      <w:r>
        <w:rPr>
          <w:rFonts w:hint="eastAsia" w:ascii="宋体" w:hAnsi="宋体" w:eastAsia="宋体" w:cs="宋体"/>
          <w:szCs w:val="24"/>
          <w:highlight w:val="none"/>
          <w:lang w:val="en-US" w:eastAsia="zh-CN"/>
        </w:rPr>
        <w:t>集成设备中心</w:t>
      </w:r>
      <w:r>
        <w:tab/>
      </w:r>
      <w:r>
        <w:fldChar w:fldCharType="begin"/>
      </w:r>
      <w:r>
        <w:instrText xml:space="preserve"> PAGEREF _Toc83 \h </w:instrText>
      </w:r>
      <w:r>
        <w:fldChar w:fldCharType="separate"/>
      </w:r>
      <w:r>
        <w:t>16</w:t>
      </w:r>
      <w:r>
        <w:fldChar w:fldCharType="end"/>
      </w:r>
      <w:r>
        <w:rPr>
          <w:rFonts w:hint="eastAsia" w:ascii="宋体" w:hAnsi="宋体" w:eastAsia="宋体" w:cs="宋体"/>
          <w:color w:val="auto"/>
          <w:szCs w:val="24"/>
          <w:highlight w:val="none"/>
        </w:rPr>
        <w:fldChar w:fldCharType="end"/>
      </w:r>
    </w:p>
    <w:p w14:paraId="11D34CF2">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_Toc16001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4.4. </w:t>
      </w:r>
      <w:r>
        <w:rPr>
          <w:rFonts w:hint="eastAsia" w:ascii="宋体" w:hAnsi="宋体" w:eastAsia="宋体" w:cs="宋体"/>
          <w:szCs w:val="24"/>
          <w:highlight w:val="none"/>
          <w:lang w:val="en-US" w:eastAsia="zh-CN"/>
        </w:rPr>
        <w:t>集成视频主站</w:t>
      </w:r>
      <w:r>
        <w:tab/>
      </w:r>
      <w:r>
        <w:fldChar w:fldCharType="begin"/>
      </w:r>
      <w:r>
        <w:instrText xml:space="preserve"> PAGEREF _Toc16001 \h </w:instrText>
      </w:r>
      <w:r>
        <w:fldChar w:fldCharType="separate"/>
      </w:r>
      <w:r>
        <w:t>16</w:t>
      </w:r>
      <w:r>
        <w:fldChar w:fldCharType="end"/>
      </w:r>
      <w:r>
        <w:rPr>
          <w:rFonts w:hint="eastAsia" w:ascii="宋体" w:hAnsi="宋体" w:eastAsia="宋体" w:cs="宋体"/>
          <w:color w:val="auto"/>
          <w:szCs w:val="24"/>
          <w:highlight w:val="none"/>
        </w:rPr>
        <w:fldChar w:fldCharType="end"/>
      </w:r>
    </w:p>
    <w:p w14:paraId="70327F43">
      <w:pPr>
        <w:pStyle w:val="24"/>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_Toc30651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5. </w:t>
      </w:r>
      <w:r>
        <w:rPr>
          <w:rFonts w:hint="eastAsia" w:ascii="宋体" w:hAnsi="宋体" w:eastAsia="宋体" w:cs="宋体"/>
          <w:szCs w:val="24"/>
          <w:highlight w:val="none"/>
          <w:lang w:val="en-US" w:eastAsia="zh-CN"/>
        </w:rPr>
        <w:t>运维支撑及系统培训</w:t>
      </w:r>
      <w:r>
        <w:tab/>
      </w:r>
      <w:r>
        <w:fldChar w:fldCharType="begin"/>
      </w:r>
      <w:r>
        <w:instrText xml:space="preserve"> PAGEREF _Toc30651 \h </w:instrText>
      </w:r>
      <w:r>
        <w:fldChar w:fldCharType="separate"/>
      </w:r>
      <w:r>
        <w:t>17</w:t>
      </w:r>
      <w:r>
        <w:fldChar w:fldCharType="end"/>
      </w:r>
      <w:r>
        <w:rPr>
          <w:rFonts w:hint="eastAsia" w:ascii="宋体" w:hAnsi="宋体" w:eastAsia="宋体" w:cs="宋体"/>
          <w:color w:val="auto"/>
          <w:szCs w:val="24"/>
          <w:highlight w:val="none"/>
        </w:rPr>
        <w:fldChar w:fldCharType="end"/>
      </w:r>
    </w:p>
    <w:p w14:paraId="6630F275">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_Toc4207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5.1. </w:t>
      </w:r>
      <w:r>
        <w:rPr>
          <w:rFonts w:hint="eastAsia" w:ascii="宋体" w:hAnsi="宋体" w:eastAsia="宋体" w:cs="宋体"/>
          <w:szCs w:val="24"/>
          <w:highlight w:val="none"/>
          <w:lang w:val="en-US" w:eastAsia="zh-CN"/>
        </w:rPr>
        <w:t>运维支撑</w:t>
      </w:r>
      <w:r>
        <w:tab/>
      </w:r>
      <w:r>
        <w:fldChar w:fldCharType="begin"/>
      </w:r>
      <w:r>
        <w:instrText xml:space="preserve"> PAGEREF _Toc4207 \h </w:instrText>
      </w:r>
      <w:r>
        <w:fldChar w:fldCharType="separate"/>
      </w:r>
      <w:r>
        <w:t>17</w:t>
      </w:r>
      <w:r>
        <w:fldChar w:fldCharType="end"/>
      </w:r>
      <w:r>
        <w:rPr>
          <w:rFonts w:hint="eastAsia" w:ascii="宋体" w:hAnsi="宋体" w:eastAsia="宋体" w:cs="宋体"/>
          <w:color w:val="auto"/>
          <w:szCs w:val="24"/>
          <w:highlight w:val="none"/>
        </w:rPr>
        <w:fldChar w:fldCharType="end"/>
      </w:r>
    </w:p>
    <w:p w14:paraId="6D4AA49F">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_Toc23064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5.2. </w:t>
      </w:r>
      <w:r>
        <w:rPr>
          <w:rFonts w:hint="eastAsia" w:ascii="宋体" w:hAnsi="宋体" w:eastAsia="宋体" w:cs="宋体"/>
          <w:szCs w:val="24"/>
          <w:highlight w:val="none"/>
          <w:lang w:val="en-US" w:eastAsia="zh-CN"/>
        </w:rPr>
        <w:t>系统培训</w:t>
      </w:r>
      <w:r>
        <w:tab/>
      </w:r>
      <w:r>
        <w:fldChar w:fldCharType="begin"/>
      </w:r>
      <w:r>
        <w:instrText xml:space="preserve"> PAGEREF _Toc23064 \h </w:instrText>
      </w:r>
      <w:r>
        <w:fldChar w:fldCharType="separate"/>
      </w:r>
      <w:r>
        <w:t>17</w:t>
      </w:r>
      <w:r>
        <w:fldChar w:fldCharType="end"/>
      </w:r>
      <w:r>
        <w:rPr>
          <w:rFonts w:hint="eastAsia" w:ascii="宋体" w:hAnsi="宋体" w:eastAsia="宋体" w:cs="宋体"/>
          <w:color w:val="auto"/>
          <w:szCs w:val="24"/>
          <w:highlight w:val="none"/>
        </w:rPr>
        <w:fldChar w:fldCharType="end"/>
      </w:r>
    </w:p>
    <w:p w14:paraId="4D429D37">
      <w:pPr>
        <w:pStyle w:val="24"/>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_Toc24317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6. </w:t>
      </w:r>
      <w:r>
        <w:rPr>
          <w:rFonts w:hint="eastAsia" w:ascii="宋体" w:hAnsi="宋体" w:eastAsia="宋体" w:cs="宋体"/>
          <w:szCs w:val="24"/>
          <w:highlight w:val="none"/>
          <w:lang w:val="en-US" w:eastAsia="zh-CN"/>
        </w:rPr>
        <w:t>总体技术指标</w:t>
      </w:r>
      <w:r>
        <w:tab/>
      </w:r>
      <w:r>
        <w:fldChar w:fldCharType="begin"/>
      </w:r>
      <w:r>
        <w:instrText xml:space="preserve"> PAGEREF _Toc24317 \h </w:instrText>
      </w:r>
      <w:r>
        <w:fldChar w:fldCharType="separate"/>
      </w:r>
      <w:r>
        <w:t>17</w:t>
      </w:r>
      <w:r>
        <w:fldChar w:fldCharType="end"/>
      </w:r>
      <w:r>
        <w:rPr>
          <w:rFonts w:hint="eastAsia" w:ascii="宋体" w:hAnsi="宋体" w:eastAsia="宋体" w:cs="宋体"/>
          <w:color w:val="auto"/>
          <w:szCs w:val="24"/>
          <w:highlight w:val="none"/>
        </w:rPr>
        <w:fldChar w:fldCharType="end"/>
      </w:r>
    </w:p>
    <w:p w14:paraId="600C1ED2">
      <w:pPr>
        <w:pStyle w:val="24"/>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_Toc4896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7. </w:t>
      </w:r>
      <w:r>
        <w:rPr>
          <w:rFonts w:hint="eastAsia" w:ascii="宋体" w:hAnsi="宋体" w:eastAsia="宋体" w:cs="宋体"/>
          <w:szCs w:val="24"/>
          <w:highlight w:val="none"/>
          <w:lang w:val="en-US" w:eastAsia="zh-CN"/>
        </w:rPr>
        <w:t>项目实施要求</w:t>
      </w:r>
      <w:r>
        <w:tab/>
      </w:r>
      <w:r>
        <w:fldChar w:fldCharType="begin"/>
      </w:r>
      <w:r>
        <w:instrText xml:space="preserve"> PAGEREF _Toc4896 \h </w:instrText>
      </w:r>
      <w:r>
        <w:fldChar w:fldCharType="separate"/>
      </w:r>
      <w:r>
        <w:t>18</w:t>
      </w:r>
      <w:r>
        <w:fldChar w:fldCharType="end"/>
      </w:r>
      <w:r>
        <w:rPr>
          <w:rFonts w:hint="eastAsia" w:ascii="宋体" w:hAnsi="宋体" w:eastAsia="宋体" w:cs="宋体"/>
          <w:color w:val="auto"/>
          <w:szCs w:val="24"/>
          <w:highlight w:val="none"/>
        </w:rPr>
        <w:fldChar w:fldCharType="end"/>
      </w:r>
    </w:p>
    <w:p w14:paraId="443DB461">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_Toc13552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7.1. </w:t>
      </w:r>
      <w:r>
        <w:rPr>
          <w:rFonts w:hint="eastAsia" w:ascii="宋体" w:hAnsi="宋体" w:eastAsia="宋体" w:cs="宋体"/>
          <w:szCs w:val="24"/>
          <w:highlight w:val="none"/>
          <w:lang w:val="en-US" w:eastAsia="zh-CN"/>
        </w:rPr>
        <w:t>组织保证</w:t>
      </w:r>
      <w:r>
        <w:tab/>
      </w:r>
      <w:r>
        <w:fldChar w:fldCharType="begin"/>
      </w:r>
      <w:r>
        <w:instrText xml:space="preserve"> PAGEREF _Toc13552 \h </w:instrText>
      </w:r>
      <w:r>
        <w:fldChar w:fldCharType="separate"/>
      </w:r>
      <w:r>
        <w:t>18</w:t>
      </w:r>
      <w:r>
        <w:fldChar w:fldCharType="end"/>
      </w:r>
      <w:r>
        <w:rPr>
          <w:rFonts w:hint="eastAsia" w:ascii="宋体" w:hAnsi="宋体" w:eastAsia="宋体" w:cs="宋体"/>
          <w:color w:val="auto"/>
          <w:szCs w:val="24"/>
          <w:highlight w:val="none"/>
        </w:rPr>
        <w:fldChar w:fldCharType="end"/>
      </w:r>
    </w:p>
    <w:p w14:paraId="7EC48695">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_Toc16578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7.2. </w:t>
      </w:r>
      <w:r>
        <w:rPr>
          <w:rFonts w:hint="eastAsia" w:ascii="宋体" w:hAnsi="宋体" w:eastAsia="宋体" w:cs="宋体"/>
          <w:szCs w:val="24"/>
          <w:highlight w:val="none"/>
          <w:lang w:val="en-US" w:eastAsia="zh-CN"/>
        </w:rPr>
        <w:t>技术保障</w:t>
      </w:r>
      <w:r>
        <w:tab/>
      </w:r>
      <w:r>
        <w:fldChar w:fldCharType="begin"/>
      </w:r>
      <w:r>
        <w:instrText xml:space="preserve"> PAGEREF _Toc16578 \h </w:instrText>
      </w:r>
      <w:r>
        <w:fldChar w:fldCharType="separate"/>
      </w:r>
      <w:r>
        <w:t>18</w:t>
      </w:r>
      <w:r>
        <w:fldChar w:fldCharType="end"/>
      </w:r>
      <w:r>
        <w:rPr>
          <w:rFonts w:hint="eastAsia" w:ascii="宋体" w:hAnsi="宋体" w:eastAsia="宋体" w:cs="宋体"/>
          <w:color w:val="auto"/>
          <w:szCs w:val="24"/>
          <w:highlight w:val="none"/>
        </w:rPr>
        <w:fldChar w:fldCharType="end"/>
      </w:r>
    </w:p>
    <w:p w14:paraId="7921BCB5">
      <w:pPr>
        <w:pStyle w:val="24"/>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_Toc1465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8. </w:t>
      </w:r>
      <w:r>
        <w:rPr>
          <w:rFonts w:hint="eastAsia" w:ascii="宋体" w:hAnsi="宋体" w:eastAsia="宋体" w:cs="宋体"/>
          <w:szCs w:val="24"/>
          <w:highlight w:val="none"/>
          <w:lang w:val="en-US" w:eastAsia="zh-CN"/>
        </w:rPr>
        <w:t>其他</w:t>
      </w:r>
      <w:r>
        <w:tab/>
      </w:r>
      <w:r>
        <w:fldChar w:fldCharType="begin"/>
      </w:r>
      <w:r>
        <w:instrText xml:space="preserve"> PAGEREF _Toc1465 \h </w:instrText>
      </w:r>
      <w:r>
        <w:fldChar w:fldCharType="separate"/>
      </w:r>
      <w:r>
        <w:t>18</w:t>
      </w:r>
      <w:r>
        <w:fldChar w:fldCharType="end"/>
      </w:r>
      <w:r>
        <w:rPr>
          <w:rFonts w:hint="eastAsia" w:ascii="宋体" w:hAnsi="宋体" w:eastAsia="宋体" w:cs="宋体"/>
          <w:color w:val="auto"/>
          <w:szCs w:val="24"/>
          <w:highlight w:val="none"/>
        </w:rPr>
        <w:fldChar w:fldCharType="end"/>
      </w:r>
    </w:p>
    <w:p w14:paraId="558FC454">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_Toc2303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8.1. </w:t>
      </w:r>
      <w:r>
        <w:rPr>
          <w:rFonts w:hint="eastAsia" w:ascii="宋体" w:hAnsi="宋体" w:eastAsia="宋体" w:cs="宋体"/>
          <w:szCs w:val="24"/>
          <w:highlight w:val="none"/>
          <w:lang w:val="en-US" w:eastAsia="zh-CN"/>
        </w:rPr>
        <w:t>服务质量要求</w:t>
      </w:r>
      <w:r>
        <w:tab/>
      </w:r>
      <w:r>
        <w:fldChar w:fldCharType="begin"/>
      </w:r>
      <w:r>
        <w:instrText xml:space="preserve"> PAGEREF _Toc2303 \h </w:instrText>
      </w:r>
      <w:r>
        <w:fldChar w:fldCharType="separate"/>
      </w:r>
      <w:r>
        <w:t>18</w:t>
      </w:r>
      <w:r>
        <w:fldChar w:fldCharType="end"/>
      </w:r>
      <w:r>
        <w:rPr>
          <w:rFonts w:hint="eastAsia" w:ascii="宋体" w:hAnsi="宋体" w:eastAsia="宋体" w:cs="宋体"/>
          <w:color w:val="auto"/>
          <w:szCs w:val="24"/>
          <w:highlight w:val="none"/>
        </w:rPr>
        <w:fldChar w:fldCharType="end"/>
      </w:r>
    </w:p>
    <w:p w14:paraId="57EA9C0D">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_Toc9819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8.2. </w:t>
      </w:r>
      <w:r>
        <w:rPr>
          <w:rFonts w:hint="eastAsia" w:ascii="宋体" w:hAnsi="宋体" w:eastAsia="宋体" w:cs="宋体"/>
          <w:szCs w:val="24"/>
          <w:highlight w:val="none"/>
          <w:lang w:val="en-US" w:eastAsia="zh-CN"/>
        </w:rPr>
        <w:t>项目部署要求</w:t>
      </w:r>
      <w:r>
        <w:tab/>
      </w:r>
      <w:r>
        <w:fldChar w:fldCharType="begin"/>
      </w:r>
      <w:r>
        <w:instrText xml:space="preserve"> PAGEREF _Toc9819 \h </w:instrText>
      </w:r>
      <w:r>
        <w:fldChar w:fldCharType="separate"/>
      </w:r>
      <w:r>
        <w:t>19</w:t>
      </w:r>
      <w:r>
        <w:fldChar w:fldCharType="end"/>
      </w:r>
      <w:r>
        <w:rPr>
          <w:rFonts w:hint="eastAsia" w:ascii="宋体" w:hAnsi="宋体" w:eastAsia="宋体" w:cs="宋体"/>
          <w:color w:val="auto"/>
          <w:szCs w:val="24"/>
          <w:highlight w:val="none"/>
        </w:rPr>
        <w:fldChar w:fldCharType="end"/>
      </w:r>
    </w:p>
    <w:p w14:paraId="14C67571">
      <w:pPr>
        <w:pStyle w:val="25"/>
        <w:tabs>
          <w:tab w:val="right" w:leader="dot" w:pos="8312"/>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_Toc16303 </w:instrText>
      </w:r>
      <w:r>
        <w:rPr>
          <w:rFonts w:hint="eastAsia" w:ascii="宋体" w:hAnsi="宋体" w:eastAsia="宋体" w:cs="宋体"/>
          <w:szCs w:val="24"/>
          <w:highlight w:val="none"/>
        </w:rPr>
        <w:fldChar w:fldCharType="separate"/>
      </w:r>
      <w:r>
        <w:rPr>
          <w:rFonts w:hint="default" w:ascii="宋体" w:hAnsi="宋体" w:eastAsia="宋体" w:cs="宋体"/>
          <w:szCs w:val="24"/>
          <w:lang w:val="en-US" w:eastAsia="zh-CN"/>
        </w:rPr>
        <w:t xml:space="preserve">8.3. </w:t>
      </w:r>
      <w:r>
        <w:rPr>
          <w:rFonts w:hint="eastAsia" w:ascii="宋体" w:hAnsi="宋体" w:eastAsia="宋体" w:cs="宋体"/>
          <w:szCs w:val="24"/>
          <w:highlight w:val="none"/>
          <w:lang w:val="en-US" w:eastAsia="zh-CN"/>
        </w:rPr>
        <w:t>项目交付项</w:t>
      </w:r>
      <w:r>
        <w:tab/>
      </w:r>
      <w:r>
        <w:fldChar w:fldCharType="begin"/>
      </w:r>
      <w:r>
        <w:instrText xml:space="preserve"> PAGEREF _Toc16303 \h </w:instrText>
      </w:r>
      <w:r>
        <w:fldChar w:fldCharType="separate"/>
      </w:r>
      <w:r>
        <w:t>20</w:t>
      </w:r>
      <w:r>
        <w:fldChar w:fldCharType="end"/>
      </w:r>
      <w:r>
        <w:rPr>
          <w:rFonts w:hint="eastAsia" w:ascii="宋体" w:hAnsi="宋体" w:eastAsia="宋体" w:cs="宋体"/>
          <w:color w:val="auto"/>
          <w:szCs w:val="24"/>
          <w:highlight w:val="none"/>
        </w:rPr>
        <w:fldChar w:fldCharType="end"/>
      </w:r>
    </w:p>
    <w:p w14:paraId="0162E2AE">
      <w:pPr>
        <w:pStyle w:val="17"/>
        <w:rPr>
          <w:rFonts w:hint="eastAsia" w:ascii="方正小标宋_GBK" w:hAnsi="方正小标宋_GBK" w:eastAsia="方正小标宋_GBK" w:cs="方正小标宋_GBK"/>
          <w:b/>
          <w:color w:val="auto"/>
          <w:sz w:val="32"/>
          <w:highlight w:val="none"/>
        </w:rPr>
      </w:pPr>
      <w:r>
        <w:rPr>
          <w:rFonts w:hint="eastAsia" w:ascii="宋体" w:hAnsi="宋体" w:eastAsia="宋体" w:cs="宋体"/>
          <w:color w:val="auto"/>
          <w:szCs w:val="24"/>
          <w:highlight w:val="none"/>
        </w:rPr>
        <w:fldChar w:fldCharType="end"/>
      </w:r>
    </w:p>
    <w:p w14:paraId="398A88B6">
      <w:pPr>
        <w:pStyle w:val="18"/>
        <w:outlineLvl w:val="9"/>
        <w:rPr>
          <w:rFonts w:hint="eastAsia" w:ascii="方正小标宋_GBK" w:hAnsi="方正小标宋_GBK" w:eastAsia="方正小标宋_GBK" w:cs="方正小标宋_GBK"/>
          <w:b/>
          <w:color w:val="auto"/>
          <w:sz w:val="32"/>
          <w:highlight w:val="none"/>
        </w:rPr>
      </w:pPr>
    </w:p>
    <w:p w14:paraId="7791078E">
      <w:pPr>
        <w:sectPr>
          <w:pgSz w:w="11906" w:h="16838"/>
          <w:pgMar w:top="1440" w:right="1797" w:bottom="1440" w:left="1797" w:header="851" w:footer="992" w:gutter="0"/>
          <w:pgNumType w:start="1"/>
          <w:cols w:space="720" w:num="1"/>
          <w:docGrid w:type="lines" w:linePitch="312" w:charSpace="0"/>
        </w:sectPr>
      </w:pPr>
    </w:p>
    <w:bookmarkEnd w:id="0"/>
    <w:p w14:paraId="46CA1BC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outlineLvl w:val="0"/>
        <w:rPr>
          <w:rFonts w:hint="eastAsia" w:ascii="宋体" w:hAnsi="宋体" w:eastAsia="宋体" w:cs="宋体"/>
          <w:b/>
          <w:color w:val="auto"/>
          <w:sz w:val="24"/>
          <w:szCs w:val="24"/>
          <w:highlight w:val="none"/>
          <w:lang w:val="en-US" w:eastAsia="zh-CN"/>
        </w:rPr>
      </w:pPr>
      <w:bookmarkStart w:id="4" w:name="_Toc29849"/>
      <w:r>
        <w:rPr>
          <w:rFonts w:hint="eastAsia" w:ascii="宋体" w:hAnsi="宋体" w:eastAsia="宋体" w:cs="宋体"/>
          <w:b/>
          <w:color w:val="auto"/>
          <w:sz w:val="24"/>
          <w:szCs w:val="24"/>
          <w:highlight w:val="none"/>
          <w:lang w:val="en-US" w:eastAsia="zh-CN"/>
        </w:rPr>
        <w:t>总则</w:t>
      </w:r>
      <w:bookmarkEnd w:id="1"/>
      <w:bookmarkEnd w:id="2"/>
      <w:bookmarkEnd w:id="3"/>
      <w:bookmarkEnd w:id="4"/>
    </w:p>
    <w:p w14:paraId="27A850C4">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bookmarkStart w:id="5" w:name="_Toc240776280"/>
      <w:bookmarkStart w:id="6" w:name="_Toc229991544"/>
      <w:bookmarkStart w:id="7" w:name="_Toc243992939"/>
      <w:bookmarkStart w:id="8" w:name="_Toc206233541"/>
      <w:r>
        <w:rPr>
          <w:rFonts w:hint="eastAsia" w:ascii="宋体" w:hAnsi="宋体" w:eastAsia="宋体" w:cs="宋体"/>
          <w:b w:val="0"/>
          <w:bCs/>
          <w:color w:val="auto"/>
          <w:sz w:val="24"/>
          <w:szCs w:val="24"/>
          <w:highlight w:val="none"/>
          <w:lang w:val="en-US" w:eastAsia="zh-CN"/>
        </w:rPr>
        <w:t>本文件适用于海南电网有限责任公司</w:t>
      </w:r>
      <w:r>
        <w:rPr>
          <w:rFonts w:hint="eastAsia" w:ascii="宋体" w:hAnsi="宋体" w:cs="宋体"/>
          <w:b w:val="0"/>
          <w:bCs/>
          <w:color w:val="auto"/>
          <w:sz w:val="24"/>
          <w:szCs w:val="24"/>
          <w:highlight w:val="none"/>
          <w:lang w:val="en-US" w:eastAsia="zh-CN"/>
        </w:rPr>
        <w:t>输电运检分公司</w:t>
      </w:r>
      <w:r>
        <w:rPr>
          <w:rFonts w:hint="eastAsia" w:ascii="宋体" w:hAnsi="宋体" w:eastAsia="宋体" w:cs="宋体"/>
          <w:b w:val="0"/>
          <w:bCs/>
          <w:color w:val="auto"/>
          <w:sz w:val="24"/>
          <w:szCs w:val="24"/>
          <w:highlight w:val="none"/>
          <w:lang w:val="en-US" w:eastAsia="zh-CN"/>
        </w:rPr>
        <w:t>（以下简称招标方）</w:t>
      </w:r>
      <w:r>
        <w:rPr>
          <w:rFonts w:hint="eastAsia" w:ascii="宋体" w:hAnsi="宋体" w:cs="宋体"/>
          <w:b w:val="0"/>
          <w:bCs/>
          <w:color w:val="auto"/>
          <w:sz w:val="24"/>
          <w:szCs w:val="24"/>
          <w:highlight w:val="none"/>
          <w:lang w:val="en-US" w:eastAsia="zh-CN"/>
        </w:rPr>
        <w:t>输电运行支持系统与输电视频主站融合改造项目</w:t>
      </w:r>
      <w:r>
        <w:rPr>
          <w:rFonts w:hint="eastAsia" w:ascii="宋体" w:hAnsi="宋体" w:eastAsia="宋体" w:cs="宋体"/>
          <w:b w:val="0"/>
          <w:bCs/>
          <w:color w:val="auto"/>
          <w:sz w:val="24"/>
          <w:szCs w:val="24"/>
          <w:highlight w:val="none"/>
          <w:lang w:val="en-US" w:eastAsia="zh-CN"/>
        </w:rPr>
        <w:t>采购，本文件的最终解释权归招标方。</w:t>
      </w:r>
    </w:p>
    <w:p w14:paraId="5EC89924">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所有招标方认为是本文件范围所要求而被遗漏的项目，都被认为是包含在本次招标范围内，投标方的投标被视为包含此遗漏项目的投标。投标方可以就招标方认为的遗漏项目提请招标方注意，并详细说明理由。招标方将就此进行澄清。</w:t>
      </w:r>
    </w:p>
    <w:p w14:paraId="027388D5">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投标方应保证所提供的所有资料真实、完整、准确无误，否则招标方将有权取消投标方的投标资格，由此产生的一切后果由投标方承担。</w:t>
      </w:r>
    </w:p>
    <w:p w14:paraId="1F037D58">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方应按照本技术规范书的要求提供详细、完整的技术方案。所提供的技术方案应完全满足或高于本技术规范书的要求，对于本技术规范书中的条款，投标方如不能满足要求，或有其它替代方案，或有其它修改建议，应在技术方案以及技术差异表中指出其必须进行修改的理由以及与原要求的差别。对于本技术规范书未规定的有关系统性能和功能，投标方应提出补充要求或建议，并陈述其理由。</w:t>
      </w:r>
    </w:p>
    <w:p w14:paraId="51AA83B4">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招标方在任何时候保留和拥有对本技术规范书的解释权。招标方有权在签定合同前，根据需要修改和补充本技术规范书，修改补充后的最终技术规范书将作为合同的附件。</w:t>
      </w:r>
    </w:p>
    <w:p w14:paraId="0D8436B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outlineLvl w:val="0"/>
        <w:rPr>
          <w:rFonts w:hint="eastAsia" w:ascii="宋体" w:hAnsi="宋体" w:eastAsia="宋体" w:cs="宋体"/>
          <w:b/>
          <w:color w:val="auto"/>
          <w:sz w:val="24"/>
          <w:szCs w:val="24"/>
          <w:highlight w:val="none"/>
          <w:lang w:val="en-US" w:eastAsia="zh-CN"/>
        </w:rPr>
      </w:pPr>
      <w:bookmarkStart w:id="9" w:name="_Toc19516"/>
      <w:r>
        <w:rPr>
          <w:rFonts w:hint="eastAsia" w:ascii="宋体" w:hAnsi="宋体" w:eastAsia="宋体" w:cs="宋体"/>
          <w:b/>
          <w:color w:val="auto"/>
          <w:sz w:val="24"/>
          <w:szCs w:val="24"/>
          <w:highlight w:val="none"/>
          <w:lang w:val="en-US" w:eastAsia="zh-CN"/>
        </w:rPr>
        <w:t>项目要求</w:t>
      </w:r>
      <w:bookmarkEnd w:id="9"/>
    </w:p>
    <w:bookmarkEnd w:id="5"/>
    <w:bookmarkEnd w:id="6"/>
    <w:bookmarkEnd w:id="7"/>
    <w:bookmarkEnd w:id="8"/>
    <w:p w14:paraId="4E345249">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10" w:name="_Toc14826"/>
      <w:r>
        <w:rPr>
          <w:rFonts w:hint="eastAsia" w:ascii="宋体" w:hAnsi="宋体" w:eastAsia="宋体" w:cs="宋体"/>
          <w:b/>
          <w:color w:val="auto"/>
          <w:sz w:val="24"/>
          <w:szCs w:val="24"/>
          <w:highlight w:val="none"/>
          <w:lang w:val="en-US" w:eastAsia="zh-CN"/>
        </w:rPr>
        <w:t>项目概况</w:t>
      </w:r>
      <w:bookmarkEnd w:id="10"/>
    </w:p>
    <w:p w14:paraId="29D9B2AE">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2022年以来，网公司陆续印发了《南方电网公司数字生产“十四五”行动计划》、《南方电网公司生产运行支持系统建设工作方案（2022年版）》等指导性文件，为加速推动数字生产战略落地，按照“价值导向、标准引领、事件驱动、云边协同、共建共享”的总体思路，围绕技术升级和数据赋能两个要素，建设统一架构的生产运行支持系统，并结合分子公司业务特点，构建边侧生产运行支持系统建设和应用生态。</w:t>
      </w:r>
    </w:p>
    <w:p w14:paraId="40957D0A">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通过“数字技术+业务优化”双轮驱动生产管理模式变革，进一步强化数据驱动，推动业务智能，实现“运行巡视远程化、检修试验精准化、分析决策智能化、风险管控透明化”，增强输、变、配专业的设备管控力和管理穿透力，支撑机器代人，实现提质增效，切实为一线基层减负。根据云边协同的统一技术架构要求，下一步要大力推进以设备运行管理为核心的实时、准实时业务应用，强化边侧数据的就近供给与就近消费，进一步将应用能力下沉至边侧，推动数据应用与设备管理责权相匹配。</w:t>
      </w:r>
    </w:p>
    <w:p w14:paraId="39332F7F">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11" w:name="_Toc18061"/>
      <w:r>
        <w:rPr>
          <w:rFonts w:hint="eastAsia" w:ascii="宋体" w:hAnsi="宋体" w:eastAsia="宋体" w:cs="宋体"/>
          <w:b/>
          <w:color w:val="auto"/>
          <w:sz w:val="24"/>
          <w:szCs w:val="24"/>
          <w:highlight w:val="none"/>
          <w:lang w:val="en-US" w:eastAsia="zh-CN"/>
        </w:rPr>
        <w:t>项目目标</w:t>
      </w:r>
      <w:bookmarkEnd w:id="11"/>
    </w:p>
    <w:p w14:paraId="503F3024">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本项目通过开展输电边侧本地化适应性改造实施技术服务，实现海南电网输电视频终端的统一管理和标准化接入，聚焦实时、准实时领域，就近融合全域物联网、设备中心等多源数据，面向作业层需要，开展设备台账管理、设备运行管理、设备远程运维、设备生命管理、设备信息同步功能的实施部署及本地化数据集成，强化数据分析应用能力，支撑业务管理提升。</w:t>
      </w:r>
    </w:p>
    <w:p w14:paraId="5082F074">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12" w:name="_Toc17740"/>
      <w:r>
        <w:rPr>
          <w:rFonts w:hint="eastAsia" w:ascii="宋体" w:hAnsi="宋体" w:eastAsia="宋体" w:cs="宋体"/>
          <w:b/>
          <w:color w:val="auto"/>
          <w:sz w:val="24"/>
          <w:szCs w:val="24"/>
          <w:highlight w:val="none"/>
          <w:lang w:val="en-US" w:eastAsia="zh-CN"/>
        </w:rPr>
        <w:t>项目范围</w:t>
      </w:r>
      <w:bookmarkEnd w:id="12"/>
    </w:p>
    <w:p w14:paraId="7361D722">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开展输电边侧本地化适应性改造</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具体建设内容如下：</w:t>
      </w:r>
    </w:p>
    <w:p w14:paraId="39CDAEA9">
      <w:pPr>
        <w:keepLines w:val="0"/>
        <w:pageBreakBefore w:val="0"/>
        <w:widowControl w:val="0"/>
        <w:numPr>
          <w:ilvl w:val="0"/>
          <w:numId w:val="3"/>
        </w:numPr>
        <w:kinsoku/>
        <w:wordWrap/>
        <w:overflowPunct/>
        <w:topLinePunct w:val="0"/>
        <w:autoSpaceDE/>
        <w:autoSpaceDN/>
        <w:bidi w:val="0"/>
        <w:adjustRightIn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功能改造方面，开展包括设备管理、运行监测、智能运维、运行评价、台账同步等功能的适应性改造。</w:t>
      </w:r>
    </w:p>
    <w:p w14:paraId="4FB8E2A9">
      <w:pPr>
        <w:keepLines w:val="0"/>
        <w:pageBreakBefore w:val="0"/>
        <w:widowControl w:val="0"/>
        <w:numPr>
          <w:ilvl w:val="0"/>
          <w:numId w:val="3"/>
        </w:numPr>
        <w:kinsoku/>
        <w:wordWrap/>
        <w:overflowPunct/>
        <w:topLinePunct w:val="0"/>
        <w:autoSpaceDE/>
        <w:autoSpaceDN/>
        <w:bidi w:val="0"/>
        <w:adjustRightInd/>
        <w:spacing w:line="360" w:lineRule="auto"/>
        <w:ind w:left="0" w:leftChars="0"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数据集成方面，集成地图数据、对接智瞰接口联调；集成物联网平台数据、对接物联网平台接口联调；集成设备中心数据、对接设备中心接口；输电运行支持系统与输电视频主站接口。</w:t>
      </w:r>
    </w:p>
    <w:p w14:paraId="00C23D80">
      <w:pPr>
        <w:keepLines w:val="0"/>
        <w:pageBreakBefore w:val="0"/>
        <w:widowControl w:val="0"/>
        <w:numPr>
          <w:ilvl w:val="0"/>
          <w:numId w:val="3"/>
        </w:numPr>
        <w:kinsoku/>
        <w:wordWrap/>
        <w:overflowPunct/>
        <w:topLinePunct w:val="0"/>
        <w:autoSpaceDE/>
        <w:autoSpaceDN/>
        <w:bidi w:val="0"/>
        <w:adjustRightIn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运维支撑方面，安排实施人员驻点进行跟进处理，全面支撑输电视频终端的接入调试及应用。开展数据迁移与治理工作，包含资源规划、安排迁移计划、开发迁移工具、实施数据迁移、业务验证等；开展日常维护支撑工作，包括系统日常使用培训，系统数据初始化，账号及权限处理，系统故障解决以及版本更新迭代，用户答疑及用户问题处理，系统漏洞修补以及补丁更新，网络安全保障等。</w:t>
      </w:r>
    </w:p>
    <w:p w14:paraId="1990C0EB">
      <w:pPr>
        <w:keepLines w:val="0"/>
        <w:pageBreakBefore w:val="0"/>
        <w:widowControl w:val="0"/>
        <w:numPr>
          <w:ilvl w:val="0"/>
          <w:numId w:val="3"/>
        </w:numPr>
        <w:kinsoku/>
        <w:wordWrap/>
        <w:overflowPunct/>
        <w:topLinePunct w:val="0"/>
        <w:autoSpaceDE/>
        <w:autoSpaceDN/>
        <w:bidi w:val="0"/>
        <w:adjustRightIn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项目建设内容不包含物理服务器、虚拟机、数据库、中间件的购置与部署，项目建设前，需落实相关软硬件。</w:t>
      </w:r>
    </w:p>
    <w:p w14:paraId="25973F9C">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13" w:name="_Toc10762"/>
      <w:r>
        <w:rPr>
          <w:rFonts w:hint="eastAsia" w:ascii="宋体" w:hAnsi="宋体" w:eastAsia="宋体" w:cs="宋体"/>
          <w:b/>
          <w:color w:val="auto"/>
          <w:sz w:val="24"/>
          <w:szCs w:val="24"/>
          <w:highlight w:val="none"/>
          <w:lang w:val="en-US" w:eastAsia="zh-CN"/>
        </w:rPr>
        <w:t>项目关键节点</w:t>
      </w:r>
      <w:bookmarkEnd w:id="13"/>
    </w:p>
    <w:p w14:paraId="165ABD31">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项目工期：</w:t>
      </w:r>
      <w:r>
        <w:rPr>
          <w:rFonts w:hint="eastAsia" w:ascii="宋体" w:hAnsi="宋体" w:eastAsia="宋体" w:cs="宋体"/>
          <w:sz w:val="24"/>
          <w:szCs w:val="24"/>
          <w:lang w:val="en-US" w:eastAsia="zh-CN"/>
        </w:rPr>
        <w:t>需要在项目工期内</w:t>
      </w:r>
      <w:r>
        <w:rPr>
          <w:rFonts w:ascii="宋体" w:hAnsi="宋体" w:eastAsia="宋体" w:cs="宋体"/>
          <w:sz w:val="24"/>
          <w:szCs w:val="24"/>
        </w:rPr>
        <w:t>严格按照南网数字化项目管理规范执行，确保按期完成</w:t>
      </w:r>
      <w:r>
        <w:rPr>
          <w:rFonts w:hint="eastAsia" w:ascii="宋体" w:hAnsi="宋体" w:eastAsia="宋体" w:cs="宋体"/>
          <w:sz w:val="24"/>
          <w:szCs w:val="24"/>
          <w:lang w:val="en-US" w:eastAsia="zh-CN"/>
        </w:rPr>
        <w:t>系统功能开发</w:t>
      </w:r>
      <w:r>
        <w:rPr>
          <w:rFonts w:ascii="宋体" w:hAnsi="宋体" w:eastAsia="宋体" w:cs="宋体"/>
          <w:sz w:val="24"/>
          <w:szCs w:val="24"/>
        </w:rPr>
        <w:t>、测试、上线与验收全流程。</w:t>
      </w:r>
    </w:p>
    <w:p w14:paraId="659226AA">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关键节点1：系统的部署</w:t>
      </w:r>
      <w:r>
        <w:rPr>
          <w:rFonts w:hint="eastAsia" w:ascii="宋体" w:hAnsi="宋体" w:cs="宋体"/>
          <w:b w:val="0"/>
          <w:bCs/>
          <w:color w:val="auto"/>
          <w:sz w:val="24"/>
          <w:szCs w:val="24"/>
          <w:highlight w:val="none"/>
          <w:lang w:val="en-US" w:eastAsia="zh-CN"/>
        </w:rPr>
        <w:t>：完成南网云环境搭建、基础软件部署、系统框架安装及与南网智瞰、物联网平台、设备中心、视频主站的接口环境准备，完成权限与安全策略初始化，确保运行环境就绪。</w:t>
      </w:r>
      <w:bookmarkStart w:id="58" w:name="_GoBack"/>
      <w:bookmarkEnd w:id="58"/>
    </w:p>
    <w:p w14:paraId="6812DD4C">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关键节点2：完成</w:t>
      </w:r>
      <w:r>
        <w:rPr>
          <w:rFonts w:hint="eastAsia" w:ascii="宋体" w:hAnsi="宋体" w:cs="宋体"/>
          <w:b w:val="0"/>
          <w:bCs/>
          <w:color w:val="auto"/>
          <w:sz w:val="24"/>
          <w:szCs w:val="24"/>
          <w:highlight w:val="none"/>
          <w:lang w:val="en-US" w:eastAsia="zh-CN"/>
        </w:rPr>
        <w:t>相关的测试：</w:t>
      </w:r>
      <w:r>
        <w:rPr>
          <w:rFonts w:ascii="宋体" w:hAnsi="宋体" w:eastAsia="宋体" w:cs="宋体"/>
          <w:sz w:val="24"/>
          <w:szCs w:val="24"/>
        </w:rPr>
        <w:t>完成功能、性能、安全测试及第三方测试与入网安评，完成用户测试、缺陷整改、数据迁移治理，确保系统满足技术指标与业务使用要求。</w:t>
      </w:r>
    </w:p>
    <w:p w14:paraId="2B4C1548">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ascii="宋体" w:hAnsi="宋体" w:eastAsia="宋体" w:cs="宋体"/>
          <w:sz w:val="24"/>
          <w:szCs w:val="24"/>
        </w:rPr>
      </w:pPr>
      <w:r>
        <w:rPr>
          <w:rFonts w:ascii="宋体" w:hAnsi="宋体" w:eastAsia="宋体" w:cs="宋体"/>
          <w:sz w:val="24"/>
          <w:szCs w:val="24"/>
        </w:rPr>
        <w:t>关键节点3：项目初验：完成全套成果交付、资料归档，开展系统上线部署，通过项目初步验收，正式进入3个月试运行阶段，保障系统稳定运行、业务正常开展。</w:t>
      </w:r>
    </w:p>
    <w:p w14:paraId="64041BF2">
      <w:pPr>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ascii="宋体" w:hAnsi="宋体" w:eastAsia="宋体" w:cs="宋体"/>
          <w:sz w:val="24"/>
          <w:szCs w:val="24"/>
        </w:rPr>
        <w:t>关键节点4：项目终验：试运行期满后，完成试运行评估、问题闭环整改，开展验收评审，通过项目竣工验收，并完成成果移交。</w:t>
      </w:r>
    </w:p>
    <w:p w14:paraId="083BCCFE">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14" w:name="_Toc11279"/>
      <w:r>
        <w:rPr>
          <w:rFonts w:hint="eastAsia" w:ascii="宋体" w:hAnsi="宋体" w:eastAsia="宋体" w:cs="宋体"/>
          <w:b/>
          <w:color w:val="auto"/>
          <w:sz w:val="24"/>
          <w:szCs w:val="24"/>
          <w:highlight w:val="none"/>
          <w:lang w:val="en-US" w:eastAsia="zh-CN"/>
        </w:rPr>
        <w:t>项目交付物</w:t>
      </w:r>
      <w:bookmarkEnd w:id="14"/>
    </w:p>
    <w:p w14:paraId="475D50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项目交付物要求如下表所示：</w:t>
      </w:r>
    </w:p>
    <w:tbl>
      <w:tblPr>
        <w:tblStyle w:val="2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217"/>
        <w:gridCol w:w="1425"/>
        <w:gridCol w:w="1333"/>
        <w:gridCol w:w="3261"/>
      </w:tblGrid>
      <w:tr w14:paraId="68A90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21745CDB">
            <w:pPr>
              <w:tabs>
                <w:tab w:val="left" w:pos="397"/>
              </w:tabs>
              <w:adjustRightInd w:val="0"/>
              <w:snapToGrid w:val="0"/>
              <w:spacing w:line="240" w:lineRule="auto"/>
              <w:ind w:firstLine="0" w:firstLineChars="0"/>
              <w:jc w:val="center"/>
              <w:rPr>
                <w:rFonts w:hint="eastAsia" w:ascii="宋体" w:hAnsi="宋体" w:eastAsia="宋体" w:cs="宋体"/>
                <w:sz w:val="24"/>
                <w:szCs w:val="24"/>
              </w:rPr>
            </w:pPr>
            <w:r>
              <w:rPr>
                <w:rFonts w:hint="eastAsia" w:ascii="宋体" w:hAnsi="宋体" w:eastAsia="宋体" w:cs="宋体"/>
                <w:b/>
                <w:bCs/>
                <w:sz w:val="24"/>
                <w:szCs w:val="24"/>
              </w:rPr>
              <w:t>序号</w:t>
            </w:r>
          </w:p>
        </w:tc>
        <w:tc>
          <w:tcPr>
            <w:tcW w:w="2217" w:type="dxa"/>
            <w:noWrap w:val="0"/>
            <w:vAlign w:val="center"/>
          </w:tcPr>
          <w:p w14:paraId="43B79E3D">
            <w:pPr>
              <w:tabs>
                <w:tab w:val="left" w:pos="397"/>
              </w:tabs>
              <w:adjustRightInd w:val="0"/>
              <w:snapToGrid w:val="0"/>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lang w:eastAsia="zh-CN"/>
              </w:rPr>
              <w:t>交付物</w:t>
            </w:r>
            <w:r>
              <w:rPr>
                <w:rFonts w:hint="eastAsia" w:ascii="宋体" w:hAnsi="宋体" w:eastAsia="宋体" w:cs="宋体"/>
                <w:b/>
                <w:bCs/>
                <w:sz w:val="24"/>
                <w:szCs w:val="24"/>
              </w:rPr>
              <w:t>名称</w:t>
            </w:r>
          </w:p>
        </w:tc>
        <w:tc>
          <w:tcPr>
            <w:tcW w:w="1425" w:type="dxa"/>
            <w:noWrap w:val="0"/>
            <w:vAlign w:val="center"/>
          </w:tcPr>
          <w:p w14:paraId="599F4C7B">
            <w:pPr>
              <w:tabs>
                <w:tab w:val="left" w:pos="397"/>
              </w:tabs>
              <w:adjustRightInd w:val="0"/>
              <w:snapToGrid w:val="0"/>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单位</w:t>
            </w:r>
          </w:p>
        </w:tc>
        <w:tc>
          <w:tcPr>
            <w:tcW w:w="1333" w:type="dxa"/>
            <w:noWrap w:val="0"/>
            <w:vAlign w:val="center"/>
          </w:tcPr>
          <w:p w14:paraId="3C67CA9D">
            <w:pPr>
              <w:tabs>
                <w:tab w:val="left" w:pos="397"/>
              </w:tabs>
              <w:adjustRightInd w:val="0"/>
              <w:snapToGrid w:val="0"/>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3261" w:type="dxa"/>
            <w:noWrap w:val="0"/>
            <w:vAlign w:val="center"/>
          </w:tcPr>
          <w:p w14:paraId="57B5E684">
            <w:pPr>
              <w:tabs>
                <w:tab w:val="left" w:pos="397"/>
              </w:tabs>
              <w:adjustRightInd w:val="0"/>
              <w:snapToGrid w:val="0"/>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14:paraId="35565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298C7029">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1.1</w:t>
            </w:r>
          </w:p>
        </w:tc>
        <w:tc>
          <w:tcPr>
            <w:tcW w:w="2217" w:type="dxa"/>
            <w:noWrap w:val="0"/>
            <w:vAlign w:val="center"/>
          </w:tcPr>
          <w:p w14:paraId="040DA2BC">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设备管理模块</w:t>
            </w:r>
          </w:p>
        </w:tc>
        <w:tc>
          <w:tcPr>
            <w:tcW w:w="1425" w:type="dxa"/>
            <w:noWrap w:val="0"/>
            <w:vAlign w:val="center"/>
          </w:tcPr>
          <w:p w14:paraId="1DE6D037">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410519BD">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restart"/>
            <w:noWrap w:val="0"/>
            <w:vAlign w:val="center"/>
          </w:tcPr>
          <w:p w14:paraId="4B98ECAF">
            <w:pPr>
              <w:numPr>
                <w:ilvl w:val="0"/>
                <w:numId w:val="4"/>
              </w:num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第三方测试报告（功能、性能、安全）</w:t>
            </w:r>
          </w:p>
          <w:p w14:paraId="68568E18">
            <w:pPr>
              <w:numPr>
                <w:ilvl w:val="0"/>
                <w:numId w:val="4"/>
              </w:num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入网安评测试报告（入网安评测试、源代码审计）</w:t>
            </w:r>
          </w:p>
        </w:tc>
      </w:tr>
      <w:tr w14:paraId="4EA7A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45210A28">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1.2</w:t>
            </w:r>
          </w:p>
        </w:tc>
        <w:tc>
          <w:tcPr>
            <w:tcW w:w="2217" w:type="dxa"/>
            <w:noWrap w:val="0"/>
            <w:vAlign w:val="center"/>
          </w:tcPr>
          <w:p w14:paraId="6CCA4D8F">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运行监测模块</w:t>
            </w:r>
          </w:p>
        </w:tc>
        <w:tc>
          <w:tcPr>
            <w:tcW w:w="1425" w:type="dxa"/>
            <w:noWrap w:val="0"/>
            <w:vAlign w:val="center"/>
          </w:tcPr>
          <w:p w14:paraId="583C52F8">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09F4D70B">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continue"/>
            <w:noWrap w:val="0"/>
            <w:vAlign w:val="center"/>
          </w:tcPr>
          <w:p w14:paraId="08416D86">
            <w:pPr>
              <w:spacing w:line="240" w:lineRule="auto"/>
              <w:rPr>
                <w:rFonts w:hint="eastAsia" w:ascii="宋体" w:hAnsi="宋体" w:eastAsia="宋体" w:cs="宋体"/>
                <w:sz w:val="24"/>
                <w:szCs w:val="24"/>
              </w:rPr>
            </w:pPr>
          </w:p>
        </w:tc>
      </w:tr>
      <w:tr w14:paraId="38AF6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04E327F3">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1.3</w:t>
            </w:r>
          </w:p>
        </w:tc>
        <w:tc>
          <w:tcPr>
            <w:tcW w:w="2217" w:type="dxa"/>
            <w:noWrap w:val="0"/>
            <w:vAlign w:val="center"/>
          </w:tcPr>
          <w:p w14:paraId="41BFA522">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智能运维模块</w:t>
            </w:r>
          </w:p>
        </w:tc>
        <w:tc>
          <w:tcPr>
            <w:tcW w:w="1425" w:type="dxa"/>
            <w:noWrap w:val="0"/>
            <w:vAlign w:val="center"/>
          </w:tcPr>
          <w:p w14:paraId="5D2D5E6A">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0A194C2E">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continue"/>
            <w:noWrap w:val="0"/>
            <w:vAlign w:val="center"/>
          </w:tcPr>
          <w:p w14:paraId="66AF29DE">
            <w:pPr>
              <w:spacing w:line="240" w:lineRule="auto"/>
              <w:rPr>
                <w:rFonts w:hint="eastAsia" w:ascii="宋体" w:hAnsi="宋体" w:eastAsia="宋体" w:cs="宋体"/>
                <w:sz w:val="24"/>
                <w:szCs w:val="24"/>
              </w:rPr>
            </w:pPr>
          </w:p>
        </w:tc>
      </w:tr>
      <w:tr w14:paraId="10ED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18A9E1C1">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1.4</w:t>
            </w:r>
          </w:p>
        </w:tc>
        <w:tc>
          <w:tcPr>
            <w:tcW w:w="2217" w:type="dxa"/>
            <w:noWrap w:val="0"/>
            <w:vAlign w:val="center"/>
          </w:tcPr>
          <w:p w14:paraId="6BA10C29">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运行评价模块</w:t>
            </w:r>
          </w:p>
        </w:tc>
        <w:tc>
          <w:tcPr>
            <w:tcW w:w="1425" w:type="dxa"/>
            <w:noWrap w:val="0"/>
            <w:vAlign w:val="center"/>
          </w:tcPr>
          <w:p w14:paraId="30825BE3">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783AA389">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continue"/>
            <w:noWrap w:val="0"/>
            <w:vAlign w:val="center"/>
          </w:tcPr>
          <w:p w14:paraId="0AB067A0">
            <w:pPr>
              <w:spacing w:line="240" w:lineRule="auto"/>
              <w:rPr>
                <w:rFonts w:hint="eastAsia" w:ascii="宋体" w:hAnsi="宋体" w:eastAsia="宋体" w:cs="宋体"/>
                <w:sz w:val="24"/>
                <w:szCs w:val="24"/>
              </w:rPr>
            </w:pPr>
          </w:p>
        </w:tc>
      </w:tr>
      <w:tr w14:paraId="19C63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27F59141">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p>
        </w:tc>
        <w:tc>
          <w:tcPr>
            <w:tcW w:w="2217" w:type="dxa"/>
            <w:noWrap w:val="0"/>
            <w:vAlign w:val="center"/>
          </w:tcPr>
          <w:p w14:paraId="09040B36">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台账同步模块</w:t>
            </w:r>
          </w:p>
        </w:tc>
        <w:tc>
          <w:tcPr>
            <w:tcW w:w="1425" w:type="dxa"/>
            <w:noWrap w:val="0"/>
            <w:vAlign w:val="center"/>
          </w:tcPr>
          <w:p w14:paraId="694F701A">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586BFAF8">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continue"/>
            <w:noWrap w:val="0"/>
            <w:vAlign w:val="center"/>
          </w:tcPr>
          <w:p w14:paraId="0AD24CDA">
            <w:pPr>
              <w:spacing w:line="240" w:lineRule="auto"/>
              <w:rPr>
                <w:rFonts w:hint="eastAsia" w:ascii="宋体" w:hAnsi="宋体" w:eastAsia="宋体" w:cs="宋体"/>
                <w:sz w:val="24"/>
                <w:szCs w:val="24"/>
              </w:rPr>
            </w:pPr>
          </w:p>
        </w:tc>
      </w:tr>
      <w:tr w14:paraId="3942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554C9DE4">
            <w:pPr>
              <w:spacing w:line="240" w:lineRule="auto"/>
              <w:ind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1.6</w:t>
            </w:r>
          </w:p>
        </w:tc>
        <w:tc>
          <w:tcPr>
            <w:tcW w:w="2217" w:type="dxa"/>
            <w:noWrap w:val="0"/>
            <w:vAlign w:val="center"/>
          </w:tcPr>
          <w:p w14:paraId="64638585">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视频测距</w:t>
            </w:r>
          </w:p>
        </w:tc>
        <w:tc>
          <w:tcPr>
            <w:tcW w:w="1425" w:type="dxa"/>
            <w:noWrap w:val="0"/>
            <w:vAlign w:val="center"/>
          </w:tcPr>
          <w:p w14:paraId="69559464">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22DE2432">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continue"/>
            <w:noWrap w:val="0"/>
            <w:vAlign w:val="center"/>
          </w:tcPr>
          <w:p w14:paraId="3183F521">
            <w:pPr>
              <w:spacing w:line="240" w:lineRule="auto"/>
              <w:rPr>
                <w:rFonts w:hint="eastAsia" w:ascii="宋体" w:hAnsi="宋体" w:eastAsia="宋体" w:cs="宋体"/>
                <w:sz w:val="24"/>
                <w:szCs w:val="24"/>
              </w:rPr>
            </w:pPr>
          </w:p>
        </w:tc>
      </w:tr>
      <w:tr w14:paraId="2E6B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03835B4F">
            <w:pPr>
              <w:spacing w:line="240" w:lineRule="auto"/>
              <w:ind w:firstLine="0"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1.7</w:t>
            </w:r>
          </w:p>
        </w:tc>
        <w:tc>
          <w:tcPr>
            <w:tcW w:w="2217" w:type="dxa"/>
            <w:noWrap w:val="0"/>
            <w:vAlign w:val="center"/>
          </w:tcPr>
          <w:p w14:paraId="2617E2F2">
            <w:pPr>
              <w:spacing w:line="240" w:lineRule="auto"/>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跳闸分析</w:t>
            </w:r>
            <w:r>
              <w:rPr>
                <w:rFonts w:hint="eastAsia" w:ascii="宋体" w:hAnsi="宋体" w:cs="宋体"/>
                <w:sz w:val="24"/>
                <w:szCs w:val="24"/>
                <w:lang w:val="en-US" w:eastAsia="zh-CN"/>
              </w:rPr>
              <w:t>升级</w:t>
            </w:r>
          </w:p>
        </w:tc>
        <w:tc>
          <w:tcPr>
            <w:tcW w:w="1425" w:type="dxa"/>
            <w:noWrap w:val="0"/>
            <w:vAlign w:val="center"/>
          </w:tcPr>
          <w:p w14:paraId="1C0C1B4A">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4AAD48D5">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continue"/>
            <w:noWrap w:val="0"/>
            <w:vAlign w:val="center"/>
          </w:tcPr>
          <w:p w14:paraId="73D340E9">
            <w:pPr>
              <w:spacing w:line="240" w:lineRule="auto"/>
              <w:rPr>
                <w:rFonts w:hint="eastAsia" w:ascii="宋体" w:hAnsi="宋体" w:eastAsia="宋体" w:cs="宋体"/>
                <w:sz w:val="24"/>
                <w:szCs w:val="24"/>
              </w:rPr>
            </w:pPr>
          </w:p>
        </w:tc>
      </w:tr>
      <w:tr w14:paraId="012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7F372511">
            <w:pPr>
              <w:spacing w:line="240" w:lineRule="auto"/>
              <w:ind w:firstLine="0" w:firstLineChars="0"/>
              <w:jc w:val="center"/>
              <w:rPr>
                <w:rFonts w:hint="eastAsia" w:ascii="宋体" w:hAnsi="宋体" w:cs="宋体"/>
                <w:sz w:val="24"/>
                <w:szCs w:val="24"/>
                <w:lang w:val="en-US" w:eastAsia="zh-CN"/>
              </w:rPr>
            </w:pPr>
            <w:r>
              <w:rPr>
                <w:rFonts w:hint="eastAsia" w:ascii="宋体" w:hAnsi="宋体" w:eastAsia="宋体" w:cs="宋体"/>
                <w:sz w:val="24"/>
                <w:szCs w:val="24"/>
              </w:rPr>
              <w:t>1.</w:t>
            </w:r>
            <w:r>
              <w:rPr>
                <w:rFonts w:hint="eastAsia" w:ascii="宋体" w:hAnsi="宋体" w:cs="宋体"/>
                <w:sz w:val="24"/>
                <w:szCs w:val="24"/>
                <w:lang w:val="en-US" w:eastAsia="zh-CN"/>
              </w:rPr>
              <w:t>8</w:t>
            </w:r>
          </w:p>
        </w:tc>
        <w:tc>
          <w:tcPr>
            <w:tcW w:w="2217" w:type="dxa"/>
            <w:noWrap w:val="0"/>
            <w:vAlign w:val="center"/>
          </w:tcPr>
          <w:p w14:paraId="4AE8E81D">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告警评分</w:t>
            </w:r>
          </w:p>
        </w:tc>
        <w:tc>
          <w:tcPr>
            <w:tcW w:w="1425" w:type="dxa"/>
            <w:noWrap w:val="0"/>
            <w:vAlign w:val="center"/>
          </w:tcPr>
          <w:p w14:paraId="4A646191">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56AAA100">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continue"/>
            <w:noWrap w:val="0"/>
            <w:vAlign w:val="center"/>
          </w:tcPr>
          <w:p w14:paraId="42C87310">
            <w:pPr>
              <w:spacing w:line="240" w:lineRule="auto"/>
              <w:rPr>
                <w:rFonts w:hint="eastAsia" w:ascii="宋体" w:hAnsi="宋体" w:eastAsia="宋体" w:cs="宋体"/>
                <w:sz w:val="24"/>
                <w:szCs w:val="24"/>
              </w:rPr>
            </w:pPr>
          </w:p>
        </w:tc>
      </w:tr>
      <w:tr w14:paraId="3E07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 w:type="dxa"/>
            <w:noWrap w:val="0"/>
            <w:vAlign w:val="center"/>
          </w:tcPr>
          <w:p w14:paraId="7B604285">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cs="宋体"/>
                <w:sz w:val="24"/>
                <w:szCs w:val="24"/>
                <w:lang w:val="en-US" w:eastAsia="zh-CN"/>
              </w:rPr>
              <w:t>9</w:t>
            </w:r>
          </w:p>
        </w:tc>
        <w:tc>
          <w:tcPr>
            <w:tcW w:w="2217" w:type="dxa"/>
            <w:noWrap w:val="0"/>
            <w:vAlign w:val="center"/>
          </w:tcPr>
          <w:p w14:paraId="7F325195">
            <w:pPr>
              <w:spacing w:line="240" w:lineRule="auto"/>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九防巡视</w:t>
            </w:r>
          </w:p>
        </w:tc>
        <w:tc>
          <w:tcPr>
            <w:tcW w:w="1425" w:type="dxa"/>
            <w:noWrap w:val="0"/>
            <w:vAlign w:val="center"/>
          </w:tcPr>
          <w:p w14:paraId="6E3C32E5">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333" w:type="dxa"/>
            <w:noWrap w:val="0"/>
            <w:vAlign w:val="center"/>
          </w:tcPr>
          <w:p w14:paraId="6D384723">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3261" w:type="dxa"/>
            <w:vMerge w:val="continue"/>
            <w:noWrap w:val="0"/>
            <w:vAlign w:val="center"/>
          </w:tcPr>
          <w:p w14:paraId="75F932F0">
            <w:pPr>
              <w:spacing w:line="240" w:lineRule="auto"/>
              <w:rPr>
                <w:rFonts w:hint="eastAsia" w:ascii="宋体" w:hAnsi="宋体" w:eastAsia="宋体" w:cs="宋体"/>
                <w:sz w:val="24"/>
                <w:szCs w:val="24"/>
              </w:rPr>
            </w:pPr>
          </w:p>
        </w:tc>
      </w:tr>
    </w:tbl>
    <w:p w14:paraId="1ECF694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outlineLvl w:val="0"/>
        <w:rPr>
          <w:rFonts w:hint="eastAsia" w:ascii="宋体" w:hAnsi="宋体" w:eastAsia="宋体" w:cs="宋体"/>
          <w:b/>
          <w:color w:val="auto"/>
          <w:sz w:val="24"/>
          <w:szCs w:val="24"/>
          <w:highlight w:val="none"/>
          <w:lang w:val="en-US" w:eastAsia="zh-CN"/>
        </w:rPr>
      </w:pPr>
      <w:bookmarkStart w:id="15" w:name="_Toc23475"/>
      <w:r>
        <w:rPr>
          <w:rFonts w:hint="eastAsia" w:ascii="宋体" w:hAnsi="宋体" w:eastAsia="宋体" w:cs="宋体"/>
          <w:b/>
          <w:color w:val="auto"/>
          <w:sz w:val="24"/>
          <w:szCs w:val="24"/>
          <w:highlight w:val="none"/>
          <w:lang w:val="en-US" w:eastAsia="zh-CN"/>
        </w:rPr>
        <w:t>技术要求</w:t>
      </w:r>
      <w:bookmarkEnd w:id="15"/>
    </w:p>
    <w:p w14:paraId="6CD09A58">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16" w:name="_Toc6237"/>
      <w:r>
        <w:rPr>
          <w:rFonts w:hint="eastAsia" w:ascii="宋体" w:hAnsi="宋体" w:eastAsia="宋体" w:cs="宋体"/>
          <w:b/>
          <w:color w:val="auto"/>
          <w:sz w:val="24"/>
          <w:szCs w:val="24"/>
          <w:highlight w:val="none"/>
          <w:lang w:val="en-US" w:eastAsia="zh-CN"/>
        </w:rPr>
        <w:t>基本要求</w:t>
      </w:r>
      <w:bookmarkEnd w:id="16"/>
    </w:p>
    <w:p w14:paraId="1385FD9F">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（1）先进实用</w:t>
      </w:r>
    </w:p>
    <w:p w14:paraId="36A40ED2">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本系统应针对</w:t>
      </w:r>
      <w:r>
        <w:rPr>
          <w:rFonts w:hint="eastAsia" w:ascii="宋体" w:hAnsi="宋体" w:cs="宋体"/>
          <w:i w:val="0"/>
          <w:strike w:val="0"/>
          <w:color w:val="auto"/>
          <w:sz w:val="24"/>
          <w:szCs w:val="24"/>
          <w:highlight w:val="none"/>
          <w:u w:val="none"/>
          <w:lang w:val="en-US" w:eastAsia="zh-CN"/>
        </w:rPr>
        <w:t>海南</w:t>
      </w:r>
      <w:r>
        <w:rPr>
          <w:rFonts w:hint="eastAsia" w:ascii="宋体" w:hAnsi="宋体" w:eastAsia="宋体" w:cs="宋体"/>
          <w:i w:val="0"/>
          <w:strike w:val="0"/>
          <w:color w:val="auto"/>
          <w:sz w:val="24"/>
          <w:szCs w:val="24"/>
          <w:highlight w:val="none"/>
          <w:u w:val="none"/>
        </w:rPr>
        <w:t>电网特点，配置符合需求的实用性功能，充分满足</w:t>
      </w:r>
      <w:r>
        <w:rPr>
          <w:rFonts w:hint="eastAsia" w:ascii="宋体" w:hAnsi="宋体" w:cs="宋体"/>
          <w:i w:val="0"/>
          <w:strike w:val="0"/>
          <w:color w:val="auto"/>
          <w:sz w:val="24"/>
          <w:szCs w:val="24"/>
          <w:highlight w:val="none"/>
          <w:u w:val="none"/>
          <w:lang w:val="en-US" w:eastAsia="zh-CN"/>
        </w:rPr>
        <w:t>海南</w:t>
      </w:r>
      <w:r>
        <w:rPr>
          <w:rFonts w:hint="eastAsia" w:ascii="宋体" w:hAnsi="宋体" w:eastAsia="宋体" w:cs="宋体"/>
          <w:i w:val="0"/>
          <w:strike w:val="0"/>
          <w:color w:val="auto"/>
          <w:sz w:val="24"/>
          <w:szCs w:val="24"/>
          <w:highlight w:val="none"/>
          <w:u w:val="none"/>
        </w:rPr>
        <w:t>电网安全、优质、经济的运行要求。项目研究成果力求先进，并达到满足实际业务应用需求的实用化水平。</w:t>
      </w:r>
    </w:p>
    <w:p w14:paraId="7B8B35B7">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（2）安全可控</w:t>
      </w:r>
    </w:p>
    <w:p w14:paraId="2B02D759">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系统安全满足《电网和电厂计算机监控系统及调度数据网络安全防护规定》(中华人民共和国国家经贸委第30号)和《电力二次系统安全防护规定》(国家电力监管委员会5号令)对电网计算机监控系统和系统之间互联的安全要求，符合《全国电力二次系统安全防护总体框架》的有关规定。对项目研究的工具、方法、进度和全过程要在招标方可控的范围之内。</w:t>
      </w:r>
    </w:p>
    <w:p w14:paraId="58D5C5D3">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①系统服务器都具备操作系统安全加固，禁止不必要的服务和应用。安装于主机上的应用程序与主流防病毒软件完全兼容，保证防病毒软件进行扫描时，应用程序仍能正常工作。</w:t>
      </w:r>
    </w:p>
    <w:p w14:paraId="474D08C3">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②系统与其它各信息处理系统之间是相对独立的关系，数据通过数据中心统一调取，禁止外部系统对系统数据的直接调用。</w:t>
      </w:r>
    </w:p>
    <w:p w14:paraId="027A6BD2">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cs="宋体"/>
          <w:i w:val="0"/>
          <w:strike w:val="0"/>
          <w:color w:val="auto"/>
          <w:sz w:val="24"/>
          <w:szCs w:val="24"/>
          <w:highlight w:val="none"/>
          <w:u w:val="none"/>
          <w:lang w:val="en-US" w:eastAsia="zh-CN"/>
        </w:rPr>
        <w:t>③</w:t>
      </w:r>
      <w:r>
        <w:rPr>
          <w:rFonts w:hint="eastAsia" w:ascii="宋体" w:hAnsi="宋体" w:eastAsia="宋体" w:cs="宋体"/>
          <w:i w:val="0"/>
          <w:strike w:val="0"/>
          <w:color w:val="auto"/>
          <w:sz w:val="24"/>
          <w:szCs w:val="24"/>
          <w:highlight w:val="none"/>
          <w:u w:val="none"/>
          <w:lang w:val="en-US" w:eastAsia="zh-CN"/>
        </w:rPr>
        <w:t>本项目所需的软硬件资源由南网云统筹考虑，业务所用软硬件资源均可根据实际资源利用率情况进行动态调配，操作系统、数据库、中间件等基础软件将按照国产化改造计划，统一采用自主可控软件。</w:t>
      </w:r>
    </w:p>
    <w:p w14:paraId="0ED33B49">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（3）开放可拓展</w:t>
      </w:r>
    </w:p>
    <w:p w14:paraId="3FF0256E">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系统应具有软、硬件扩充能力，包括增加硬件、增加新软件功能和系统容量可扩充（包括可接入的厂站数量、系统数据库的容量等），工程建设原则为整体设计、分步建设投运、逐步扩充、逐步升级，以满足运行管理不断发展的要求。</w:t>
      </w:r>
    </w:p>
    <w:p w14:paraId="2F94CC12">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系统遵循国际标准，满足开放性要求，选用通用的或者标准化的软硬件产品，包括计算机产品、网络设备、操作系统、网络协议、商用数据库等均遵循国际标准和电力工业标准。系统采用开放式体系结构，提供开放式环境，支撑平台应采用国际标准开发，所有功能模块之间的接口标准应统一，支持用户应用软件程序的开发，保证能和其它系统互联和集成一体，或者很方便的实现与其它系统间的接口。</w:t>
      </w:r>
    </w:p>
    <w:p w14:paraId="1D4813D8">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（4）一体化</w:t>
      </w:r>
    </w:p>
    <w:p w14:paraId="6CBD83CF">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i w:val="0"/>
          <w:strike w:val="0"/>
          <w:color w:val="auto"/>
          <w:sz w:val="24"/>
          <w:szCs w:val="24"/>
          <w:highlight w:val="none"/>
          <w:u w:val="none"/>
        </w:rPr>
        <w:t>图形格式和界面风格统一：系统采用相似的图形格式和界面风格，以及统一的专业应用工具模块，操作和维护方便。PC界面应美观大方，符合审美，可根据需求定制专有页面，具体以招标方要求为准且支持南网云部署。</w:t>
      </w:r>
    </w:p>
    <w:p w14:paraId="06CC31CB">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17" w:name="_Toc31119"/>
      <w:r>
        <w:rPr>
          <w:rFonts w:hint="eastAsia" w:ascii="宋体" w:hAnsi="宋体" w:eastAsia="宋体" w:cs="宋体"/>
          <w:b/>
          <w:color w:val="auto"/>
          <w:sz w:val="24"/>
          <w:szCs w:val="24"/>
          <w:highlight w:val="none"/>
          <w:lang w:val="en-US" w:eastAsia="zh-CN"/>
        </w:rPr>
        <w:t>技术路线</w:t>
      </w:r>
      <w:bookmarkEnd w:id="17"/>
    </w:p>
    <w:p w14:paraId="711567A5">
      <w:pPr>
        <w:pageBreakBefore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strike w:val="0"/>
          <w:color w:val="auto"/>
          <w:sz w:val="24"/>
          <w:szCs w:val="24"/>
          <w:highlight w:val="none"/>
          <w:u w:val="none"/>
        </w:rPr>
        <w:t>本项目遵循南网云技术路线，所使用技术及框架均符合《南网云总体架构和技术要求》与《南网云微服务开发设计技术要求》，优先使用《南网云平台技术白皮书》所发布的服务与组件，且业务所用软硬件资源均可根据实际资源利用率情况进行动态调配。系统基于南网云进行统一部署，南网云是系统运行的IT资源基础载体。</w:t>
      </w:r>
      <w:r>
        <w:rPr>
          <w:rFonts w:hint="eastAsia" w:ascii="宋体" w:hAnsi="宋体" w:eastAsia="宋体" w:cs="宋体"/>
          <w:b w:val="0"/>
          <w:bCs w:val="0"/>
          <w:i w:val="0"/>
          <w:strike w:val="0"/>
          <w:color w:val="auto"/>
          <w:sz w:val="24"/>
          <w:szCs w:val="24"/>
          <w:highlight w:val="none"/>
          <w:u w:val="none"/>
          <w:lang w:val="en-US" w:eastAsia="zh-CN"/>
        </w:rPr>
        <w:t>可采用</w:t>
      </w:r>
      <w:r>
        <w:rPr>
          <w:rFonts w:hint="eastAsia" w:ascii="宋体" w:hAnsi="宋体" w:eastAsia="宋体" w:cs="宋体"/>
          <w:b w:val="0"/>
          <w:bCs w:val="0"/>
          <w:i w:val="0"/>
          <w:strike w:val="0"/>
          <w:color w:val="auto"/>
          <w:sz w:val="24"/>
          <w:szCs w:val="24"/>
          <w:highlight w:val="none"/>
          <w:u w:val="none"/>
        </w:rPr>
        <w:t>基于南网云的微服务架构</w:t>
      </w:r>
      <w:r>
        <w:rPr>
          <w:rFonts w:hint="eastAsia" w:ascii="宋体" w:hAnsi="宋体" w:eastAsia="宋体" w:cs="宋体"/>
          <w:b w:val="0"/>
          <w:bCs w:val="0"/>
          <w:i w:val="0"/>
          <w:strike w:val="0"/>
          <w:color w:val="auto"/>
          <w:sz w:val="24"/>
          <w:szCs w:val="24"/>
          <w:highlight w:val="none"/>
          <w:u w:val="none"/>
          <w:lang w:eastAsia="zh-CN"/>
        </w:rPr>
        <w:t>、</w:t>
      </w:r>
      <w:r>
        <w:rPr>
          <w:rFonts w:hint="eastAsia" w:ascii="宋体" w:hAnsi="宋体" w:eastAsia="宋体" w:cs="宋体"/>
          <w:b w:val="0"/>
          <w:bCs w:val="0"/>
          <w:i w:val="0"/>
          <w:strike w:val="0"/>
          <w:color w:val="auto"/>
          <w:sz w:val="24"/>
          <w:szCs w:val="24"/>
          <w:highlight w:val="none"/>
          <w:u w:val="none"/>
        </w:rPr>
        <w:t>SpringCloud技术框架</w:t>
      </w:r>
      <w:r>
        <w:rPr>
          <w:rFonts w:hint="eastAsia" w:ascii="宋体" w:hAnsi="宋体" w:eastAsia="宋体" w:cs="宋体"/>
          <w:b w:val="0"/>
          <w:bCs w:val="0"/>
          <w:i w:val="0"/>
          <w:strike w:val="0"/>
          <w:color w:val="auto"/>
          <w:sz w:val="24"/>
          <w:szCs w:val="24"/>
          <w:highlight w:val="none"/>
          <w:u w:val="none"/>
          <w:lang w:eastAsia="zh-CN"/>
        </w:rPr>
        <w:t>、</w:t>
      </w:r>
      <w:r>
        <w:rPr>
          <w:rFonts w:hint="eastAsia" w:ascii="宋体" w:hAnsi="宋体" w:eastAsia="宋体" w:cs="宋体"/>
          <w:b w:val="0"/>
          <w:bCs w:val="0"/>
          <w:i w:val="0"/>
          <w:strike w:val="0"/>
          <w:color w:val="auto"/>
          <w:sz w:val="24"/>
          <w:szCs w:val="24"/>
          <w:highlight w:val="none"/>
          <w:u w:val="none"/>
        </w:rPr>
        <w:t>基于组件设计</w:t>
      </w:r>
      <w:r>
        <w:rPr>
          <w:rFonts w:hint="eastAsia" w:ascii="宋体" w:hAnsi="宋体" w:eastAsia="宋体" w:cs="宋体"/>
          <w:b w:val="0"/>
          <w:bCs w:val="0"/>
          <w:i w:val="0"/>
          <w:strike w:val="0"/>
          <w:color w:val="auto"/>
          <w:sz w:val="24"/>
          <w:szCs w:val="24"/>
          <w:highlight w:val="none"/>
          <w:u w:val="none"/>
          <w:lang w:eastAsia="zh-CN"/>
        </w:rPr>
        <w:t>、</w:t>
      </w:r>
      <w:r>
        <w:rPr>
          <w:rFonts w:hint="eastAsia" w:ascii="宋体" w:hAnsi="宋体" w:eastAsia="宋体" w:cs="宋体"/>
          <w:b w:val="0"/>
          <w:bCs w:val="0"/>
          <w:i w:val="0"/>
          <w:strike w:val="0"/>
          <w:color w:val="auto"/>
          <w:sz w:val="24"/>
          <w:szCs w:val="24"/>
          <w:highlight w:val="none"/>
          <w:u w:val="none"/>
        </w:rPr>
        <w:t>虚拟化技术</w:t>
      </w:r>
      <w:r>
        <w:rPr>
          <w:rFonts w:hint="eastAsia" w:ascii="宋体" w:hAnsi="宋体" w:eastAsia="宋体" w:cs="宋体"/>
          <w:b w:val="0"/>
          <w:bCs w:val="0"/>
          <w:i w:val="0"/>
          <w:strike w:val="0"/>
          <w:color w:val="auto"/>
          <w:sz w:val="24"/>
          <w:szCs w:val="24"/>
          <w:highlight w:val="none"/>
          <w:u w:val="none"/>
          <w:lang w:eastAsia="zh-CN"/>
        </w:rPr>
        <w:t>、</w:t>
      </w:r>
      <w:r>
        <w:rPr>
          <w:rFonts w:hint="eastAsia" w:ascii="宋体" w:hAnsi="宋体" w:eastAsia="宋体" w:cs="宋体"/>
          <w:b w:val="0"/>
          <w:bCs w:val="0"/>
          <w:i w:val="0"/>
          <w:strike w:val="0"/>
          <w:color w:val="auto"/>
          <w:sz w:val="24"/>
          <w:szCs w:val="24"/>
          <w:highlight w:val="none"/>
          <w:u w:val="none"/>
        </w:rPr>
        <w:t>HTML5技术</w:t>
      </w:r>
      <w:r>
        <w:rPr>
          <w:rFonts w:hint="eastAsia" w:ascii="宋体" w:hAnsi="宋体" w:eastAsia="宋体" w:cs="宋体"/>
          <w:b w:val="0"/>
          <w:bCs w:val="0"/>
          <w:i w:val="0"/>
          <w:strike w:val="0"/>
          <w:color w:val="auto"/>
          <w:sz w:val="24"/>
          <w:szCs w:val="24"/>
          <w:highlight w:val="none"/>
          <w:u w:val="none"/>
          <w:lang w:eastAsia="zh-CN"/>
        </w:rPr>
        <w:t>。</w:t>
      </w:r>
    </w:p>
    <w:p w14:paraId="22C432BE">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仿宋_GB2312" w:hAnsi="仿宋_GB2312" w:eastAsia="仿宋_GB2312" w:cs="仿宋_GB2312"/>
          <w:color w:val="auto"/>
          <w:highlight w:val="none"/>
        </w:rPr>
      </w:pPr>
      <w:bookmarkStart w:id="18" w:name="_Toc25244"/>
      <w:r>
        <w:rPr>
          <w:rFonts w:hint="eastAsia" w:ascii="宋体" w:hAnsi="宋体" w:eastAsia="宋体" w:cs="宋体"/>
          <w:b/>
          <w:color w:val="auto"/>
          <w:sz w:val="24"/>
          <w:szCs w:val="24"/>
          <w:highlight w:val="none"/>
          <w:lang w:val="en-US" w:eastAsia="zh-CN"/>
        </w:rPr>
        <w:t>部署方式</w:t>
      </w:r>
      <w:bookmarkEnd w:id="18"/>
    </w:p>
    <w:p w14:paraId="5F92DB50">
      <w:pPr>
        <w:pStyle w:val="50"/>
        <w:ind w:firstLine="0" w:firstLineChars="0"/>
        <w:jc w:val="left"/>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rPr>
        <w:drawing>
          <wp:inline distT="0" distB="0" distL="114300" distR="114300">
            <wp:extent cx="5255895" cy="3717290"/>
            <wp:effectExtent l="0" t="0" r="1905" b="16510"/>
            <wp:docPr id="2" name="图片 2" descr="初设附图5.14_1(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初设附图5.14_1(1)_1"/>
                    <pic:cNvPicPr>
                      <a:picLocks noChangeAspect="1"/>
                    </pic:cNvPicPr>
                  </pic:nvPicPr>
                  <pic:blipFill>
                    <a:blip r:embed="rId6"/>
                    <a:stretch>
                      <a:fillRect/>
                    </a:stretch>
                  </pic:blipFill>
                  <pic:spPr>
                    <a:xfrm>
                      <a:off x="0" y="0"/>
                      <a:ext cx="5255895" cy="3717290"/>
                    </a:xfrm>
                    <a:prstGeom prst="rect">
                      <a:avLst/>
                    </a:prstGeom>
                  </pic:spPr>
                </pic:pic>
              </a:graphicData>
            </a:graphic>
          </wp:inline>
        </w:drawing>
      </w:r>
    </w:p>
    <w:p w14:paraId="5023AD97">
      <w:pPr>
        <w:pStyle w:val="17"/>
        <w:jc w:val="center"/>
        <w:rPr>
          <w:rFonts w:hint="eastAsia" w:ascii="宋体" w:hAnsi="宋体" w:eastAsia="宋体" w:cs="宋体"/>
          <w:i w:val="0"/>
          <w:strike w:val="0"/>
          <w:color w:val="auto"/>
          <w:kern w:val="2"/>
          <w:sz w:val="24"/>
          <w:szCs w:val="24"/>
          <w:highlight w:val="none"/>
          <w:u w:val="none"/>
          <w:lang w:val="en-US" w:eastAsia="zh-CN" w:bidi="ar-SA"/>
        </w:rPr>
      </w:pPr>
      <w:r>
        <w:rPr>
          <w:rFonts w:hint="eastAsia" w:ascii="宋体" w:hAnsi="宋体" w:eastAsia="宋体" w:cs="宋体"/>
          <w:i w:val="0"/>
          <w:strike w:val="0"/>
          <w:color w:val="auto"/>
          <w:kern w:val="2"/>
          <w:sz w:val="24"/>
          <w:szCs w:val="24"/>
          <w:highlight w:val="none"/>
          <w:u w:val="none"/>
          <w:lang w:val="en-US" w:eastAsia="zh-CN" w:bidi="ar-SA"/>
        </w:rPr>
        <w:t>部署架构图</w:t>
      </w:r>
    </w:p>
    <w:p w14:paraId="2A8D023C">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19" w:name="_Toc19194"/>
      <w:r>
        <w:rPr>
          <w:rFonts w:hint="eastAsia" w:ascii="宋体" w:hAnsi="宋体" w:eastAsia="宋体" w:cs="宋体"/>
          <w:b/>
          <w:color w:val="auto"/>
          <w:sz w:val="24"/>
          <w:szCs w:val="24"/>
          <w:highlight w:val="none"/>
          <w:lang w:val="en-US" w:eastAsia="zh-CN"/>
        </w:rPr>
        <w:t>系统数据集成</w:t>
      </w:r>
      <w:bookmarkEnd w:id="19"/>
    </w:p>
    <w:p w14:paraId="2F82E1E2">
      <w:pPr>
        <w:keepNext w:val="0"/>
        <w:keepLines w:val="0"/>
        <w:pageBreakBefore w:val="0"/>
        <w:kinsoku/>
        <w:wordWrap/>
        <w:overflowPunct/>
        <w:topLinePunct w:val="0"/>
        <w:autoSpaceDE/>
        <w:autoSpaceDN/>
        <w:bidi w:val="0"/>
        <w:adjustRightInd/>
        <w:snapToGrid/>
        <w:spacing w:before="0" w:after="0" w:line="360" w:lineRule="auto"/>
        <w:ind w:left="0" w:right="0" w:firstLine="480" w:firstLineChars="200"/>
        <w:jc w:val="both"/>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本项目需要</w:t>
      </w:r>
      <w:r>
        <w:rPr>
          <w:rFonts w:hint="eastAsia" w:ascii="宋体" w:hAnsi="宋体" w:eastAsia="宋体" w:cs="宋体"/>
          <w:i w:val="0"/>
          <w:strike w:val="0"/>
          <w:color w:val="auto"/>
          <w:sz w:val="24"/>
          <w:szCs w:val="24"/>
          <w:highlight w:val="none"/>
          <w:u w:val="none"/>
          <w:lang w:val="en-US" w:eastAsia="zh-CN"/>
        </w:rPr>
        <w:t>与</w:t>
      </w:r>
      <w:r>
        <w:rPr>
          <w:rFonts w:hint="eastAsia" w:ascii="宋体" w:hAnsi="宋体" w:cs="宋体"/>
          <w:i w:val="0"/>
          <w:strike w:val="0"/>
          <w:color w:val="auto"/>
          <w:sz w:val="24"/>
          <w:szCs w:val="24"/>
          <w:highlight w:val="none"/>
          <w:u w:val="none"/>
          <w:lang w:val="en-US" w:eastAsia="zh-CN"/>
        </w:rPr>
        <w:t>南网智瞰</w:t>
      </w:r>
      <w:r>
        <w:rPr>
          <w:rFonts w:hint="eastAsia" w:ascii="宋体" w:hAnsi="宋体" w:eastAsia="宋体" w:cs="宋体"/>
          <w:i w:val="0"/>
          <w:strike w:val="0"/>
          <w:color w:val="auto"/>
          <w:sz w:val="24"/>
          <w:szCs w:val="24"/>
          <w:highlight w:val="none"/>
          <w:u w:val="none"/>
          <w:lang w:val="en-US" w:eastAsia="zh-CN"/>
        </w:rPr>
        <w:t>平台、物联网</w:t>
      </w:r>
      <w:r>
        <w:rPr>
          <w:rFonts w:hint="eastAsia" w:ascii="宋体" w:hAnsi="宋体" w:eastAsia="宋体" w:cs="宋体"/>
          <w:i w:val="0"/>
          <w:strike w:val="0"/>
          <w:color w:val="auto"/>
          <w:sz w:val="24"/>
          <w:szCs w:val="24"/>
          <w:highlight w:val="none"/>
          <w:u w:val="none"/>
        </w:rPr>
        <w:t>平台</w:t>
      </w:r>
      <w:r>
        <w:rPr>
          <w:rFonts w:hint="eastAsia" w:ascii="宋体" w:hAnsi="宋体" w:eastAsia="宋体" w:cs="宋体"/>
          <w:i w:val="0"/>
          <w:strike w:val="0"/>
          <w:color w:val="auto"/>
          <w:sz w:val="24"/>
          <w:szCs w:val="24"/>
          <w:highlight w:val="none"/>
          <w:u w:val="none"/>
          <w:lang w:eastAsia="zh-CN"/>
        </w:rPr>
        <w:t>、</w:t>
      </w:r>
      <w:r>
        <w:rPr>
          <w:rFonts w:hint="eastAsia" w:ascii="宋体" w:hAnsi="宋体" w:cs="宋体"/>
          <w:i w:val="0"/>
          <w:strike w:val="0"/>
          <w:color w:val="auto"/>
          <w:sz w:val="24"/>
          <w:szCs w:val="24"/>
          <w:highlight w:val="none"/>
          <w:u w:val="none"/>
          <w:lang w:val="en-US" w:eastAsia="zh-CN"/>
        </w:rPr>
        <w:t>统一视频平台</w:t>
      </w:r>
      <w:r>
        <w:rPr>
          <w:rFonts w:hint="eastAsia" w:ascii="宋体" w:hAnsi="宋体" w:eastAsia="宋体" w:cs="宋体"/>
          <w:i w:val="0"/>
          <w:strike w:val="0"/>
          <w:color w:val="auto"/>
          <w:sz w:val="24"/>
          <w:szCs w:val="24"/>
          <w:highlight w:val="none"/>
          <w:u w:val="none"/>
          <w:lang w:val="en-US" w:eastAsia="zh-CN"/>
        </w:rPr>
        <w:t>、</w:t>
      </w:r>
      <w:r>
        <w:rPr>
          <w:rFonts w:hint="eastAsia" w:ascii="宋体" w:hAnsi="宋体" w:cs="宋体"/>
          <w:i w:val="0"/>
          <w:strike w:val="0"/>
          <w:color w:val="auto"/>
          <w:sz w:val="24"/>
          <w:szCs w:val="24"/>
          <w:highlight w:val="none"/>
          <w:u w:val="none"/>
          <w:lang w:val="en-US" w:eastAsia="zh-CN"/>
        </w:rPr>
        <w:t>设备中心</w:t>
      </w:r>
      <w:r>
        <w:rPr>
          <w:rFonts w:hint="eastAsia" w:ascii="宋体" w:hAnsi="宋体" w:eastAsia="宋体" w:cs="宋体"/>
          <w:i w:val="0"/>
          <w:strike w:val="0"/>
          <w:color w:val="auto"/>
          <w:sz w:val="24"/>
          <w:szCs w:val="24"/>
          <w:highlight w:val="none"/>
          <w:u w:val="none"/>
          <w:lang w:val="en-US" w:eastAsia="zh-CN"/>
        </w:rPr>
        <w:t>等</w:t>
      </w:r>
      <w:r>
        <w:rPr>
          <w:rFonts w:hint="eastAsia" w:ascii="宋体" w:hAnsi="宋体" w:eastAsia="宋体" w:cs="宋体"/>
          <w:i w:val="0"/>
          <w:strike w:val="0"/>
          <w:color w:val="auto"/>
          <w:sz w:val="24"/>
          <w:szCs w:val="24"/>
          <w:highlight w:val="none"/>
          <w:u w:val="none"/>
        </w:rPr>
        <w:t>对接。</w:t>
      </w:r>
    </w:p>
    <w:tbl>
      <w:tblPr>
        <w:tblStyle w:val="28"/>
        <w:tblW w:w="5231" w:type="pct"/>
        <w:jc w:val="center"/>
        <w:tblLayout w:type="fixed"/>
        <w:tblCellMar>
          <w:top w:w="0" w:type="dxa"/>
          <w:left w:w="108" w:type="dxa"/>
          <w:bottom w:w="0" w:type="dxa"/>
          <w:right w:w="108" w:type="dxa"/>
        </w:tblCellMar>
      </w:tblPr>
      <w:tblGrid>
        <w:gridCol w:w="705"/>
        <w:gridCol w:w="2242"/>
        <w:gridCol w:w="5975"/>
      </w:tblGrid>
      <w:tr w14:paraId="0D77A733">
        <w:tblPrEx>
          <w:tblCellMar>
            <w:top w:w="0" w:type="dxa"/>
            <w:left w:w="108" w:type="dxa"/>
            <w:bottom w:w="0" w:type="dxa"/>
            <w:right w:w="108" w:type="dxa"/>
          </w:tblCellMar>
        </w:tblPrEx>
        <w:trPr>
          <w:trHeight w:val="0" w:hRule="atLeast"/>
          <w:jc w:val="center"/>
        </w:trPr>
        <w:tc>
          <w:tcPr>
            <w:tcW w:w="395" w:type="pct"/>
            <w:tcBorders>
              <w:top w:val="single" w:color="000000" w:sz="4" w:space="0"/>
              <w:left w:val="single" w:color="000000" w:sz="4" w:space="0"/>
              <w:bottom w:val="single" w:color="000000" w:sz="4" w:space="0"/>
              <w:right w:val="single" w:color="000000" w:sz="4" w:space="0"/>
            </w:tcBorders>
            <w:shd w:val="clear" w:color="5B9BD5" w:fill="D7D7D7"/>
            <w:noWrap/>
            <w:vAlign w:val="center"/>
          </w:tcPr>
          <w:p w14:paraId="29CCB77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256" w:type="pct"/>
            <w:tcBorders>
              <w:top w:val="single" w:color="000000" w:sz="4" w:space="0"/>
              <w:left w:val="single" w:color="000000" w:sz="4" w:space="0"/>
              <w:bottom w:val="single" w:color="000000" w:sz="4" w:space="0"/>
              <w:right w:val="single" w:color="000000" w:sz="4" w:space="0"/>
            </w:tcBorders>
            <w:shd w:val="clear" w:color="5B9BD5" w:fill="D7D7D7"/>
            <w:noWrap w:val="0"/>
            <w:vAlign w:val="center"/>
          </w:tcPr>
          <w:p w14:paraId="06F4DC2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对接</w:t>
            </w:r>
            <w:r>
              <w:rPr>
                <w:rFonts w:hint="eastAsia" w:ascii="宋体" w:hAnsi="宋体" w:eastAsia="宋体" w:cs="宋体"/>
                <w:b/>
                <w:bCs/>
                <w:color w:val="auto"/>
                <w:kern w:val="0"/>
                <w:sz w:val="21"/>
                <w:szCs w:val="21"/>
                <w:highlight w:val="none"/>
                <w:lang w:bidi="ar"/>
              </w:rPr>
              <w:t>系统名称</w:t>
            </w:r>
          </w:p>
        </w:tc>
        <w:tc>
          <w:tcPr>
            <w:tcW w:w="3348" w:type="pct"/>
            <w:tcBorders>
              <w:top w:val="single" w:color="000000" w:sz="4" w:space="0"/>
              <w:left w:val="single" w:color="000000" w:sz="4" w:space="0"/>
              <w:bottom w:val="single" w:color="000000" w:sz="4" w:space="0"/>
              <w:right w:val="single" w:color="000000" w:sz="4" w:space="0"/>
            </w:tcBorders>
            <w:shd w:val="clear" w:color="5B9BD5" w:fill="D7D7D7"/>
            <w:noWrap w:val="0"/>
            <w:vAlign w:val="center"/>
          </w:tcPr>
          <w:p w14:paraId="4393D23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数据</w:t>
            </w:r>
          </w:p>
        </w:tc>
      </w:tr>
      <w:tr w14:paraId="75C21C4C">
        <w:tblPrEx>
          <w:tblCellMar>
            <w:top w:w="0" w:type="dxa"/>
            <w:left w:w="108" w:type="dxa"/>
            <w:bottom w:w="0" w:type="dxa"/>
            <w:right w:w="108" w:type="dxa"/>
          </w:tblCellMar>
        </w:tblPrEx>
        <w:trPr>
          <w:trHeight w:val="0" w:hRule="atLeast"/>
          <w:jc w:val="center"/>
        </w:trPr>
        <w:tc>
          <w:tcPr>
            <w:tcW w:w="395" w:type="pct"/>
            <w:tcBorders>
              <w:top w:val="single" w:color="000000" w:sz="4" w:space="0"/>
              <w:left w:val="single" w:color="000000" w:sz="4" w:space="0"/>
              <w:bottom w:val="single" w:color="000000" w:sz="4" w:space="0"/>
              <w:right w:val="single" w:color="000000" w:sz="4" w:space="0"/>
            </w:tcBorders>
            <w:noWrap/>
            <w:vAlign w:val="center"/>
          </w:tcPr>
          <w:p w14:paraId="761C4B04">
            <w:pPr>
              <w:keepNext w:val="0"/>
              <w:keepLines w:val="0"/>
              <w:pageBreakBefore w:val="0"/>
              <w:widowControl/>
              <w:kinsoku/>
              <w:wordWrap/>
              <w:overflowPunct/>
              <w:topLinePunct w:val="0"/>
              <w:autoSpaceDE/>
              <w:autoSpaceDN/>
              <w:bidi w:val="0"/>
              <w:adjustRightInd/>
              <w:snapToGrid/>
              <w:spacing w:line="360" w:lineRule="auto"/>
              <w:ind w:firstLine="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1256" w:type="pct"/>
            <w:tcBorders>
              <w:top w:val="single" w:color="000000" w:sz="4" w:space="0"/>
              <w:left w:val="single" w:color="000000" w:sz="4" w:space="0"/>
              <w:bottom w:val="single" w:color="000000" w:sz="4" w:space="0"/>
              <w:right w:val="single" w:color="000000" w:sz="4" w:space="0"/>
            </w:tcBorders>
            <w:noWrap/>
            <w:vAlign w:val="center"/>
          </w:tcPr>
          <w:p w14:paraId="585CEDC3">
            <w:pPr>
              <w:keepNext w:val="0"/>
              <w:keepLines w:val="0"/>
              <w:pageBreakBefore w:val="0"/>
              <w:kinsoku/>
              <w:wordWrap/>
              <w:overflowPunct/>
              <w:topLinePunct w:val="0"/>
              <w:autoSpaceDE/>
              <w:autoSpaceDN/>
              <w:bidi w:val="0"/>
              <w:adjustRightInd/>
              <w:snapToGrid/>
              <w:spacing w:before="0" w:after="0" w:line="360" w:lineRule="auto"/>
              <w:ind w:right="0"/>
              <w:jc w:val="center"/>
              <w:rPr>
                <w:rFonts w:hint="default"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南网智瞰平台</w:t>
            </w:r>
          </w:p>
        </w:tc>
        <w:tc>
          <w:tcPr>
            <w:tcW w:w="3348" w:type="pct"/>
            <w:tcBorders>
              <w:top w:val="single" w:color="000000" w:sz="4" w:space="0"/>
              <w:left w:val="single" w:color="000000" w:sz="4" w:space="0"/>
              <w:bottom w:val="single" w:color="000000" w:sz="4" w:space="0"/>
              <w:right w:val="single" w:color="000000" w:sz="4" w:space="0"/>
            </w:tcBorders>
            <w:noWrap w:val="0"/>
            <w:vAlign w:val="center"/>
          </w:tcPr>
          <w:p w14:paraId="5DF0C6CA">
            <w:pPr>
              <w:keepNext w:val="0"/>
              <w:keepLines w:val="0"/>
              <w:pageBreakBefore w:val="0"/>
              <w:kinsoku/>
              <w:wordWrap/>
              <w:overflowPunct/>
              <w:topLinePunct w:val="0"/>
              <w:autoSpaceDE/>
              <w:autoSpaceDN/>
              <w:bidi w:val="0"/>
              <w:adjustRightInd/>
              <w:snapToGrid/>
              <w:spacing w:before="0" w:after="0" w:line="360" w:lineRule="auto"/>
              <w:ind w:right="0"/>
              <w:jc w:val="both"/>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集成地图数据、与接智瞰接口联调；</w:t>
            </w:r>
          </w:p>
        </w:tc>
      </w:tr>
      <w:tr w14:paraId="4B86166F">
        <w:tblPrEx>
          <w:tblCellMar>
            <w:top w:w="0" w:type="dxa"/>
            <w:left w:w="108" w:type="dxa"/>
            <w:bottom w:w="0" w:type="dxa"/>
            <w:right w:w="108" w:type="dxa"/>
          </w:tblCellMar>
        </w:tblPrEx>
        <w:trPr>
          <w:trHeight w:val="0" w:hRule="atLeast"/>
          <w:jc w:val="center"/>
        </w:trPr>
        <w:tc>
          <w:tcPr>
            <w:tcW w:w="395" w:type="pct"/>
            <w:tcBorders>
              <w:top w:val="single" w:color="000000" w:sz="4" w:space="0"/>
              <w:left w:val="single" w:color="000000" w:sz="4" w:space="0"/>
              <w:bottom w:val="single" w:color="000000" w:sz="4" w:space="0"/>
              <w:right w:val="single" w:color="000000" w:sz="4" w:space="0"/>
            </w:tcBorders>
            <w:noWrap/>
            <w:vAlign w:val="center"/>
          </w:tcPr>
          <w:p w14:paraId="1BDDF15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w:t>
            </w:r>
          </w:p>
        </w:tc>
        <w:tc>
          <w:tcPr>
            <w:tcW w:w="1256" w:type="pct"/>
            <w:tcBorders>
              <w:top w:val="single" w:color="000000" w:sz="4" w:space="0"/>
              <w:left w:val="single" w:color="000000" w:sz="4" w:space="0"/>
              <w:bottom w:val="single" w:color="000000" w:sz="4" w:space="0"/>
              <w:right w:val="single" w:color="000000" w:sz="4" w:space="0"/>
            </w:tcBorders>
            <w:noWrap/>
            <w:vAlign w:val="center"/>
          </w:tcPr>
          <w:p w14:paraId="135D1BB5">
            <w:pPr>
              <w:keepNext w:val="0"/>
              <w:keepLines w:val="0"/>
              <w:pageBreakBefore w:val="0"/>
              <w:kinsoku/>
              <w:wordWrap/>
              <w:overflowPunct/>
              <w:topLinePunct w:val="0"/>
              <w:autoSpaceDE/>
              <w:autoSpaceDN/>
              <w:bidi w:val="0"/>
              <w:adjustRightInd/>
              <w:snapToGrid/>
              <w:spacing w:before="0" w:after="0" w:line="360" w:lineRule="auto"/>
              <w:ind w:right="0"/>
              <w:jc w:val="center"/>
              <w:rPr>
                <w:rFonts w:hint="default"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设备中心</w:t>
            </w:r>
          </w:p>
        </w:tc>
        <w:tc>
          <w:tcPr>
            <w:tcW w:w="3348" w:type="pct"/>
            <w:tcBorders>
              <w:top w:val="single" w:color="000000" w:sz="4" w:space="0"/>
              <w:left w:val="single" w:color="000000" w:sz="4" w:space="0"/>
              <w:bottom w:val="single" w:color="000000" w:sz="4" w:space="0"/>
              <w:right w:val="single" w:color="000000" w:sz="4" w:space="0"/>
            </w:tcBorders>
            <w:noWrap w:val="0"/>
            <w:vAlign w:val="center"/>
          </w:tcPr>
          <w:p w14:paraId="2A4AF240">
            <w:pPr>
              <w:keepNext w:val="0"/>
              <w:keepLines w:val="0"/>
              <w:pageBreakBefore w:val="0"/>
              <w:kinsoku/>
              <w:wordWrap/>
              <w:overflowPunct/>
              <w:topLinePunct w:val="0"/>
              <w:autoSpaceDE/>
              <w:autoSpaceDN/>
              <w:bidi w:val="0"/>
              <w:adjustRightInd/>
              <w:snapToGrid/>
              <w:spacing w:before="0" w:after="0" w:line="360" w:lineRule="auto"/>
              <w:ind w:right="0"/>
              <w:jc w:val="both"/>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集成物联网平台数据、与接物联网平台接口联调；</w:t>
            </w:r>
          </w:p>
        </w:tc>
      </w:tr>
      <w:tr w14:paraId="1B0EBD15">
        <w:tblPrEx>
          <w:tblCellMar>
            <w:top w:w="0" w:type="dxa"/>
            <w:left w:w="108" w:type="dxa"/>
            <w:bottom w:w="0" w:type="dxa"/>
            <w:right w:w="108" w:type="dxa"/>
          </w:tblCellMar>
        </w:tblPrEx>
        <w:trPr>
          <w:trHeight w:val="0" w:hRule="atLeast"/>
          <w:jc w:val="center"/>
        </w:trPr>
        <w:tc>
          <w:tcPr>
            <w:tcW w:w="395" w:type="pct"/>
            <w:tcBorders>
              <w:top w:val="single" w:color="000000" w:sz="4" w:space="0"/>
              <w:left w:val="single" w:color="000000" w:sz="4" w:space="0"/>
              <w:bottom w:val="single" w:color="000000" w:sz="4" w:space="0"/>
              <w:right w:val="single" w:color="000000" w:sz="4" w:space="0"/>
            </w:tcBorders>
            <w:noWrap/>
            <w:vAlign w:val="center"/>
          </w:tcPr>
          <w:p w14:paraId="07D25E6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1256" w:type="pct"/>
            <w:tcBorders>
              <w:top w:val="single" w:color="000000" w:sz="4" w:space="0"/>
              <w:left w:val="single" w:color="000000" w:sz="4" w:space="0"/>
              <w:bottom w:val="single" w:color="000000" w:sz="4" w:space="0"/>
              <w:right w:val="single" w:color="000000" w:sz="4" w:space="0"/>
            </w:tcBorders>
            <w:noWrap/>
            <w:vAlign w:val="center"/>
          </w:tcPr>
          <w:p w14:paraId="42A4B387">
            <w:pPr>
              <w:keepNext w:val="0"/>
              <w:keepLines w:val="0"/>
              <w:pageBreakBefore w:val="0"/>
              <w:kinsoku/>
              <w:wordWrap/>
              <w:overflowPunct/>
              <w:topLinePunct w:val="0"/>
              <w:autoSpaceDE/>
              <w:autoSpaceDN/>
              <w:bidi w:val="0"/>
              <w:adjustRightInd/>
              <w:snapToGrid/>
              <w:spacing w:before="0" w:after="0" w:line="360" w:lineRule="auto"/>
              <w:ind w:right="0"/>
              <w:jc w:val="center"/>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物联网平台</w:t>
            </w:r>
          </w:p>
        </w:tc>
        <w:tc>
          <w:tcPr>
            <w:tcW w:w="3348" w:type="pct"/>
            <w:tcBorders>
              <w:top w:val="single" w:color="000000" w:sz="4" w:space="0"/>
              <w:left w:val="single" w:color="000000" w:sz="4" w:space="0"/>
              <w:bottom w:val="single" w:color="000000" w:sz="4" w:space="0"/>
              <w:right w:val="single" w:color="000000" w:sz="4" w:space="0"/>
            </w:tcBorders>
            <w:noWrap w:val="0"/>
            <w:vAlign w:val="center"/>
          </w:tcPr>
          <w:p w14:paraId="57630086">
            <w:pPr>
              <w:keepNext w:val="0"/>
              <w:keepLines w:val="0"/>
              <w:pageBreakBefore w:val="0"/>
              <w:kinsoku/>
              <w:wordWrap/>
              <w:overflowPunct/>
              <w:topLinePunct w:val="0"/>
              <w:autoSpaceDE/>
              <w:autoSpaceDN/>
              <w:bidi w:val="0"/>
              <w:adjustRightInd/>
              <w:snapToGrid/>
              <w:spacing w:before="0" w:after="0" w:line="360" w:lineRule="auto"/>
              <w:ind w:right="0"/>
              <w:jc w:val="both"/>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集成设备中心数据、与接设备中心接口联调；</w:t>
            </w:r>
          </w:p>
        </w:tc>
      </w:tr>
      <w:tr w14:paraId="2F20BD44">
        <w:tblPrEx>
          <w:tblCellMar>
            <w:top w:w="0" w:type="dxa"/>
            <w:left w:w="108" w:type="dxa"/>
            <w:bottom w:w="0" w:type="dxa"/>
            <w:right w:w="108" w:type="dxa"/>
          </w:tblCellMar>
        </w:tblPrEx>
        <w:trPr>
          <w:trHeight w:val="0" w:hRule="atLeast"/>
          <w:jc w:val="center"/>
        </w:trPr>
        <w:tc>
          <w:tcPr>
            <w:tcW w:w="395" w:type="pct"/>
            <w:tcBorders>
              <w:top w:val="single" w:color="000000" w:sz="4" w:space="0"/>
              <w:left w:val="single" w:color="000000" w:sz="4" w:space="0"/>
              <w:bottom w:val="single" w:color="000000" w:sz="4" w:space="0"/>
              <w:right w:val="single" w:color="000000" w:sz="4" w:space="0"/>
            </w:tcBorders>
            <w:noWrap/>
            <w:vAlign w:val="center"/>
          </w:tcPr>
          <w:p w14:paraId="283F9D38">
            <w:pPr>
              <w:keepNext w:val="0"/>
              <w:keepLines w:val="0"/>
              <w:pageBreakBefore w:val="0"/>
              <w:widowControl/>
              <w:kinsoku/>
              <w:wordWrap/>
              <w:overflowPunct/>
              <w:topLinePunct w:val="0"/>
              <w:autoSpaceDE/>
              <w:autoSpaceDN/>
              <w:bidi w:val="0"/>
              <w:adjustRightInd/>
              <w:snapToGrid/>
              <w:spacing w:line="360" w:lineRule="auto"/>
              <w:ind w:firstLine="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256" w:type="pct"/>
            <w:tcBorders>
              <w:top w:val="single" w:color="000000" w:sz="4" w:space="0"/>
              <w:left w:val="single" w:color="000000" w:sz="4" w:space="0"/>
              <w:bottom w:val="single" w:color="000000" w:sz="4" w:space="0"/>
              <w:right w:val="single" w:color="000000" w:sz="4" w:space="0"/>
            </w:tcBorders>
            <w:noWrap/>
            <w:vAlign w:val="center"/>
          </w:tcPr>
          <w:p w14:paraId="5090FC68">
            <w:pPr>
              <w:keepNext w:val="0"/>
              <w:keepLines w:val="0"/>
              <w:pageBreakBefore w:val="0"/>
              <w:kinsoku/>
              <w:wordWrap/>
              <w:overflowPunct/>
              <w:topLinePunct w:val="0"/>
              <w:autoSpaceDE/>
              <w:autoSpaceDN/>
              <w:bidi w:val="0"/>
              <w:adjustRightInd/>
              <w:snapToGrid/>
              <w:spacing w:before="0" w:after="0" w:line="360" w:lineRule="auto"/>
              <w:ind w:right="0"/>
              <w:jc w:val="center"/>
              <w:rPr>
                <w:rFonts w:hint="default" w:ascii="宋体" w:hAnsi="宋体" w:eastAsia="宋体" w:cs="宋体"/>
                <w:i w:val="0"/>
                <w:strike w:val="0"/>
                <w:color w:val="auto"/>
                <w:sz w:val="24"/>
                <w:szCs w:val="24"/>
                <w:highlight w:val="none"/>
                <w:u w:val="none"/>
                <w:lang w:val="en-US" w:eastAsia="zh-CN"/>
              </w:rPr>
            </w:pPr>
            <w:r>
              <w:rPr>
                <w:rFonts w:hint="eastAsia" w:ascii="宋体" w:hAnsi="宋体" w:cs="宋体"/>
                <w:i w:val="0"/>
                <w:strike w:val="0"/>
                <w:color w:val="auto"/>
                <w:sz w:val="24"/>
                <w:szCs w:val="24"/>
                <w:highlight w:val="none"/>
                <w:u w:val="none"/>
                <w:lang w:val="en-US" w:eastAsia="zh-CN"/>
              </w:rPr>
              <w:t>统一视频平台</w:t>
            </w:r>
          </w:p>
        </w:tc>
        <w:tc>
          <w:tcPr>
            <w:tcW w:w="3348" w:type="pct"/>
            <w:tcBorders>
              <w:top w:val="single" w:color="000000" w:sz="4" w:space="0"/>
              <w:left w:val="single" w:color="000000" w:sz="4" w:space="0"/>
              <w:bottom w:val="single" w:color="000000" w:sz="4" w:space="0"/>
              <w:right w:val="single" w:color="000000" w:sz="4" w:space="0"/>
            </w:tcBorders>
            <w:noWrap w:val="0"/>
            <w:vAlign w:val="center"/>
          </w:tcPr>
          <w:p w14:paraId="25B3426B">
            <w:pPr>
              <w:keepNext w:val="0"/>
              <w:keepLines w:val="0"/>
              <w:pageBreakBefore w:val="0"/>
              <w:kinsoku/>
              <w:wordWrap/>
              <w:overflowPunct/>
              <w:topLinePunct w:val="0"/>
              <w:autoSpaceDE/>
              <w:autoSpaceDN/>
              <w:bidi w:val="0"/>
              <w:adjustRightInd/>
              <w:snapToGrid/>
              <w:spacing w:before="0" w:after="0" w:line="360" w:lineRule="auto"/>
              <w:ind w:right="0"/>
              <w:jc w:val="both"/>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集成存量视频数据，与视频主站接口联调。</w:t>
            </w:r>
          </w:p>
        </w:tc>
      </w:tr>
    </w:tbl>
    <w:p w14:paraId="5AF50612">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20" w:name="_Toc2815"/>
      <w:r>
        <w:rPr>
          <w:rFonts w:hint="eastAsia" w:ascii="宋体" w:hAnsi="宋体" w:cs="宋体"/>
          <w:b/>
          <w:color w:val="auto"/>
          <w:sz w:val="24"/>
          <w:szCs w:val="24"/>
          <w:highlight w:val="none"/>
          <w:lang w:val="en-US" w:eastAsia="zh-CN"/>
        </w:rPr>
        <w:t>适应性改造内容</w:t>
      </w:r>
      <w:bookmarkEnd w:id="20"/>
    </w:p>
    <w:p w14:paraId="1B22762E">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default" w:ascii="宋体" w:hAnsi="宋体" w:eastAsia="宋体" w:cs="宋体"/>
          <w:b/>
          <w:color w:val="auto"/>
          <w:sz w:val="24"/>
          <w:szCs w:val="24"/>
          <w:highlight w:val="none"/>
          <w:lang w:val="en-US" w:eastAsia="zh-CN"/>
        </w:rPr>
      </w:pPr>
      <w:bookmarkStart w:id="21" w:name="_Toc29823"/>
      <w:r>
        <w:rPr>
          <w:rFonts w:hint="eastAsia" w:ascii="宋体" w:hAnsi="宋体" w:eastAsia="宋体" w:cs="宋体"/>
          <w:b/>
          <w:color w:val="auto"/>
          <w:sz w:val="24"/>
          <w:szCs w:val="24"/>
          <w:highlight w:val="none"/>
          <w:lang w:val="en-US" w:eastAsia="zh-CN"/>
        </w:rPr>
        <w:t>设备管理</w:t>
      </w:r>
      <w:bookmarkEnd w:id="21"/>
    </w:p>
    <w:p w14:paraId="25F076A9">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设备台账关联管理</w:t>
      </w:r>
    </w:p>
    <w:p w14:paraId="731864BF">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1、通过统一物联网平台MQS北向接口获取设备产品基本信息和设备性能技术参数信息，同步获取视联平台摄像机信息数据，通过列表形式展示物联和视联平台台账。</w:t>
      </w:r>
    </w:p>
    <w:p w14:paraId="06B815BD">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2、支持对物联视联设备信息进行编辑修改，关联物联视联设备信息，合并重组为输电运行支持系统设备信息。</w:t>
      </w:r>
    </w:p>
    <w:p w14:paraId="7B4507A8">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3、支持对厂商、安装方向、运维班组、责任用户、安装日期、资产信息、卡号信息、设备类型等信息进行录入，并绑定已关联的设备信息，支持录入信息的修改、不可修改状态选择。</w:t>
      </w:r>
    </w:p>
    <w:p w14:paraId="1705FCD9">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4、获取设备中心一次设备数据，通过树形结构展示一次设备数据，支持对设备信息进行绑定、解绑等操作，支持对已关联台账信息导出。</w:t>
      </w:r>
    </w:p>
    <w:p w14:paraId="451565CE">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设备调试验收管理</w:t>
      </w:r>
    </w:p>
    <w:p w14:paraId="35E38BDF">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bookmarkStart w:id="22" w:name="_Toc16639"/>
      <w:bookmarkStart w:id="23" w:name="_Toc21083"/>
      <w:r>
        <w:rPr>
          <w:rFonts w:hint="eastAsia" w:ascii="宋体" w:hAnsi="宋体" w:eastAsia="宋体" w:cs="宋体"/>
          <w:i w:val="0"/>
          <w:strike w:val="0"/>
          <w:color w:val="auto"/>
          <w:sz w:val="24"/>
          <w:szCs w:val="24"/>
          <w:highlight w:val="none"/>
          <w:u w:val="none"/>
        </w:rPr>
        <w:t>1、通过列表形式展示调试设备台账信息，包括生产厂家、在线状态、操作类型、调试状态等信息，支持模糊</w:t>
      </w:r>
      <w:r>
        <w:rPr>
          <w:rFonts w:hint="eastAsia" w:ascii="宋体" w:hAnsi="宋体" w:cs="宋体"/>
          <w:i w:val="0"/>
          <w:strike w:val="0"/>
          <w:color w:val="auto"/>
          <w:sz w:val="24"/>
          <w:szCs w:val="24"/>
          <w:highlight w:val="none"/>
          <w:u w:val="none"/>
          <w:lang w:val="en-US" w:eastAsia="zh-CN"/>
        </w:rPr>
        <w:t>搜索</w:t>
      </w:r>
      <w:r>
        <w:rPr>
          <w:rFonts w:hint="eastAsia" w:ascii="宋体" w:hAnsi="宋体" w:eastAsia="宋体" w:cs="宋体"/>
          <w:i w:val="0"/>
          <w:strike w:val="0"/>
          <w:color w:val="auto"/>
          <w:sz w:val="24"/>
          <w:szCs w:val="24"/>
          <w:highlight w:val="none"/>
          <w:u w:val="none"/>
        </w:rPr>
        <w:t>查询并展示调试设备的图片、视频、量测等数据情况。</w:t>
      </w:r>
    </w:p>
    <w:p w14:paraId="4F595D1C">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2、支持通过列表形式展示所有调试设备的调试记录，包括调试状态、审核状态、审核时间等信息。</w:t>
      </w:r>
    </w:p>
    <w:p w14:paraId="0FE199D5">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3、支持通过模糊搜索或条件查询的方式，搜索调试完成的设备，通过页面点击提供调试审批流程，并推送设备信息至待上线状态列表中。</w:t>
      </w:r>
    </w:p>
    <w:p w14:paraId="6A061E0F">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4、支持对调试已完成的设备列表进行展示，支持对设备上线状态进行审批，审批后台账会进入至投运状态，并记录审批人员信息、审批结果、审批备注、审批时间等信息，可通过台账检索关联一次设备台账并展示在系统页面机构树中。</w:t>
      </w:r>
    </w:p>
    <w:bookmarkEnd w:id="22"/>
    <w:bookmarkEnd w:id="23"/>
    <w:p w14:paraId="0A181F41">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设备维护信息管理</w:t>
      </w:r>
    </w:p>
    <w:p w14:paraId="5D00BC11">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bookmarkStart w:id="24" w:name="_Toc1491"/>
      <w:bookmarkStart w:id="25" w:name="_Toc22066"/>
      <w:r>
        <w:rPr>
          <w:rFonts w:hint="eastAsia" w:ascii="宋体" w:hAnsi="宋体" w:eastAsia="宋体" w:cs="宋体"/>
          <w:i w:val="0"/>
          <w:strike w:val="0"/>
          <w:color w:val="auto"/>
          <w:sz w:val="24"/>
          <w:szCs w:val="24"/>
          <w:highlight w:val="none"/>
          <w:u w:val="none"/>
        </w:rPr>
        <w:t>1、支持录入线路杆塔、责任人、所属厂家、缺陷发生时间、运维时间、缺陷类型、处理措施等信息，并对录入的信息通过列表的形式进行展示，支持对缺陷类型进行检索，支持设备运维记录导出。</w:t>
      </w:r>
    </w:p>
    <w:p w14:paraId="52D92F7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2、支持修改设备的投运状态，可将投运设备修改为迁改、报备删除、拆塔维修等状态，非</w:t>
      </w:r>
      <w:r>
        <w:rPr>
          <w:rFonts w:hint="eastAsia" w:ascii="宋体" w:hAnsi="宋体" w:cs="宋体"/>
          <w:i w:val="0"/>
          <w:strike w:val="0"/>
          <w:color w:val="auto"/>
          <w:sz w:val="24"/>
          <w:szCs w:val="24"/>
          <w:highlight w:val="none"/>
          <w:u w:val="none"/>
          <w:lang w:val="en-US" w:eastAsia="zh-CN"/>
        </w:rPr>
        <w:t>投</w:t>
      </w:r>
      <w:r>
        <w:rPr>
          <w:rFonts w:hint="eastAsia" w:ascii="宋体" w:hAnsi="宋体" w:eastAsia="宋体" w:cs="宋体"/>
          <w:i w:val="0"/>
          <w:strike w:val="0"/>
          <w:color w:val="auto"/>
          <w:sz w:val="24"/>
          <w:szCs w:val="24"/>
          <w:highlight w:val="none"/>
          <w:u w:val="none"/>
        </w:rPr>
        <w:t>运状态设备不在关联一次设备台账，支持设备投运状态记录导出。</w:t>
      </w:r>
    </w:p>
    <w:bookmarkEnd w:id="24"/>
    <w:bookmarkEnd w:id="25"/>
    <w:p w14:paraId="2D32DC3D">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设备资产信息管理</w:t>
      </w:r>
    </w:p>
    <w:p w14:paraId="2524B7E9">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bookmarkStart w:id="26" w:name="_Toc19876"/>
      <w:bookmarkStart w:id="27" w:name="_Toc4870"/>
      <w:r>
        <w:rPr>
          <w:rFonts w:hint="eastAsia" w:ascii="宋体" w:hAnsi="宋体" w:eastAsia="宋体" w:cs="宋体"/>
          <w:i w:val="0"/>
          <w:strike w:val="0"/>
          <w:color w:val="auto"/>
          <w:sz w:val="24"/>
          <w:szCs w:val="24"/>
          <w:highlight w:val="none"/>
          <w:u w:val="none"/>
        </w:rPr>
        <w:t>1、支持录入设备资产编码信息，关联设备信息数据，统一展示设备资产信息，支持对设备资产进行检索、修改，支持项目资产信息导出。</w:t>
      </w:r>
    </w:p>
    <w:p w14:paraId="215C9A64">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录入项目来源信息，包括项目年限、项目类型（框招、迁改、基建、其他）、项目名称等信息，支持对已录入的设备项目来源进行展示，支持对项目名称、年限、类型进行检索筛选，支持项目来源信息导出。</w:t>
      </w:r>
    </w:p>
    <w:p w14:paraId="181E905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3、支持录入设备质保期限、安装时间信息，通过类别形式展示设备质保期限信息，支持对质保期限进行范围搜索，并支持导出时间范围内的设备台账信息。</w:t>
      </w:r>
    </w:p>
    <w:p w14:paraId="3BCBD4A0">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4、支持录入运营商信息、手动或自动录入卡号信息，支持手动或定时获取设备卡号信息，并在系统上进行卡号维护更新，支持对卡号检索设备信息。</w:t>
      </w:r>
    </w:p>
    <w:p w14:paraId="0DDF77E8">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设备厂商信息管理</w:t>
      </w:r>
    </w:p>
    <w:p w14:paraId="2DCEAA9E">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1、支持录入厂家基本信息，包括厂商全称、厂商简称、厂商地址、联系方式、手机号码、联系人，根据厂商统计接入设备数量，支持对厂商基本信息进行删除、修改、查询操作。</w:t>
      </w:r>
    </w:p>
    <w:p w14:paraId="641D1E36">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2、支持对已录入系统的厂商添加产品信息，支持录入产品简称、产品全称、产品型号，并关联厂商设备信息，统计并展示各产品设备数量，支持对产品信息进行删除、修改、查询操作。</w:t>
      </w:r>
    </w:p>
    <w:p w14:paraId="393413E8">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default" w:ascii="宋体" w:hAnsi="宋体" w:eastAsia="宋体" w:cs="宋体"/>
          <w:b/>
          <w:color w:val="auto"/>
          <w:sz w:val="24"/>
          <w:szCs w:val="24"/>
          <w:highlight w:val="none"/>
          <w:lang w:val="en-US" w:eastAsia="zh-CN"/>
        </w:rPr>
      </w:pPr>
      <w:bookmarkStart w:id="28" w:name="_Toc15493"/>
      <w:r>
        <w:rPr>
          <w:rFonts w:hint="default" w:ascii="宋体" w:hAnsi="宋体" w:eastAsia="宋体" w:cs="宋体"/>
          <w:b/>
          <w:color w:val="auto"/>
          <w:sz w:val="24"/>
          <w:szCs w:val="24"/>
          <w:highlight w:val="none"/>
          <w:lang w:val="en-US" w:eastAsia="zh-CN"/>
        </w:rPr>
        <w:t>运行监测</w:t>
      </w:r>
      <w:bookmarkEnd w:id="28"/>
    </w:p>
    <w:p w14:paraId="0B93FDF5">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设备运行数据监盘</w:t>
      </w:r>
    </w:p>
    <w:p w14:paraId="4D3FBEE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1、支持通过饼状图的方式显示投运、退运、未投运状态设备数量及占比，支持通过图形点击跳转各投运状态的详细设备台账信息，支持导出各投运状态的设备台账信息。</w:t>
      </w:r>
    </w:p>
    <w:p w14:paraId="6F95D4BB">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2、支持通过饼状图的方式显示已投运设备的在线、离线状态设备数量及占比，支持通过图形点击跳转在线离线状态的详细设备台账信息，支持导出在线离线状态的设备台账信息。</w:t>
      </w:r>
    </w:p>
    <w:p w14:paraId="6F7CCC0E">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3、支持通过饼状图的方式显示已投运设备的低电量状态设备数量及占比，支持通过图形点击跳转低电量状态的详细设备台账信息，支持导出电量各百分比范围内的设备台账信息。</w:t>
      </w:r>
    </w:p>
    <w:p w14:paraId="0EC0EDF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4、支持通过饼状图的方式显示已投运设备的低信号强度状态设备数量及占比，支持通过图形点击跳转低信号强度状态的详细设备台账信息，支持导出低信号强度状态的设备台账信息。</w:t>
      </w:r>
    </w:p>
    <w:p w14:paraId="556589B7">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5、支持统计并实时展示当天已抓拍的图片总数。</w:t>
      </w:r>
    </w:p>
    <w:p w14:paraId="4D338BC5">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rPr>
        <w:t>6、按设备类型、告警数据、厂商设备、设备在线率、地市局设备在线率统计</w:t>
      </w:r>
      <w:r>
        <w:rPr>
          <w:rFonts w:hint="eastAsia" w:ascii="宋体" w:hAnsi="宋体" w:eastAsia="宋体" w:cs="宋体"/>
          <w:i w:val="0"/>
          <w:strike w:val="0"/>
          <w:color w:val="auto"/>
          <w:sz w:val="24"/>
          <w:szCs w:val="24"/>
          <w:highlight w:val="none"/>
          <w:u w:val="none"/>
          <w:lang w:eastAsia="zh-CN"/>
        </w:rPr>
        <w:t>。</w:t>
      </w:r>
    </w:p>
    <w:p w14:paraId="7412FE6C">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设备图片数据管理</w:t>
      </w:r>
    </w:p>
    <w:p w14:paraId="1D77FA78">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1、支持对装置抓拍图片进行多图页面展示，并支持筛选每页图片显示数量。支持自动轮播功能，对告警图片进行高亮显示和声音提醒，支持对轮播速度进行选择控制。支持对图片进行标定，支持多边形、四边形、三角形、直线、箭头、文本进行标注，支持多种颜色以及线条粗细进行选择。支持手动告警功能，对漏告警图片进行手动告警，并录入责任人、告警类型、告警描述等信息。支持对图片进行日期、预置位、类型等检索展示。</w:t>
      </w:r>
    </w:p>
    <w:p w14:paraId="781ABA6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统计并展示线路巡检记录，支持对该线路内设备数量、在线离线情况、设备类型等数据进行统计，支持对监控点类型进行筛选过滤，并支持以报告的形式导出线路巡检信息，包括线路历史缩略图、告警情况、巡检时间、监控点类型等数据，支持导出原图。</w:t>
      </w:r>
    </w:p>
    <w:p w14:paraId="3DFDD3D4">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设备视频数据管理</w:t>
      </w:r>
    </w:p>
    <w:p w14:paraId="3C23C76A">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1、获取视联平台实时视频数据，通过重新编解码播放视频，支撑实时视频播放、云台控制、预置位设置、名称设置、删除、修改，支持抓拍实时视频画面保存图片至本地，支持实时对视频进行录像保存录像文件至本地，支持3D控球、镜头缩放、聚焦等功能。</w:t>
      </w:r>
    </w:p>
    <w:p w14:paraId="22DDB228">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2、支持展示设备录制上报的短视频文件，通过点击播放按钮直接播放短视频，支持下载短视频，支持短视频类型、时间筛选查询。</w:t>
      </w:r>
    </w:p>
    <w:p w14:paraId="3DE04E2F">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设备告警数据管理</w:t>
      </w:r>
    </w:p>
    <w:p w14:paraId="18CDC09D">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1、通过列表和多图形式显示设备告警信息，支持通过告警时间、智能分析类型、上报类型、图片类型、智能分析、告警来源、确认状态、目标检测、告警分值、关注点位等进行筛选查询并展示查询结果。支持对告警信息进行评分，可由低至高或由高至低显示告警信息，支持显示告警状态、重复次数信息，支持点击重复次数显示历史重复告警信息和图片。支持对告警进行处置，处置措施包括告警类型、忽略此告警。批量处理重复告警、描述等，支持一键处置整页告警，支持多选告警一键处置。支持通过告警信息关联图片、视频信息，通过点击跳转对应详情页面。支持添加设备至关注设备、支持告警图片放大、缩小、复位操作，支持下载告警信息。</w:t>
      </w:r>
    </w:p>
    <w:p w14:paraId="483A4DFC">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2、支持通过列表和多图的方式显示历史误告警信息和告警图片，支持对忽略告警图片进行筛选过滤，支持导出误告警信息。</w:t>
      </w:r>
    </w:p>
    <w:p w14:paraId="6AA789A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3、支持通过列表和多图的方式显示忽略告警信息，通过点击忽略告警查看当前配置的忽略告警情况，支持配置忽略类型、忽略开始时间、忽略截止时间等信息，支持选择忽略开始时间、忽略时长进行配置，支持导出忽略告警信息，支持查询有效、失效忽略告警信息。</w:t>
      </w:r>
    </w:p>
    <w:p w14:paraId="3F0D8C85">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4、支持通过列表和多图的形式显示关注的告警信息，支持显示关注时间、关注人员等信息，支持移除关注告警信息，支持模糊、时间查询关注告警信息。</w:t>
      </w:r>
    </w:p>
    <w:p w14:paraId="40D55F02">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设备采集数据管理</w:t>
      </w:r>
    </w:p>
    <w:p w14:paraId="3C7E5E7C">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1、支持通过多层级曲线图的方式显示设备剩余电量、工作温度、光伏阵列电压、光伏阵列电流、蓄电池电压、蓄电池电流、负载电压、负载电流信息，支持切换列表形式显示剩余电量、工作温度、光伏阵列电压、光伏阵列电流、蓄电池电压、蓄电池电流、负载电压、负载电流信息。支持日期筛选显示电量采集数据信息，支持导出电量采集数据信息。</w:t>
      </w:r>
    </w:p>
    <w:p w14:paraId="31F9314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2、支持通过多层级曲线图的方式显示设备温度、湿度、风向、风速、降雨强度、降雨量、气压、日辐射量信息，支持切换列表形式显示温度、湿度、风向、风速、降雨强度、降雨量、气压、日辐射量信息。支持日期筛选显示环境采集数据信息，支持导出环境采集数据信息。</w:t>
      </w:r>
    </w:p>
    <w:p w14:paraId="470AA6C8">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3、支持以列表形式显示导线温度、导线振动、导线弧垂、舞动振幅信息，支持日期筛选显示导线采集数据信息，支持导出导线采集数据信息。</w:t>
      </w:r>
    </w:p>
    <w:p w14:paraId="4424F3F5">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4、支持以列表形式显示杆塔振动、杆塔倾斜、导地线信息，支持日期筛选显示杆塔采集数据信息，支持导出杆塔采集数据信息，支持多层级曲线图的方式显示杆塔倾斜曲线变化情况，并标记最高倾斜值。</w:t>
      </w:r>
    </w:p>
    <w:p w14:paraId="4EB54FFD">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地图定位</w:t>
      </w:r>
    </w:p>
    <w:p w14:paraId="43852239">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rPr>
      </w:pPr>
      <w:r>
        <w:rPr>
          <w:rFonts w:hint="eastAsia" w:ascii="宋体" w:hAnsi="宋体" w:eastAsia="宋体" w:cs="宋体"/>
          <w:i w:val="0"/>
          <w:strike w:val="0"/>
          <w:color w:val="auto"/>
          <w:sz w:val="24"/>
          <w:szCs w:val="24"/>
          <w:highlight w:val="none"/>
          <w:u w:val="none"/>
        </w:rPr>
        <w:t>接入南网智瞰地图数据，通过页面展示地图页面，支持不同层级缩放加载显示，支持基于装置经纬度信息关联南网智瞰地图数据在地图层级上叠加摄像头图片，支持通过图表点击关联图片、视频、量测、配置管理等功能。</w:t>
      </w:r>
    </w:p>
    <w:p w14:paraId="5AE74DEC">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default" w:ascii="宋体" w:hAnsi="宋体" w:eastAsia="宋体" w:cs="宋体"/>
          <w:b/>
          <w:color w:val="auto"/>
          <w:sz w:val="24"/>
          <w:szCs w:val="24"/>
          <w:highlight w:val="none"/>
          <w:lang w:val="en-US" w:eastAsia="zh-CN"/>
        </w:rPr>
      </w:pPr>
      <w:bookmarkStart w:id="29" w:name="_Toc4948"/>
      <w:r>
        <w:rPr>
          <w:rFonts w:hint="eastAsia" w:ascii="宋体" w:hAnsi="宋体" w:eastAsia="宋体" w:cs="宋体"/>
          <w:b/>
          <w:color w:val="auto"/>
          <w:sz w:val="24"/>
          <w:szCs w:val="24"/>
          <w:highlight w:val="none"/>
          <w:lang w:val="en-US" w:eastAsia="zh-CN"/>
        </w:rPr>
        <w:t>智能运维</w:t>
      </w:r>
      <w:bookmarkEnd w:id="29"/>
    </w:p>
    <w:p w14:paraId="6A7F40CA">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设备基础参数</w:t>
      </w:r>
    </w:p>
    <w:p w14:paraId="2826BA1E">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1、支持查询设备当前系统时间，支持选择手动校准或者平台自动校准进行设备系统时间配置。</w:t>
      </w:r>
    </w:p>
    <w:p w14:paraId="258BD511">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2、支持手动下发重启设备命令，支持下发恢复设备默认参数，支持下发设备休眠命令，命令下发后在页面显示响应失败或成功。</w:t>
      </w:r>
    </w:p>
    <w:p w14:paraId="54D8CDBD">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3、支持查询app程序的版本号、产品型号、产品序列号、内核版本、设备类型（0:枪机，1：球机）、终端设备通道号对应的当前使用分辨率json数组、终端设备通道号（下标从1开始）信息，查询后在页面显示响应失败或成功。</w:t>
      </w:r>
    </w:p>
    <w:p w14:paraId="54A7910C">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图像采集参数</w:t>
      </w:r>
    </w:p>
    <w:p w14:paraId="26A11316">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1、支持查询图像采集参数，数据内容包含通道1参数、颜色选择、图像大小、亮度、对比度、饱和度、通道2参数、颜色选择、图像大小、亮度、对比度饱和度，通道数量依次类推，查询后在页面显示响应失败或成功。</w:t>
      </w:r>
    </w:p>
    <w:p w14:paraId="418F4C16">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支持配置图像采集参数，配置内容如上，配置命令下发时需下发密码，设备进行校验，返回配置是否成功，并在页面进行显示。</w:t>
      </w:r>
    </w:p>
    <w:p w14:paraId="5C890FC0">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2、支持查询设备定时抓拍任务信息，数据内容包含通道号、组数、配置参数数组、预置位（取值：0~255，默认值：0）、小时、分钟，查询后在页面显示响应失败或成功。支持配置设备定时抓拍任务，配置内容如上，配置命令下发时需下发密码，设备进行校验，返回配置是否成功，并在页面进行显示。</w:t>
      </w:r>
    </w:p>
    <w:p w14:paraId="5F46994A">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视频采集参数</w:t>
      </w:r>
    </w:p>
    <w:p w14:paraId="6D0246B8">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1、视频编码参数查询配置</w:t>
      </w:r>
    </w:p>
    <w:p w14:paraId="0FC839FB">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支持配置设备视频编码参数信息，配置内容如上，配置命令下发时需下发密码，设备进行校验，返回配置是否成功，并在页面进行显示。</w:t>
      </w:r>
    </w:p>
    <w:p w14:paraId="7B0954E0">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2、设备OSD查询配置</w:t>
      </w:r>
    </w:p>
    <w:p w14:paraId="78C1ED89">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查询设备OSD信息，数据内容包含通道号：1开始计数、时间显示标识（0：显示，1：不显示，默认值为0）、时间标识位置（X位置；Y位置）、文本显示标识（0：显示，1：不显示，默认值为1）、文本内容、字号、字体颜色、文本标识位置（X位置；Y位置），查询后在页面显示响应失败或成功。</w:t>
      </w:r>
    </w:p>
    <w:p w14:paraId="40AC0D1F">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3、录像状态查询</w:t>
      </w:r>
    </w:p>
    <w:p w14:paraId="38D18662">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查看设备录像状态信息，数据内容包含通道号：1开始计数、通道类型：（0：主通道，1：从通道，2：第3码流）、结果码（0，表示成功，才会有后面的录像状态；1：参数错误，例如通道号不正确）、录像状态0：未录像，1：录像中，查询后在页面显示响应失败或成功。</w:t>
      </w:r>
    </w:p>
    <w:p w14:paraId="22A2A369">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4、录像策略查询配置</w:t>
      </w:r>
    </w:p>
    <w:p w14:paraId="790018F2">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支持配置设备录像策略，配置内容如上，配置命令下发时需下发密码，设备进行校验，返回配置是否成功，并在页面进行显示。</w:t>
      </w:r>
    </w:p>
    <w:p w14:paraId="0BFB62BE">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5、巡航参数查询配置</w:t>
      </w:r>
    </w:p>
    <w:p w14:paraId="763B48FD">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支持查看设备巡航参数信息，数据内容包含通道号、配置指令（1添加、2删除、3修改）、巡航组号、巡航点序号、巡航预置位号、巡航停留时间(秒)、巡航速率，查询后在页面显示响应失败或成功。</w:t>
      </w:r>
    </w:p>
    <w:p w14:paraId="5C963BFD">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6、巡检参数查询配置</w:t>
      </w:r>
    </w:p>
    <w:p w14:paraId="7705C2EE">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查看设备巡检参数信息，数据内容包含通道号从1开始计数、添加，删除，修改巡检点、巡检组号、巡检点序号从1开始计数，取值范围1-64，查询后在页面显示响应失败或成功。支持配置设备巡检参数，配置内容如上，配置命令下发时需下发密码，设备进行校验，返回配置是否成功，并在页面进行显示。</w:t>
      </w:r>
    </w:p>
    <w:p w14:paraId="0B02A405">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智能分析参数</w:t>
      </w:r>
    </w:p>
    <w:p w14:paraId="1E3F0FBA">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1、支持查看设备智能分析类型信息，数据内容包含通道号、支持类型数量、类型列表、类型，查询后在页面显示响应失败或成功。</w:t>
      </w:r>
    </w:p>
    <w:p w14:paraId="4CF89B27">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2、支持查看设备智能分析联动参数信息，数据内容包含通道号、预置位号、联动数目、联动参数数组、告警类型、告警联动动作、联动参数1、联动参数2，查询后在页面显示响应失败或成功。</w:t>
      </w:r>
    </w:p>
    <w:p w14:paraId="72059FF2">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点云测距参数</w:t>
      </w:r>
    </w:p>
    <w:p w14:paraId="3113FD61">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支持查看设备点云测距参数信息，数据内容包含通道号：指视频通道，1开始计数、检测使能（0不检测1检测）、高度告警阈值（单位：米）、告警间隔（单位：分钟），查询后在页面显示响应失败或成功。</w:t>
      </w:r>
    </w:p>
    <w:p w14:paraId="16B046C6">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支持配置设备点云测距参数，配置内容如上，配置命令下发时需下发密码，设备进行校验，返回配置是否成功，并在页面进行显示。</w:t>
      </w:r>
    </w:p>
    <w:p w14:paraId="679697E7">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热成像参数管理</w:t>
      </w:r>
    </w:p>
    <w:p w14:paraId="5FFC0686">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查看设备热成像基本参数信息，数据内容包含通道号、温度单位(0:摄氏1:华氏，默认:0摄氏)、显示颜色(0:白热1:黑热2:铁红3:熔岩4:彩虹5:铁灰6:红热7:彩虹2默认：0白热)、热点追踪、目标反射温度（保留小数点后两位）、显示色板(0：否1：是)、环境温度(取值范围[-100,200]，℃)（保留小数点后两位）、环境湿度(取值范围[0,100]，%)（保留小数点后两位）、目标发射率（[0,1.0]，可根据监测对象如绝缘子、线夹、套管类型设置）（保留小数点后两位）、测温距离（摄像头至测温区域中心点距离，单位：米）、快门校正间隔（单位秒，30~300）、温度补偿值（环境温度对热成像测温的补偿）（保留小数点后两位）、微气象温湿度参数（0：否1：是），查询后在页面显示响应失败或成功。</w:t>
      </w:r>
    </w:p>
    <w:p w14:paraId="2D535876">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支持配置设备热成像基本参数，配置内容如上，配置命令下发时需下发密码，设备进行校验，返回配置是否成功，并在页面进行显示。</w:t>
      </w:r>
    </w:p>
    <w:p w14:paraId="29691758">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OTA远程升级</w:t>
      </w:r>
    </w:p>
    <w:p w14:paraId="6C80B6E2">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支持通过点击或者</w:t>
      </w:r>
      <w:r>
        <w:rPr>
          <w:rFonts w:hint="eastAsia" w:ascii="宋体" w:hAnsi="宋体" w:cs="宋体"/>
          <w:i w:val="0"/>
          <w:strike w:val="0"/>
          <w:color w:val="auto"/>
          <w:sz w:val="24"/>
          <w:szCs w:val="24"/>
          <w:highlight w:val="none"/>
          <w:u w:val="none"/>
          <w:lang w:val="en-US" w:eastAsia="zh-CN"/>
        </w:rPr>
        <w:t>拖</w:t>
      </w:r>
      <w:r>
        <w:rPr>
          <w:rFonts w:hint="eastAsia" w:ascii="宋体" w:hAnsi="宋体" w:eastAsia="宋体" w:cs="宋体"/>
          <w:i w:val="0"/>
          <w:strike w:val="0"/>
          <w:color w:val="auto"/>
          <w:sz w:val="24"/>
          <w:szCs w:val="24"/>
          <w:highlight w:val="none"/>
          <w:u w:val="none"/>
          <w:lang w:val="en-US" w:eastAsia="zh-CN"/>
        </w:rPr>
        <w:t>拽，将升级文件上传至平台，支持扩展格式为ram、img、zip、apk、bin等多种格式文件上传，通过表格形式显示升级文件列表，支持通过模糊搜索升级文件名称，支持删除升级文件。</w:t>
      </w:r>
    </w:p>
    <w:p w14:paraId="3775839F">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设备日志管理</w:t>
      </w:r>
    </w:p>
    <w:p w14:paraId="656C605B">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支持查看设备设备日志列表信息，数据内容包含文件个数、文件列表信息、文件类型、文件名、文件生成时间、文件大小，查询后在页面显示响应失败或成功。</w:t>
      </w:r>
    </w:p>
    <w:p w14:paraId="41A2250D">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批量维护管理</w:t>
      </w:r>
    </w:p>
    <w:p w14:paraId="46D93F29">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支持通过批量维护模块，对设备的参数查询、配置进行批量化操作，支持设定启动批量维护任务时间或者立即执行，通过点击任务可以查看批量任务进度情况，以及查询和配置成功或失败情况。</w:t>
      </w:r>
    </w:p>
    <w:p w14:paraId="2AA1A72B">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30" w:name="_Toc3310"/>
      <w:r>
        <w:rPr>
          <w:rFonts w:hint="eastAsia" w:ascii="宋体" w:hAnsi="宋体" w:eastAsia="宋体" w:cs="宋体"/>
          <w:b/>
          <w:color w:val="auto"/>
          <w:sz w:val="24"/>
          <w:szCs w:val="24"/>
          <w:highlight w:val="none"/>
          <w:lang w:val="en-US" w:eastAsia="zh-CN"/>
        </w:rPr>
        <w:t>运行评价</w:t>
      </w:r>
      <w:bookmarkEnd w:id="30"/>
    </w:p>
    <w:p w14:paraId="6D7AAB7A">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设备效能数据钻取</w:t>
      </w:r>
    </w:p>
    <w:p w14:paraId="2541332A">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支持对设备效能数据进行钻取，显示设备保有量、技术支持项得分细则，支持对数据不断钻取，由设备总数钻取至单个设备详细数据页面，每个钻取页面均支持导出，以及显示得分计算方式、计算项情况。</w:t>
      </w:r>
    </w:p>
    <w:p w14:paraId="32CCA72E">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设备质量评价监盘</w:t>
      </w:r>
    </w:p>
    <w:p w14:paraId="0E7EAA5F">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对各厂商装置从设备效能、设备成本、设备风险等数据进行统计，并根据对应计算规则按照统计上月各项指标得分，展示各厂家得分信息至页面上，通过由高至低进行排序显示，并支持对分数进行详情钻取，显示详细得分数据。</w:t>
      </w:r>
    </w:p>
    <w:p w14:paraId="01000C4D">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设备成本数据钻取</w:t>
      </w:r>
    </w:p>
    <w:p w14:paraId="036F5F8C">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对设备效能数据进行钻取，显示设备可用性、设备一次缺陷、设备重大缺陷、设备紧急缺陷项得分细则，支持对数据不断钻取，由设备总数钻取至单个设备详细数据页面，每个钻取页面均支持导出，以及显示得分计算方式、计算项情况。</w:t>
      </w:r>
    </w:p>
    <w:p w14:paraId="237B141B">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设备风险数据钻取</w:t>
      </w:r>
    </w:p>
    <w:p w14:paraId="3295D115">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对设备效能数据进行钻取，显示设备事故、设备事件、批次性缺陷项得分细则，支持对数据不断钻取，由设备总数钻取至单个设备详细数据页面，每个钻取页面均支持导出，以及显示得分计算方式、计算项情况。</w:t>
      </w:r>
    </w:p>
    <w:p w14:paraId="2383E12E">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31" w:name="_Toc17914"/>
      <w:r>
        <w:rPr>
          <w:rFonts w:hint="eastAsia" w:ascii="宋体" w:hAnsi="宋体" w:eastAsia="宋体" w:cs="宋体"/>
          <w:b/>
          <w:color w:val="auto"/>
          <w:sz w:val="24"/>
          <w:szCs w:val="24"/>
          <w:highlight w:val="none"/>
          <w:lang w:val="en-US" w:eastAsia="zh-CN"/>
        </w:rPr>
        <w:t>台账同步</w:t>
      </w:r>
      <w:bookmarkEnd w:id="31"/>
    </w:p>
    <w:p w14:paraId="11E6A45F">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通过使用物联平台kafka消息中间件，将台账更改信息推送至kafka消息队列上，物联视联平台以及各边侧系统通过消费kafka中间件数据，同步台账信息。</w:t>
      </w:r>
    </w:p>
    <w:bookmarkEnd w:id="26"/>
    <w:bookmarkEnd w:id="27"/>
    <w:p w14:paraId="573E18BF">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kern w:val="2"/>
          <w:sz w:val="24"/>
          <w:szCs w:val="24"/>
          <w:highlight w:val="none"/>
          <w:lang w:val="en-US" w:eastAsia="zh-CN" w:bidi="ar-SA"/>
        </w:rPr>
      </w:pPr>
      <w:bookmarkStart w:id="32" w:name="_Toc2424"/>
      <w:r>
        <w:rPr>
          <w:rFonts w:hint="eastAsia" w:ascii="宋体" w:hAnsi="宋体" w:cs="宋体"/>
          <w:b/>
          <w:color w:val="auto"/>
          <w:kern w:val="2"/>
          <w:sz w:val="24"/>
          <w:szCs w:val="24"/>
          <w:highlight w:val="none"/>
          <w:lang w:val="en-US" w:eastAsia="zh-CN" w:bidi="ar-SA"/>
        </w:rPr>
        <w:t>视频测距</w:t>
      </w:r>
      <w:bookmarkEnd w:id="32"/>
    </w:p>
    <w:p w14:paraId="0BE2C8F2">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多目测距数据接入</w:t>
      </w:r>
    </w:p>
    <w:p w14:paraId="55CD8096">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ascii="宋体" w:hAnsi="宋体" w:eastAsia="宋体" w:cs="宋体"/>
          <w:sz w:val="24"/>
          <w:szCs w:val="24"/>
        </w:rPr>
      </w:pPr>
      <w:r>
        <w:rPr>
          <w:rFonts w:hint="eastAsia" w:ascii="宋体" w:hAnsi="宋体" w:cs="宋体"/>
          <w:sz w:val="24"/>
          <w:szCs w:val="24"/>
          <w:lang w:val="en-US" w:eastAsia="zh-CN"/>
        </w:rPr>
        <w:t>支持集成基于</w:t>
      </w:r>
      <w:r>
        <w:rPr>
          <w:rFonts w:ascii="宋体" w:hAnsi="宋体" w:eastAsia="宋体" w:cs="宋体"/>
          <w:sz w:val="24"/>
          <w:szCs w:val="24"/>
        </w:rPr>
        <w:t>多目视觉的三维建模与测距算法</w:t>
      </w:r>
      <w:r>
        <w:rPr>
          <w:rFonts w:hint="eastAsia" w:ascii="宋体" w:hAnsi="宋体" w:cs="宋体"/>
          <w:sz w:val="24"/>
          <w:szCs w:val="24"/>
          <w:lang w:val="en-US" w:eastAsia="zh-CN"/>
        </w:rPr>
        <w:t>，</w:t>
      </w:r>
      <w:r>
        <w:rPr>
          <w:rFonts w:ascii="宋体" w:hAnsi="宋体" w:eastAsia="宋体" w:cs="宋体"/>
          <w:sz w:val="24"/>
          <w:szCs w:val="24"/>
        </w:rPr>
        <w:t>通过多目终端设备采集</w:t>
      </w:r>
      <w:r>
        <w:rPr>
          <w:rFonts w:hint="eastAsia" w:ascii="宋体" w:hAnsi="宋体" w:cs="宋体"/>
          <w:sz w:val="24"/>
          <w:szCs w:val="24"/>
          <w:lang w:val="en-US" w:eastAsia="zh-CN"/>
        </w:rPr>
        <w:t>的</w:t>
      </w:r>
      <w:r>
        <w:rPr>
          <w:rFonts w:ascii="宋体" w:hAnsi="宋体" w:eastAsia="宋体" w:cs="宋体"/>
          <w:sz w:val="24"/>
          <w:szCs w:val="24"/>
        </w:rPr>
        <w:t>场景图像，在</w:t>
      </w:r>
      <w:r>
        <w:rPr>
          <w:rFonts w:hint="eastAsia" w:ascii="宋体" w:hAnsi="宋体" w:cs="宋体"/>
          <w:sz w:val="24"/>
          <w:szCs w:val="24"/>
          <w:lang w:val="en-US" w:eastAsia="zh-CN"/>
        </w:rPr>
        <w:t>服务</w:t>
      </w:r>
      <w:r>
        <w:rPr>
          <w:rFonts w:ascii="宋体" w:hAnsi="宋体" w:eastAsia="宋体" w:cs="宋体"/>
          <w:sz w:val="24"/>
          <w:szCs w:val="24"/>
        </w:rPr>
        <w:t>端完成目标场景的三维点云重建。</w:t>
      </w:r>
    </w:p>
    <w:p w14:paraId="3BE6EA47">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default" w:ascii="宋体" w:hAnsi="宋体" w:eastAsia="宋体" w:cs="宋体"/>
          <w:i w:val="0"/>
          <w:strike w:val="0"/>
          <w:color w:val="auto"/>
          <w:sz w:val="24"/>
          <w:szCs w:val="24"/>
          <w:highlight w:val="none"/>
          <w:u w:val="none"/>
          <w:lang w:val="en-US" w:eastAsia="zh-CN"/>
        </w:rPr>
      </w:pPr>
      <w:r>
        <w:rPr>
          <w:rFonts w:ascii="宋体" w:hAnsi="宋体" w:eastAsia="宋体" w:cs="宋体"/>
          <w:sz w:val="24"/>
          <w:szCs w:val="24"/>
        </w:rPr>
        <w:t>支持接入多目终端上报的告警图像数据，可直观展示测距告警</w:t>
      </w:r>
      <w:r>
        <w:rPr>
          <w:rFonts w:hint="eastAsia" w:ascii="宋体" w:hAnsi="宋体" w:cs="宋体"/>
          <w:sz w:val="24"/>
          <w:szCs w:val="24"/>
          <w:lang w:val="en-US" w:eastAsia="zh-CN"/>
        </w:rPr>
        <w:t>信息</w:t>
      </w:r>
      <w:r>
        <w:rPr>
          <w:rFonts w:ascii="宋体" w:hAnsi="宋体" w:eastAsia="宋体" w:cs="宋体"/>
          <w:sz w:val="24"/>
          <w:szCs w:val="24"/>
        </w:rPr>
        <w:t>、三维</w:t>
      </w:r>
      <w:r>
        <w:rPr>
          <w:rFonts w:hint="eastAsia" w:ascii="宋体" w:hAnsi="宋体" w:cs="宋体"/>
          <w:sz w:val="24"/>
          <w:szCs w:val="24"/>
          <w:lang w:val="en-US" w:eastAsia="zh-CN"/>
        </w:rPr>
        <w:t>模型数据</w:t>
      </w:r>
      <w:r>
        <w:rPr>
          <w:rFonts w:ascii="宋体" w:hAnsi="宋体" w:eastAsia="宋体" w:cs="宋体"/>
          <w:sz w:val="24"/>
          <w:szCs w:val="24"/>
        </w:rPr>
        <w:t>，实现空间状态的可视化监测与智能预警</w:t>
      </w:r>
      <w:r>
        <w:rPr>
          <w:rFonts w:hint="eastAsia" w:ascii="宋体" w:hAnsi="宋体" w:eastAsia="宋体" w:cs="宋体"/>
          <w:i w:val="0"/>
          <w:strike w:val="0"/>
          <w:color w:val="auto"/>
          <w:sz w:val="24"/>
          <w:szCs w:val="24"/>
          <w:highlight w:val="none"/>
          <w:u w:val="none"/>
          <w:lang w:val="en-US" w:eastAsia="zh-CN"/>
        </w:rPr>
        <w:t>。</w:t>
      </w:r>
    </w:p>
    <w:p w14:paraId="0506D2C6">
      <w:pPr>
        <w:keepNext w:val="0"/>
        <w:keepLines w:val="0"/>
        <w:pageBreakBefore w:val="0"/>
        <w:widowControl w:val="0"/>
        <w:numPr>
          <w:ilvl w:val="3"/>
          <w:numId w:val="2"/>
        </w:numPr>
        <w:kinsoku/>
        <w:wordWrap/>
        <w:overflowPunct/>
        <w:topLinePunct w:val="0"/>
        <w:autoSpaceDE/>
        <w:autoSpaceDN/>
        <w:bidi w:val="0"/>
        <w:adjustRightInd/>
        <w:snapToGrid/>
        <w:spacing w:line="360" w:lineRule="auto"/>
        <w:ind w:left="0" w:leftChars="0" w:firstLine="0" w:firstLineChars="0"/>
        <w:textAlignment w:val="auto"/>
        <w:outlineLvl w:val="2"/>
        <w:rPr>
          <w:rFonts w:hint="eastAsia" w:ascii="宋体" w:hAnsi="宋体" w:eastAsia="宋体" w:cs="宋体"/>
          <w:b/>
          <w:color w:val="auto"/>
          <w:kern w:val="2"/>
          <w:sz w:val="24"/>
          <w:szCs w:val="24"/>
          <w:highlight w:val="none"/>
          <w:lang w:val="en-US" w:eastAsia="zh-CN" w:bidi="ar-SA"/>
        </w:rPr>
      </w:pPr>
      <w:r>
        <w:rPr>
          <w:rFonts w:hint="eastAsia" w:ascii="宋体" w:hAnsi="宋体" w:cs="宋体"/>
          <w:b/>
          <w:color w:val="auto"/>
          <w:kern w:val="2"/>
          <w:sz w:val="24"/>
          <w:szCs w:val="24"/>
          <w:highlight w:val="none"/>
          <w:lang w:val="en-US" w:eastAsia="zh-CN" w:bidi="ar-SA"/>
        </w:rPr>
        <w:t>视联融合终端测距标定</w:t>
      </w:r>
    </w:p>
    <w:p w14:paraId="3406528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通过摄像头设备id，预置位，通道号，点云文件，告警图片像素宽度，像素高度，设置标定参数，实现告警测距。</w:t>
      </w:r>
    </w:p>
    <w:p w14:paraId="0CB8EC71">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kern w:val="2"/>
          <w:sz w:val="24"/>
          <w:szCs w:val="24"/>
          <w:highlight w:val="none"/>
          <w:lang w:val="en-US" w:eastAsia="zh-CN" w:bidi="ar-SA"/>
        </w:rPr>
      </w:pPr>
      <w:bookmarkStart w:id="33" w:name="_Toc4746"/>
      <w:r>
        <w:rPr>
          <w:rFonts w:hint="eastAsia" w:ascii="宋体" w:hAnsi="宋体" w:cs="宋体"/>
          <w:b/>
          <w:color w:val="auto"/>
          <w:kern w:val="2"/>
          <w:sz w:val="24"/>
          <w:szCs w:val="24"/>
          <w:highlight w:val="none"/>
          <w:lang w:val="en-US" w:eastAsia="zh-CN" w:bidi="ar-SA"/>
        </w:rPr>
        <w:t>跳闸分析升级</w:t>
      </w:r>
      <w:bookmarkEnd w:id="33"/>
    </w:p>
    <w:p w14:paraId="561394D4">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cs="宋体"/>
          <w:i w:val="0"/>
          <w:strike w:val="0"/>
          <w:color w:val="auto"/>
          <w:sz w:val="24"/>
          <w:szCs w:val="24"/>
          <w:highlight w:val="none"/>
          <w:u w:val="none"/>
          <w:lang w:val="en-US" w:eastAsia="zh-CN"/>
        </w:rPr>
        <w:t>支持</w:t>
      </w:r>
      <w:r>
        <w:rPr>
          <w:rFonts w:hint="eastAsia" w:ascii="宋体" w:hAnsi="宋体" w:eastAsia="宋体" w:cs="宋体"/>
          <w:i w:val="0"/>
          <w:strike w:val="0"/>
          <w:color w:val="auto"/>
          <w:sz w:val="24"/>
          <w:szCs w:val="24"/>
          <w:highlight w:val="none"/>
          <w:u w:val="none"/>
          <w:lang w:val="en-US" w:eastAsia="zh-CN"/>
        </w:rPr>
        <w:t>跳闸分析并定位故障区域后，系统自动抓取故障点周边5公里范围内所有杆塔线路</w:t>
      </w:r>
      <w:r>
        <w:rPr>
          <w:rFonts w:hint="eastAsia" w:ascii="宋体" w:hAnsi="宋体" w:cs="宋体"/>
          <w:i w:val="0"/>
          <w:strike w:val="0"/>
          <w:color w:val="auto"/>
          <w:sz w:val="24"/>
          <w:szCs w:val="24"/>
          <w:highlight w:val="none"/>
          <w:u w:val="none"/>
          <w:lang w:val="en-US" w:eastAsia="zh-CN"/>
        </w:rPr>
        <w:t>故障时刻</w:t>
      </w:r>
      <w:r>
        <w:rPr>
          <w:rFonts w:hint="eastAsia" w:ascii="宋体" w:hAnsi="宋体" w:eastAsia="宋体" w:cs="宋体"/>
          <w:i w:val="0"/>
          <w:strike w:val="0"/>
          <w:color w:val="auto"/>
          <w:sz w:val="24"/>
          <w:szCs w:val="24"/>
          <w:highlight w:val="none"/>
          <w:u w:val="none"/>
          <w:lang w:val="en-US" w:eastAsia="zh-CN"/>
        </w:rPr>
        <w:t>视频录像；同时优先调取故障杆塔前后几级杆塔的高清视频，实现故障时段、关键点位视频的精准调取。</w:t>
      </w:r>
    </w:p>
    <w:p w14:paraId="3B60E040">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kern w:val="2"/>
          <w:sz w:val="24"/>
          <w:szCs w:val="24"/>
          <w:highlight w:val="none"/>
          <w:lang w:val="en-US" w:eastAsia="zh-CN" w:bidi="ar-SA"/>
        </w:rPr>
      </w:pPr>
      <w:bookmarkStart w:id="34" w:name="_Toc24159"/>
      <w:r>
        <w:rPr>
          <w:rFonts w:hint="eastAsia" w:ascii="宋体" w:hAnsi="宋体" w:cs="宋体"/>
          <w:b/>
          <w:color w:val="auto"/>
          <w:kern w:val="2"/>
          <w:sz w:val="24"/>
          <w:szCs w:val="24"/>
          <w:highlight w:val="none"/>
          <w:lang w:val="en-US" w:eastAsia="zh-CN" w:bidi="ar-SA"/>
        </w:rPr>
        <w:t>告警评分</w:t>
      </w:r>
      <w:bookmarkEnd w:id="34"/>
    </w:p>
    <w:p w14:paraId="457B1F57">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支持按自定义区域重要度和告警类型重要度，根据重要度自动判断告警评分，支持告警评分等级查询，系统可精准筛选并展示匹配的告警评分数据，通过分级标识清晰区分不同风险等级告警，同时提供数据导出功能。</w:t>
      </w:r>
    </w:p>
    <w:p w14:paraId="1F0DBB65">
      <w:pPr>
        <w:keepNext w:val="0"/>
        <w:keepLines w:val="0"/>
        <w:pageBreakBefore w:val="0"/>
        <w:widowControl w:val="0"/>
        <w:numPr>
          <w:ilvl w:val="2"/>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kern w:val="2"/>
          <w:sz w:val="24"/>
          <w:szCs w:val="24"/>
          <w:highlight w:val="none"/>
          <w:lang w:val="en-US" w:eastAsia="zh-CN" w:bidi="ar-SA"/>
        </w:rPr>
      </w:pPr>
      <w:bookmarkStart w:id="35" w:name="_Toc24756"/>
      <w:r>
        <w:rPr>
          <w:rFonts w:hint="eastAsia" w:ascii="宋体" w:hAnsi="宋体" w:cs="宋体"/>
          <w:b/>
          <w:color w:val="auto"/>
          <w:kern w:val="2"/>
          <w:sz w:val="24"/>
          <w:szCs w:val="24"/>
          <w:highlight w:val="none"/>
          <w:lang w:val="en-US" w:eastAsia="zh-CN" w:bidi="ar-SA"/>
        </w:rPr>
        <w:t>九防巡视</w:t>
      </w:r>
      <w:bookmarkEnd w:id="35"/>
    </w:p>
    <w:p w14:paraId="47481025">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default"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打通运行支持系统与电网管理平台九防业务模块，获取九防模块特殊区段台账，并自动关联区段内已安装的视频终端，可自动统计并展示该区域内线路杆塔的摄像头数量，同步呈现杆塔基础信息及对应告警数据；支持按日期、告警等级等条件灵活筛选查询。</w:t>
      </w:r>
    </w:p>
    <w:p w14:paraId="3DEA9E9E">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outlineLvl w:val="0"/>
        <w:rPr>
          <w:rFonts w:hint="eastAsia" w:ascii="宋体" w:hAnsi="宋体" w:eastAsia="宋体" w:cs="宋体"/>
          <w:b/>
          <w:color w:val="auto"/>
          <w:sz w:val="24"/>
          <w:szCs w:val="24"/>
          <w:highlight w:val="none"/>
          <w:lang w:val="en-US" w:eastAsia="zh-CN"/>
        </w:rPr>
      </w:pPr>
      <w:bookmarkStart w:id="36" w:name="_Toc5998"/>
      <w:r>
        <w:rPr>
          <w:rFonts w:hint="eastAsia" w:ascii="宋体" w:hAnsi="宋体" w:eastAsia="宋体" w:cs="宋体"/>
          <w:b/>
          <w:color w:val="auto"/>
          <w:sz w:val="24"/>
          <w:szCs w:val="24"/>
          <w:highlight w:val="none"/>
          <w:lang w:val="en-US" w:eastAsia="zh-CN"/>
        </w:rPr>
        <w:t>数据集成</w:t>
      </w:r>
      <w:bookmarkEnd w:id="36"/>
    </w:p>
    <w:p w14:paraId="06DEF143">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37" w:name="_Toc11393"/>
      <w:r>
        <w:rPr>
          <w:rFonts w:hint="eastAsia" w:ascii="宋体" w:hAnsi="宋体" w:eastAsia="宋体" w:cs="宋体"/>
          <w:b/>
          <w:color w:val="auto"/>
          <w:sz w:val="24"/>
          <w:szCs w:val="24"/>
          <w:highlight w:val="none"/>
          <w:lang w:val="en-US" w:eastAsia="zh-CN"/>
        </w:rPr>
        <w:t>集成</w:t>
      </w:r>
      <w:r>
        <w:rPr>
          <w:rFonts w:hint="eastAsia" w:ascii="宋体" w:hAnsi="宋体" w:cs="宋体"/>
          <w:b/>
          <w:color w:val="auto"/>
          <w:sz w:val="24"/>
          <w:szCs w:val="24"/>
          <w:highlight w:val="none"/>
          <w:lang w:val="en-US" w:eastAsia="zh-CN"/>
        </w:rPr>
        <w:t>南网智瞰</w:t>
      </w:r>
      <w:bookmarkEnd w:id="37"/>
    </w:p>
    <w:p w14:paraId="5E7FC33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集成地图数据、对接智瞰接口联调；集成智瞰二维地图接口、设备台账数据。</w:t>
      </w:r>
    </w:p>
    <w:p w14:paraId="7A9EC388">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38" w:name="_Toc10802"/>
      <w:r>
        <w:rPr>
          <w:rFonts w:hint="eastAsia" w:ascii="宋体" w:hAnsi="宋体" w:eastAsia="宋体" w:cs="宋体"/>
          <w:b/>
          <w:color w:val="auto"/>
          <w:sz w:val="24"/>
          <w:szCs w:val="24"/>
          <w:highlight w:val="none"/>
          <w:lang w:val="en-US" w:eastAsia="zh-CN"/>
        </w:rPr>
        <w:t>集成物联网平台</w:t>
      </w:r>
      <w:bookmarkEnd w:id="38"/>
    </w:p>
    <w:p w14:paraId="25C5C3A0">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集成物联网平台数据、对接物联网平台接口联调；集成物联网平台设备台账及检测数据数据。</w:t>
      </w:r>
    </w:p>
    <w:p w14:paraId="4B0FA03F">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default" w:ascii="宋体" w:hAnsi="宋体" w:eastAsia="宋体" w:cs="宋体"/>
          <w:b/>
          <w:color w:val="auto"/>
          <w:sz w:val="24"/>
          <w:szCs w:val="24"/>
          <w:highlight w:val="none"/>
          <w:lang w:val="en-US" w:eastAsia="zh-CN"/>
        </w:rPr>
      </w:pPr>
      <w:bookmarkStart w:id="39" w:name="_Toc83"/>
      <w:r>
        <w:rPr>
          <w:rFonts w:hint="eastAsia" w:ascii="宋体" w:hAnsi="宋体" w:eastAsia="宋体" w:cs="宋体"/>
          <w:b/>
          <w:color w:val="auto"/>
          <w:sz w:val="24"/>
          <w:szCs w:val="24"/>
          <w:highlight w:val="none"/>
          <w:lang w:val="en-US" w:eastAsia="zh-CN"/>
        </w:rPr>
        <w:t>集成设备中心</w:t>
      </w:r>
      <w:bookmarkEnd w:id="39"/>
    </w:p>
    <w:p w14:paraId="3502C6C3">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集成设备中心数据、对接设备中心接口；集成设备中心设备台账数据。</w:t>
      </w:r>
    </w:p>
    <w:p w14:paraId="56D530DF">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default" w:ascii="宋体" w:hAnsi="宋体" w:eastAsia="宋体" w:cs="宋体"/>
          <w:b/>
          <w:color w:val="auto"/>
          <w:sz w:val="24"/>
          <w:szCs w:val="24"/>
          <w:highlight w:val="none"/>
          <w:lang w:val="en-US" w:eastAsia="zh-CN"/>
        </w:rPr>
      </w:pPr>
      <w:bookmarkStart w:id="40" w:name="_Toc16001"/>
      <w:r>
        <w:rPr>
          <w:rFonts w:hint="eastAsia" w:ascii="宋体" w:hAnsi="宋体" w:eastAsia="宋体" w:cs="宋体"/>
          <w:b/>
          <w:color w:val="auto"/>
          <w:sz w:val="24"/>
          <w:szCs w:val="24"/>
          <w:highlight w:val="none"/>
          <w:lang w:val="en-US" w:eastAsia="zh-CN"/>
        </w:rPr>
        <w:t>集成视频主站</w:t>
      </w:r>
      <w:bookmarkEnd w:id="40"/>
    </w:p>
    <w:p w14:paraId="6F108BBD">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集成视频主站接口，集成视频主站视频流、台账、图片数据。</w:t>
      </w:r>
    </w:p>
    <w:p w14:paraId="7C84734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outlineLvl w:val="0"/>
        <w:rPr>
          <w:rFonts w:hint="default" w:ascii="宋体" w:hAnsi="宋体" w:eastAsia="宋体" w:cs="宋体"/>
          <w:b/>
          <w:color w:val="auto"/>
          <w:sz w:val="24"/>
          <w:szCs w:val="24"/>
          <w:highlight w:val="none"/>
          <w:lang w:val="en-US" w:eastAsia="zh-CN"/>
        </w:rPr>
      </w:pPr>
      <w:bookmarkStart w:id="41" w:name="_Toc30651"/>
      <w:r>
        <w:rPr>
          <w:rFonts w:hint="eastAsia" w:ascii="宋体" w:hAnsi="宋体" w:eastAsia="宋体" w:cs="宋体"/>
          <w:b/>
          <w:color w:val="auto"/>
          <w:sz w:val="24"/>
          <w:szCs w:val="24"/>
          <w:highlight w:val="none"/>
          <w:lang w:val="en-US" w:eastAsia="zh-CN"/>
        </w:rPr>
        <w:t>运维支撑及系统培训</w:t>
      </w:r>
      <w:bookmarkEnd w:id="41"/>
    </w:p>
    <w:p w14:paraId="3B00D3E9">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42" w:name="_Toc4207"/>
      <w:r>
        <w:rPr>
          <w:rFonts w:hint="eastAsia" w:ascii="宋体" w:hAnsi="宋体" w:eastAsia="宋体" w:cs="宋体"/>
          <w:b/>
          <w:color w:val="auto"/>
          <w:sz w:val="24"/>
          <w:szCs w:val="24"/>
          <w:highlight w:val="none"/>
          <w:lang w:val="en-US" w:eastAsia="zh-CN"/>
        </w:rPr>
        <w:t>运维支撑</w:t>
      </w:r>
      <w:bookmarkEnd w:id="42"/>
    </w:p>
    <w:p w14:paraId="062FD4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至少安排一名</w:t>
      </w:r>
      <w:r>
        <w:rPr>
          <w:rFonts w:hint="eastAsia" w:ascii="宋体" w:hAnsi="宋体" w:eastAsia="宋体" w:cs="宋体"/>
          <w:b w:val="0"/>
          <w:bCs w:val="0"/>
          <w:color w:val="auto"/>
          <w:sz w:val="24"/>
          <w:szCs w:val="24"/>
          <w:highlight w:val="none"/>
          <w:lang w:val="en-US" w:eastAsia="zh-CN"/>
        </w:rPr>
        <w:t>实施人员驻点进行跟进处理，全面支撑输电视频终端的接入调试及应用。开展数据迁移与治理工作，包含资源规划、安排迁移计划、开发迁移工具、实施数据迁移、业务验证等；</w:t>
      </w:r>
    </w:p>
    <w:p w14:paraId="0688A8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2、开展日常维护支撑工作，包括系统日常使用培训，系统数据初始化，账号及权限处理，系统故障解决以及版本更新迭代，用户答疑及用户问题处理，系统漏洞修补以及补丁更新，网络安全保障等。</w:t>
      </w:r>
    </w:p>
    <w:p w14:paraId="1634E7A2">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43" w:name="_Toc23064"/>
      <w:r>
        <w:rPr>
          <w:rFonts w:hint="eastAsia" w:ascii="宋体" w:hAnsi="宋体" w:eastAsia="宋体" w:cs="宋体"/>
          <w:b/>
          <w:color w:val="auto"/>
          <w:sz w:val="24"/>
          <w:szCs w:val="24"/>
          <w:highlight w:val="none"/>
          <w:lang w:val="en-US" w:eastAsia="zh-CN"/>
        </w:rPr>
        <w:t>系统培训</w:t>
      </w:r>
      <w:bookmarkEnd w:id="43"/>
    </w:p>
    <w:p w14:paraId="293DC8AC">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textAlignment w:val="auto"/>
        <w:rPr>
          <w:rFonts w:hint="eastAsia" w:ascii="宋体" w:hAnsi="宋体" w:eastAsia="宋体" w:cs="宋体"/>
          <w:i w:val="0"/>
          <w:strike w:val="0"/>
          <w:color w:val="auto"/>
          <w:sz w:val="24"/>
          <w:szCs w:val="24"/>
          <w:highlight w:val="none"/>
          <w:u w:val="none"/>
          <w:lang w:val="en-US" w:eastAsia="zh-CN"/>
        </w:rPr>
      </w:pPr>
      <w:r>
        <w:rPr>
          <w:rFonts w:hint="eastAsia" w:ascii="宋体" w:hAnsi="宋体" w:eastAsia="宋体" w:cs="宋体"/>
          <w:i w:val="0"/>
          <w:strike w:val="0"/>
          <w:color w:val="auto"/>
          <w:sz w:val="24"/>
          <w:szCs w:val="24"/>
          <w:highlight w:val="none"/>
          <w:u w:val="none"/>
          <w:lang w:val="en-US" w:eastAsia="zh-CN"/>
        </w:rPr>
        <w:t>开展应用功能操作以及现场作业培训，范围覆盖海南电网公司所有输电班组。</w:t>
      </w:r>
    </w:p>
    <w:p w14:paraId="5ECE774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outlineLvl w:val="0"/>
        <w:rPr>
          <w:rFonts w:hint="eastAsia" w:ascii="宋体" w:hAnsi="宋体" w:eastAsia="宋体" w:cs="宋体"/>
          <w:b/>
          <w:color w:val="auto"/>
          <w:sz w:val="24"/>
          <w:szCs w:val="24"/>
          <w:highlight w:val="none"/>
          <w:lang w:val="en-US" w:eastAsia="zh-CN"/>
        </w:rPr>
      </w:pPr>
      <w:bookmarkStart w:id="44" w:name="_Toc24317"/>
      <w:r>
        <w:rPr>
          <w:rFonts w:hint="eastAsia" w:ascii="宋体" w:hAnsi="宋体" w:eastAsia="宋体" w:cs="宋体"/>
          <w:b/>
          <w:color w:val="auto"/>
          <w:sz w:val="24"/>
          <w:szCs w:val="24"/>
          <w:highlight w:val="none"/>
          <w:lang w:val="en-US" w:eastAsia="zh-CN"/>
        </w:rPr>
        <w:t>总体技术指标</w:t>
      </w:r>
      <w:bookmarkEnd w:id="44"/>
    </w:p>
    <w:p w14:paraId="6D2BC28D">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可靠性要求：应能够连续7×24小时不间断工作，出现故障应能及时告警，软件系统应具备自动或手动恢复措施，自动恢复时间&lt;15分钟，手工恢复时间&lt;12小时，以便在发生错误时能够快速地恢复正常运行。</w:t>
      </w:r>
    </w:p>
    <w:p w14:paraId="56898490">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兼容性要求：满足向下兼容的要求，软件版本易于升级，任何一个模块的维护和更新以及新模块的追加都不应影响其他模块，且在升级的过程中不影响系统的性能与运行。</w:t>
      </w:r>
    </w:p>
    <w:p w14:paraId="43AC76BD">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投标方提供的软件应是确保系统正常运行所需的管理、运营、维护等有关的全部软件，并是成熟的最新版本的软件系统。</w:t>
      </w:r>
    </w:p>
    <w:p w14:paraId="561C3AC7">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开放性要求：采用通用软件开发平台开发，具备良好的可移植性。采用标准开放接口，支持与其它系统的数据交换和共享。</w:t>
      </w:r>
    </w:p>
    <w:p w14:paraId="4C01564A">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标准化要求：所有各项软件开发工具和系统开发平台应符合我国国家标准、信息产业部部颁标准、电力行业相关技术规范和要求。</w:t>
      </w:r>
    </w:p>
    <w:p w14:paraId="5EC87378">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容错性要求：提供有效的故障诊断及维护工具，具备数据错误记录和错误预警能力；具备较高的容错能力，在出错时具备自动恢复功能。</w:t>
      </w:r>
    </w:p>
    <w:p w14:paraId="1221D922">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易用性要求：应具有良好的简体中文操作界面、详细的帮助信息，系统参数的维护与管理通过操作界面完成。</w:t>
      </w:r>
    </w:p>
    <w:p w14:paraId="26E4117B">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二次开发标准化要求：系统平台应提供完备的招标方二次开发功能。招标方可以根据系统提供的招标方二次开发接口，在无须对原来系统的运行程序进行更改情况下，方便的实现二次开发功能。系统提供的招标方二次开发接口功能。</w:t>
      </w:r>
    </w:p>
    <w:p w14:paraId="1291EE2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outlineLvl w:val="0"/>
        <w:rPr>
          <w:rFonts w:hint="eastAsia" w:ascii="宋体" w:hAnsi="宋体" w:eastAsia="宋体" w:cs="宋体"/>
          <w:b/>
          <w:color w:val="auto"/>
          <w:sz w:val="24"/>
          <w:szCs w:val="24"/>
          <w:highlight w:val="none"/>
          <w:lang w:val="en-US" w:eastAsia="zh-CN"/>
        </w:rPr>
      </w:pPr>
      <w:bookmarkStart w:id="45" w:name="_Toc4896"/>
      <w:r>
        <w:rPr>
          <w:rFonts w:hint="eastAsia" w:ascii="宋体" w:hAnsi="宋体" w:eastAsia="宋体" w:cs="宋体"/>
          <w:b/>
          <w:color w:val="auto"/>
          <w:sz w:val="24"/>
          <w:szCs w:val="24"/>
          <w:highlight w:val="none"/>
          <w:lang w:val="en-US" w:eastAsia="zh-CN"/>
        </w:rPr>
        <w:t>项目实施要求</w:t>
      </w:r>
      <w:bookmarkEnd w:id="45"/>
    </w:p>
    <w:p w14:paraId="7A27A0DF">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46" w:name="_Toc13552"/>
      <w:r>
        <w:rPr>
          <w:rFonts w:hint="eastAsia" w:ascii="宋体" w:hAnsi="宋体" w:eastAsia="宋体" w:cs="宋体"/>
          <w:b/>
          <w:color w:val="auto"/>
          <w:sz w:val="24"/>
          <w:szCs w:val="24"/>
          <w:highlight w:val="none"/>
          <w:lang w:val="en-US" w:eastAsia="zh-CN"/>
        </w:rPr>
        <w:t>组织保证</w:t>
      </w:r>
      <w:bookmarkEnd w:id="46"/>
    </w:p>
    <w:p w14:paraId="5AD9C49B">
      <w:pPr>
        <w:pStyle w:val="17"/>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方需根据本技术招标书的要求结合自身在电力行业数据处理的实践和项目经验，认真实施本项目。从项目的角度提出本项目实施过程的安排，投标方应根据本章的要求，对拟投入本项目的组织结构做出安排，主要包括两个方面：</w:t>
      </w:r>
    </w:p>
    <w:p w14:paraId="31AF8AC5">
      <w:pPr>
        <w:pStyle w:val="17"/>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1）投标方应根据本项目的特点，对拟投入本项目的人员情况进行说明，提供参与本项目的主要人员，同时需详细说明此项目组成员在本项目中所承担的职责和所具有的优势，从人员方面确保项目的正常进行。</w:t>
      </w:r>
    </w:p>
    <w:p w14:paraId="20AE424B">
      <w:pPr>
        <w:pStyle w:val="17"/>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2）根据数据采集、处理所需要经历的各个阶段，对项目的安排做出详细的计划，并严格执行，确保本项目如期保质完成。</w:t>
      </w:r>
    </w:p>
    <w:p w14:paraId="27AFE388">
      <w:pPr>
        <w:pStyle w:val="17"/>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投标方可据此要求在投标时就对项目的安排做出详细的计划，评标时将作为考察投标方在本项目所具备的实力的重点内容。</w:t>
      </w:r>
    </w:p>
    <w:p w14:paraId="3DCCA987">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color w:val="auto"/>
          <w:sz w:val="24"/>
          <w:szCs w:val="24"/>
          <w:highlight w:val="none"/>
          <w:lang w:val="en-US" w:eastAsia="zh-CN"/>
        </w:rPr>
      </w:pPr>
      <w:bookmarkStart w:id="47" w:name="_Toc20357"/>
      <w:bookmarkStart w:id="48" w:name="_Toc18376"/>
      <w:bookmarkStart w:id="49" w:name="_Toc16578"/>
      <w:r>
        <w:rPr>
          <w:rFonts w:hint="eastAsia" w:ascii="宋体" w:hAnsi="宋体" w:eastAsia="宋体" w:cs="宋体"/>
          <w:b/>
          <w:color w:val="auto"/>
          <w:sz w:val="24"/>
          <w:szCs w:val="24"/>
          <w:highlight w:val="none"/>
          <w:lang w:val="en-US" w:eastAsia="zh-CN"/>
        </w:rPr>
        <w:t>技术保障</w:t>
      </w:r>
      <w:bookmarkEnd w:id="47"/>
      <w:bookmarkEnd w:id="48"/>
      <w:bookmarkEnd w:id="49"/>
    </w:p>
    <w:p w14:paraId="6759DB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投标方必须具备良好的运行机制和研发条件，在信息化等领域具有领先的创新能力和技术基础。</w:t>
      </w:r>
    </w:p>
    <w:p w14:paraId="5849DA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2）投标方必须拥有一支稳定的项目团队，项目负责人必须具有较高的专业技术水平，有较强的组织协调能力。</w:t>
      </w:r>
    </w:p>
    <w:p w14:paraId="330CD5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3）项目实施期内需保证在接到通知后12小时内答复问题，如有必要24小时内到达现场，处理时间应不超过3个工作日。</w:t>
      </w:r>
    </w:p>
    <w:p w14:paraId="4B8424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方必须严格履行《网络安全协议书》（按甲方提供的模板签订），对派往甲方的服务人员，必须向甲方提供其网络安全背景审查资料。对该系统的开发测试、数据保密、安全培训教育及提供软件代码等提供全面的服务。在本产品免费售后期内提供相应的安全加固、漏洞整改服务。</w:t>
      </w:r>
    </w:p>
    <w:p w14:paraId="74F26823">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outlineLvl w:val="0"/>
        <w:rPr>
          <w:rFonts w:hint="eastAsia" w:ascii="宋体" w:hAnsi="宋体" w:eastAsia="宋体" w:cs="宋体"/>
          <w:b/>
          <w:color w:val="auto"/>
          <w:sz w:val="24"/>
          <w:szCs w:val="24"/>
          <w:highlight w:val="none"/>
          <w:lang w:val="en-US" w:eastAsia="zh-CN"/>
        </w:rPr>
      </w:pPr>
      <w:bookmarkStart w:id="50" w:name="_Toc1465"/>
      <w:r>
        <w:rPr>
          <w:rFonts w:hint="eastAsia" w:ascii="宋体" w:hAnsi="宋体" w:eastAsia="宋体" w:cs="宋体"/>
          <w:b/>
          <w:color w:val="auto"/>
          <w:sz w:val="24"/>
          <w:szCs w:val="24"/>
          <w:highlight w:val="none"/>
          <w:lang w:val="en-US" w:eastAsia="zh-CN"/>
        </w:rPr>
        <w:t>其他</w:t>
      </w:r>
      <w:bookmarkEnd w:id="50"/>
    </w:p>
    <w:p w14:paraId="088FFD85">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51" w:name="_Toc2303"/>
      <w:r>
        <w:rPr>
          <w:rFonts w:hint="eastAsia" w:ascii="宋体" w:hAnsi="宋体" w:eastAsia="宋体" w:cs="宋体"/>
          <w:b/>
          <w:color w:val="auto"/>
          <w:sz w:val="24"/>
          <w:szCs w:val="24"/>
          <w:highlight w:val="none"/>
          <w:lang w:val="en-US" w:eastAsia="zh-CN"/>
        </w:rPr>
        <w:t>服务质量要求</w:t>
      </w:r>
      <w:bookmarkEnd w:id="51"/>
    </w:p>
    <w:tbl>
      <w:tblPr>
        <w:tblStyle w:val="28"/>
        <w:tblW w:w="0" w:type="auto"/>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395"/>
        <w:gridCol w:w="720"/>
        <w:gridCol w:w="5535"/>
      </w:tblGrid>
      <w:tr w14:paraId="59F3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noWrap w:val="0"/>
            <w:vAlign w:val="center"/>
          </w:tcPr>
          <w:p w14:paraId="4353BA8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一级指标</w:t>
            </w:r>
          </w:p>
        </w:tc>
        <w:tc>
          <w:tcPr>
            <w:tcW w:w="1395" w:type="dxa"/>
            <w:noWrap w:val="0"/>
            <w:vAlign w:val="center"/>
          </w:tcPr>
          <w:p w14:paraId="20AAB5F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二级指标</w:t>
            </w:r>
          </w:p>
        </w:tc>
        <w:tc>
          <w:tcPr>
            <w:tcW w:w="720" w:type="dxa"/>
            <w:noWrap w:val="0"/>
            <w:vAlign w:val="center"/>
          </w:tcPr>
          <w:p w14:paraId="3E8AE30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序号</w:t>
            </w:r>
          </w:p>
        </w:tc>
        <w:tc>
          <w:tcPr>
            <w:tcW w:w="5535" w:type="dxa"/>
            <w:noWrap w:val="0"/>
            <w:vAlign w:val="center"/>
          </w:tcPr>
          <w:p w14:paraId="362045C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服务质量要求</w:t>
            </w:r>
          </w:p>
        </w:tc>
      </w:tr>
      <w:tr w14:paraId="5363B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restart"/>
            <w:noWrap w:val="0"/>
            <w:vAlign w:val="center"/>
          </w:tcPr>
          <w:p w14:paraId="239F13B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人员</w:t>
            </w:r>
          </w:p>
          <w:p w14:paraId="7BF6B81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配置</w:t>
            </w:r>
          </w:p>
        </w:tc>
        <w:tc>
          <w:tcPr>
            <w:tcW w:w="1395" w:type="dxa"/>
            <w:noWrap w:val="0"/>
            <w:vAlign w:val="center"/>
          </w:tcPr>
          <w:p w14:paraId="013892F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人员配置计划</w:t>
            </w:r>
          </w:p>
        </w:tc>
        <w:tc>
          <w:tcPr>
            <w:tcW w:w="720" w:type="dxa"/>
            <w:noWrap w:val="0"/>
            <w:vAlign w:val="center"/>
          </w:tcPr>
          <w:p w14:paraId="16954BE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1.1</w:t>
            </w:r>
          </w:p>
        </w:tc>
        <w:tc>
          <w:tcPr>
            <w:tcW w:w="5535" w:type="dxa"/>
            <w:noWrap w:val="0"/>
            <w:vAlign w:val="center"/>
          </w:tcPr>
          <w:p w14:paraId="2E549FC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乙方在签订合同时，根据甲方要求和</w:t>
            </w:r>
            <w:r>
              <w:rPr>
                <w:rFonts w:hint="eastAsia" w:ascii="宋体" w:hAnsi="宋体" w:eastAsia="宋体" w:cs="宋体"/>
                <w:color w:val="auto"/>
                <w:sz w:val="24"/>
                <w:szCs w:val="24"/>
                <w:highlight w:val="none"/>
              </w:rPr>
              <w:t>可研估算</w:t>
            </w:r>
            <w:r>
              <w:rPr>
                <w:rFonts w:hint="eastAsia" w:ascii="宋体" w:hAnsi="宋体" w:eastAsia="宋体" w:cs="宋体"/>
                <w:color w:val="auto"/>
                <w:sz w:val="24"/>
                <w:szCs w:val="24"/>
                <w:highlight w:val="none"/>
                <w:lang w:val="zh-TW"/>
              </w:rPr>
              <w:t>，与甲方协商后，在条款中明确项目组成员数量、资质等。</w:t>
            </w:r>
          </w:p>
        </w:tc>
      </w:tr>
      <w:tr w14:paraId="5E901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22D4E39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10E51E0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人员数量</w:t>
            </w:r>
          </w:p>
        </w:tc>
        <w:tc>
          <w:tcPr>
            <w:tcW w:w="720" w:type="dxa"/>
            <w:noWrap w:val="0"/>
            <w:vAlign w:val="center"/>
          </w:tcPr>
          <w:p w14:paraId="02B127A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1.2</w:t>
            </w:r>
          </w:p>
        </w:tc>
        <w:tc>
          <w:tcPr>
            <w:tcW w:w="5535" w:type="dxa"/>
            <w:noWrap w:val="0"/>
            <w:vAlign w:val="center"/>
          </w:tcPr>
          <w:p w14:paraId="30344B8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乙方须按照合同要求配备足够的项目组成员。</w:t>
            </w:r>
          </w:p>
        </w:tc>
      </w:tr>
      <w:tr w14:paraId="2D7F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200B585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76D01CC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人员素质</w:t>
            </w:r>
          </w:p>
        </w:tc>
        <w:tc>
          <w:tcPr>
            <w:tcW w:w="720" w:type="dxa"/>
            <w:noWrap w:val="0"/>
            <w:vAlign w:val="center"/>
          </w:tcPr>
          <w:p w14:paraId="4044389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1.3</w:t>
            </w:r>
          </w:p>
        </w:tc>
        <w:tc>
          <w:tcPr>
            <w:tcW w:w="5535" w:type="dxa"/>
            <w:noWrap w:val="0"/>
            <w:vAlign w:val="center"/>
          </w:tcPr>
          <w:p w14:paraId="2413995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乙方须按合同要求提供满足资质和能力的项目组成员。</w:t>
            </w:r>
          </w:p>
        </w:tc>
      </w:tr>
      <w:tr w14:paraId="070CD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78822FE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4DDFFDA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人员选择</w:t>
            </w:r>
          </w:p>
        </w:tc>
        <w:tc>
          <w:tcPr>
            <w:tcW w:w="720" w:type="dxa"/>
            <w:noWrap w:val="0"/>
            <w:vAlign w:val="center"/>
          </w:tcPr>
          <w:p w14:paraId="721AA88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1.4</w:t>
            </w:r>
          </w:p>
        </w:tc>
        <w:tc>
          <w:tcPr>
            <w:tcW w:w="5535" w:type="dxa"/>
            <w:noWrap w:val="0"/>
            <w:vAlign w:val="center"/>
          </w:tcPr>
          <w:p w14:paraId="1D69EAB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rPr>
              <w:t>乙方</w:t>
            </w:r>
            <w:r>
              <w:rPr>
                <w:rFonts w:hint="eastAsia" w:ascii="宋体" w:hAnsi="宋体" w:eastAsia="宋体" w:cs="宋体"/>
                <w:color w:val="auto"/>
                <w:sz w:val="24"/>
                <w:szCs w:val="24"/>
                <w:highlight w:val="none"/>
                <w:lang w:val="zh-TW" w:eastAsia="zh-CN"/>
              </w:rPr>
              <w:t>需要派遣</w:t>
            </w:r>
            <w:r>
              <w:rPr>
                <w:rFonts w:hint="eastAsia" w:ascii="宋体" w:hAnsi="宋体" w:eastAsia="宋体" w:cs="宋体"/>
                <w:color w:val="auto"/>
                <w:sz w:val="24"/>
                <w:szCs w:val="24"/>
                <w:highlight w:val="none"/>
                <w:lang w:val="en-US" w:eastAsia="zh-CN"/>
              </w:rPr>
              <w:t>1-2名技术人员到甲方场地驻点工作，负责协调项目建设相关事宜，期间按照甲方要求开展工作</w:t>
            </w:r>
            <w:r>
              <w:rPr>
                <w:rFonts w:hint="eastAsia" w:ascii="宋体" w:hAnsi="宋体" w:eastAsia="宋体" w:cs="宋体"/>
                <w:color w:val="auto"/>
                <w:sz w:val="24"/>
                <w:szCs w:val="24"/>
                <w:highlight w:val="none"/>
                <w:lang w:val="zh-TW"/>
              </w:rPr>
              <w:t>。</w:t>
            </w:r>
            <w:r>
              <w:rPr>
                <w:rFonts w:hint="eastAsia" w:ascii="宋体" w:hAnsi="宋体" w:eastAsia="宋体" w:cs="宋体"/>
                <w:color w:val="auto"/>
                <w:sz w:val="24"/>
                <w:szCs w:val="24"/>
                <w:highlight w:val="none"/>
                <w:lang w:val="zh-TW" w:eastAsia="zh-CN"/>
              </w:rPr>
              <w:t>工作时间至项目验收后一年整。</w:t>
            </w:r>
          </w:p>
        </w:tc>
      </w:tr>
      <w:tr w14:paraId="45EE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72B6174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0D50C9D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人员出勤</w:t>
            </w:r>
          </w:p>
        </w:tc>
        <w:tc>
          <w:tcPr>
            <w:tcW w:w="720" w:type="dxa"/>
            <w:noWrap w:val="0"/>
            <w:vAlign w:val="center"/>
          </w:tcPr>
          <w:p w14:paraId="5716A86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1.5</w:t>
            </w:r>
          </w:p>
        </w:tc>
        <w:tc>
          <w:tcPr>
            <w:tcW w:w="5535" w:type="dxa"/>
            <w:noWrap w:val="0"/>
            <w:vAlign w:val="center"/>
          </w:tcPr>
          <w:p w14:paraId="67DA89F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乙方项目组成员须按甲方规定出勤。</w:t>
            </w:r>
          </w:p>
        </w:tc>
      </w:tr>
      <w:tr w14:paraId="6094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0ACA950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2E33FEB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人员管理</w:t>
            </w:r>
          </w:p>
        </w:tc>
        <w:tc>
          <w:tcPr>
            <w:tcW w:w="720" w:type="dxa"/>
            <w:noWrap w:val="0"/>
            <w:vAlign w:val="center"/>
          </w:tcPr>
          <w:p w14:paraId="5BE6797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1.6</w:t>
            </w:r>
          </w:p>
        </w:tc>
        <w:tc>
          <w:tcPr>
            <w:tcW w:w="5535" w:type="dxa"/>
            <w:noWrap w:val="0"/>
            <w:vAlign w:val="center"/>
          </w:tcPr>
          <w:p w14:paraId="6D2323E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乙方须经过甲方同意方能变更项目组成员。甲方有权要求替换不称职或者不合适项目</w:t>
            </w:r>
            <w:r>
              <w:rPr>
                <w:rFonts w:hint="eastAsia" w:ascii="宋体" w:hAnsi="宋体" w:eastAsia="宋体" w:cs="宋体"/>
                <w:color w:val="auto"/>
                <w:sz w:val="24"/>
                <w:szCs w:val="24"/>
                <w:highlight w:val="none"/>
              </w:rPr>
              <w:t>组</w:t>
            </w:r>
            <w:r>
              <w:rPr>
                <w:rFonts w:hint="eastAsia" w:ascii="宋体" w:hAnsi="宋体" w:eastAsia="宋体" w:cs="宋体"/>
                <w:color w:val="auto"/>
                <w:sz w:val="24"/>
                <w:szCs w:val="24"/>
                <w:highlight w:val="none"/>
                <w:lang w:val="zh-TW"/>
              </w:rPr>
              <w:t>成员，乙方须在5个工作日内替换到位。</w:t>
            </w:r>
          </w:p>
        </w:tc>
      </w:tr>
      <w:tr w14:paraId="4120E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restart"/>
            <w:noWrap w:val="0"/>
            <w:vAlign w:val="center"/>
          </w:tcPr>
          <w:p w14:paraId="2676B65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进度</w:t>
            </w:r>
          </w:p>
          <w:p w14:paraId="081FE81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管理</w:t>
            </w:r>
          </w:p>
        </w:tc>
        <w:tc>
          <w:tcPr>
            <w:tcW w:w="1395" w:type="dxa"/>
            <w:noWrap w:val="0"/>
            <w:vAlign w:val="center"/>
          </w:tcPr>
          <w:p w14:paraId="0FEA029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进度计划制定</w:t>
            </w:r>
          </w:p>
        </w:tc>
        <w:tc>
          <w:tcPr>
            <w:tcW w:w="720" w:type="dxa"/>
            <w:noWrap w:val="0"/>
            <w:vAlign w:val="center"/>
          </w:tcPr>
          <w:p w14:paraId="6D9951E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2.1</w:t>
            </w:r>
          </w:p>
        </w:tc>
        <w:tc>
          <w:tcPr>
            <w:tcW w:w="5535" w:type="dxa"/>
            <w:noWrap w:val="0"/>
            <w:vAlign w:val="center"/>
          </w:tcPr>
          <w:p w14:paraId="28E60B6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合同签订后15天内，乙方须向甲方提交符合合同工期要求的进度计划（三级里程碑）。</w:t>
            </w:r>
          </w:p>
        </w:tc>
      </w:tr>
      <w:tr w14:paraId="7C04A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29CFAD6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3C8911A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实施进度与交付物相符</w:t>
            </w:r>
          </w:p>
        </w:tc>
        <w:tc>
          <w:tcPr>
            <w:tcW w:w="720" w:type="dxa"/>
            <w:noWrap w:val="0"/>
            <w:vAlign w:val="center"/>
          </w:tcPr>
          <w:p w14:paraId="05DE9C6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2.2</w:t>
            </w:r>
          </w:p>
        </w:tc>
        <w:tc>
          <w:tcPr>
            <w:tcW w:w="5535" w:type="dxa"/>
            <w:noWrap w:val="0"/>
            <w:vAlign w:val="center"/>
          </w:tcPr>
          <w:p w14:paraId="4C9865C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乙方须按项目里程碑计划提交职责范围内符合甲方质量要求的交付物。</w:t>
            </w:r>
          </w:p>
        </w:tc>
      </w:tr>
      <w:tr w14:paraId="54F0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14DC389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6F112E8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计划偏差</w:t>
            </w:r>
          </w:p>
        </w:tc>
        <w:tc>
          <w:tcPr>
            <w:tcW w:w="720" w:type="dxa"/>
            <w:noWrap w:val="0"/>
            <w:vAlign w:val="center"/>
          </w:tcPr>
          <w:p w14:paraId="61ABAF2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2.3</w:t>
            </w:r>
          </w:p>
        </w:tc>
        <w:tc>
          <w:tcPr>
            <w:tcW w:w="5535" w:type="dxa"/>
            <w:noWrap w:val="0"/>
            <w:vAlign w:val="center"/>
          </w:tcPr>
          <w:p w14:paraId="6CFC0B9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项目里程碑计划出现延迟，乙方须按要求在3天内提交计划延迟报告，并作出影响分析及进度计划调整。</w:t>
            </w:r>
          </w:p>
        </w:tc>
      </w:tr>
      <w:tr w14:paraId="25B99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1ED8D51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0BF9871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项目周期性报告提交</w:t>
            </w:r>
          </w:p>
        </w:tc>
        <w:tc>
          <w:tcPr>
            <w:tcW w:w="720" w:type="dxa"/>
            <w:noWrap w:val="0"/>
            <w:vAlign w:val="center"/>
          </w:tcPr>
          <w:p w14:paraId="77E0C41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2.4</w:t>
            </w:r>
          </w:p>
        </w:tc>
        <w:tc>
          <w:tcPr>
            <w:tcW w:w="5535" w:type="dxa"/>
            <w:noWrap w:val="0"/>
            <w:vAlign w:val="center"/>
          </w:tcPr>
          <w:p w14:paraId="21E2FF2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乙方须按甲方要求及时提交项目周期性报告。</w:t>
            </w:r>
          </w:p>
        </w:tc>
      </w:tr>
      <w:tr w14:paraId="32C9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restart"/>
            <w:noWrap w:val="0"/>
            <w:vAlign w:val="center"/>
          </w:tcPr>
          <w:p w14:paraId="4622FE2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质量</w:t>
            </w:r>
          </w:p>
          <w:p w14:paraId="4833F3C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管控</w:t>
            </w:r>
          </w:p>
        </w:tc>
        <w:tc>
          <w:tcPr>
            <w:tcW w:w="1395" w:type="dxa"/>
            <w:noWrap w:val="0"/>
            <w:vAlign w:val="center"/>
          </w:tcPr>
          <w:p w14:paraId="563BEC6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提交质量管控方案</w:t>
            </w:r>
          </w:p>
        </w:tc>
        <w:tc>
          <w:tcPr>
            <w:tcW w:w="720" w:type="dxa"/>
            <w:noWrap w:val="0"/>
            <w:vAlign w:val="center"/>
          </w:tcPr>
          <w:p w14:paraId="324B05A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3.1</w:t>
            </w:r>
          </w:p>
        </w:tc>
        <w:tc>
          <w:tcPr>
            <w:tcW w:w="5535" w:type="dxa"/>
            <w:noWrap w:val="0"/>
            <w:vAlign w:val="center"/>
          </w:tcPr>
          <w:p w14:paraId="22E4D0F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合同签订15天内，乙方须向甲方提交符合合同项目目标要求的质量管控方案。</w:t>
            </w:r>
          </w:p>
        </w:tc>
      </w:tr>
      <w:tr w14:paraId="5BBF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1F2E56A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073F07F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系统缺陷</w:t>
            </w:r>
          </w:p>
        </w:tc>
        <w:tc>
          <w:tcPr>
            <w:tcW w:w="720" w:type="dxa"/>
            <w:noWrap w:val="0"/>
            <w:vAlign w:val="center"/>
          </w:tcPr>
          <w:p w14:paraId="70F0ACE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3.2</w:t>
            </w:r>
          </w:p>
        </w:tc>
        <w:tc>
          <w:tcPr>
            <w:tcW w:w="5535" w:type="dxa"/>
            <w:noWrap w:val="0"/>
            <w:vAlign w:val="center"/>
          </w:tcPr>
          <w:p w14:paraId="2D6A5DD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系统发布到甲方生产环境后，出现系统缺陷，乙方须第一时间向甲方报告缺陷，并在7天内作出实质性应答，并分析影响，制定消缺计划。</w:t>
            </w:r>
          </w:p>
        </w:tc>
      </w:tr>
      <w:tr w14:paraId="0098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53C5823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666B6B6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用户投诉</w:t>
            </w:r>
          </w:p>
        </w:tc>
        <w:tc>
          <w:tcPr>
            <w:tcW w:w="720" w:type="dxa"/>
            <w:noWrap w:val="0"/>
            <w:vAlign w:val="center"/>
          </w:tcPr>
          <w:p w14:paraId="7B37E92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3.3</w:t>
            </w:r>
          </w:p>
        </w:tc>
        <w:tc>
          <w:tcPr>
            <w:tcW w:w="5535" w:type="dxa"/>
            <w:noWrap w:val="0"/>
            <w:vAlign w:val="center"/>
          </w:tcPr>
          <w:p w14:paraId="10DFE47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甲方提出用户投诉后，乙方必须3天内做出实质性应答和分析报告。</w:t>
            </w:r>
          </w:p>
        </w:tc>
      </w:tr>
      <w:tr w14:paraId="28F8B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restart"/>
            <w:noWrap w:val="0"/>
            <w:vAlign w:val="center"/>
          </w:tcPr>
          <w:p w14:paraId="63C1F47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安全责</w:t>
            </w:r>
            <w:r>
              <w:rPr>
                <w:rFonts w:hint="eastAsia" w:ascii="宋体" w:hAnsi="宋体" w:eastAsia="宋体" w:cs="宋体"/>
                <w:color w:val="auto"/>
                <w:sz w:val="24"/>
                <w:szCs w:val="24"/>
                <w:highlight w:val="none"/>
                <w:lang w:val="en-US" w:eastAsia="zh-CN"/>
              </w:rPr>
              <w:t>任</w:t>
            </w:r>
          </w:p>
        </w:tc>
        <w:tc>
          <w:tcPr>
            <w:tcW w:w="1395" w:type="dxa"/>
            <w:noWrap w:val="0"/>
            <w:vAlign w:val="center"/>
          </w:tcPr>
          <w:p w14:paraId="30973CD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信息安全</w:t>
            </w:r>
          </w:p>
        </w:tc>
        <w:tc>
          <w:tcPr>
            <w:tcW w:w="720" w:type="dxa"/>
            <w:noWrap w:val="0"/>
            <w:vAlign w:val="center"/>
          </w:tcPr>
          <w:p w14:paraId="3A144C2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4.1</w:t>
            </w:r>
          </w:p>
        </w:tc>
        <w:tc>
          <w:tcPr>
            <w:tcW w:w="5535" w:type="dxa"/>
            <w:noWrap w:val="0"/>
            <w:vAlign w:val="center"/>
          </w:tcPr>
          <w:p w14:paraId="2392C82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乙方须按照南方电网相关规定履行相关信息安全责任。</w:t>
            </w:r>
          </w:p>
        </w:tc>
      </w:tr>
      <w:tr w14:paraId="2C68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noWrap w:val="0"/>
            <w:vAlign w:val="center"/>
          </w:tcPr>
          <w:p w14:paraId="2B6189F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p>
        </w:tc>
        <w:tc>
          <w:tcPr>
            <w:tcW w:w="1395" w:type="dxa"/>
            <w:noWrap w:val="0"/>
            <w:vAlign w:val="center"/>
          </w:tcPr>
          <w:p w14:paraId="65D2F13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en-US" w:eastAsia="zh-CN"/>
              </w:rPr>
              <w:t>施工安全</w:t>
            </w:r>
          </w:p>
        </w:tc>
        <w:tc>
          <w:tcPr>
            <w:tcW w:w="720" w:type="dxa"/>
            <w:noWrap w:val="0"/>
            <w:vAlign w:val="center"/>
          </w:tcPr>
          <w:p w14:paraId="390A59F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en-US" w:eastAsia="zh-CN"/>
              </w:rPr>
              <w:t>4.2</w:t>
            </w:r>
          </w:p>
        </w:tc>
        <w:tc>
          <w:tcPr>
            <w:tcW w:w="5535" w:type="dxa"/>
            <w:noWrap w:val="0"/>
            <w:vAlign w:val="center"/>
          </w:tcPr>
          <w:p w14:paraId="2EE1E7A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乙方须按照南方电网相关规定履行相关</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lang w:val="zh-TW"/>
              </w:rPr>
              <w:t>安全责任</w:t>
            </w:r>
            <w:r>
              <w:rPr>
                <w:rFonts w:hint="eastAsia" w:ascii="宋体" w:hAnsi="宋体" w:eastAsia="宋体" w:cs="宋体"/>
                <w:color w:val="auto"/>
                <w:sz w:val="24"/>
                <w:szCs w:val="24"/>
                <w:highlight w:val="none"/>
                <w:lang w:val="zh-TW" w:eastAsia="zh-CN"/>
              </w:rPr>
              <w:t>。</w:t>
            </w:r>
          </w:p>
        </w:tc>
      </w:tr>
    </w:tbl>
    <w:p w14:paraId="75CED11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本技术条件书中的未尽事宜，由招标方解释。</w:t>
      </w:r>
    </w:p>
    <w:p w14:paraId="60B9A9D6">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color w:val="auto"/>
          <w:sz w:val="24"/>
          <w:szCs w:val="24"/>
          <w:highlight w:val="none"/>
          <w:lang w:val="en-US" w:eastAsia="zh-CN"/>
        </w:rPr>
      </w:pPr>
      <w:bookmarkStart w:id="52" w:name="_Toc9819"/>
      <w:r>
        <w:rPr>
          <w:rFonts w:hint="eastAsia" w:ascii="宋体" w:hAnsi="宋体" w:eastAsia="宋体" w:cs="宋体"/>
          <w:b/>
          <w:color w:val="auto"/>
          <w:sz w:val="24"/>
          <w:szCs w:val="24"/>
          <w:highlight w:val="none"/>
          <w:lang w:val="en-US" w:eastAsia="zh-CN"/>
        </w:rPr>
        <w:t>项目部署要求</w:t>
      </w:r>
      <w:bookmarkEnd w:id="52"/>
    </w:p>
    <w:p w14:paraId="22FBB6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53" w:name="_Toc18906"/>
      <w:bookmarkStart w:id="54" w:name="_Toc282631496"/>
      <w:bookmarkStart w:id="55" w:name="_Toc287791883"/>
      <w:bookmarkStart w:id="56" w:name="_Toc282433763"/>
      <w:r>
        <w:rPr>
          <w:rFonts w:hint="eastAsia" w:ascii="宋体" w:hAnsi="宋体" w:eastAsia="宋体" w:cs="宋体"/>
          <w:color w:val="auto"/>
          <w:sz w:val="24"/>
          <w:szCs w:val="24"/>
          <w:highlight w:val="none"/>
          <w:lang w:val="en-US" w:eastAsia="zh-CN"/>
        </w:rPr>
        <w:t>（1）软硬件的安装、调试，将由投标方在招标方监督下进行。</w:t>
      </w:r>
    </w:p>
    <w:p w14:paraId="368572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（2）部署调试前，应完成部署方案的编写、审核，由投标方编写，招标方审核。现场部署调试应严格按照调试方案进行。</w:t>
      </w:r>
    </w:p>
    <w:p w14:paraId="124FB7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（3）在部署调试期间，由招标方安排合适时间，由投标方负责派技术人员到招标方现场进行技术服务。</w:t>
      </w:r>
    </w:p>
    <w:p w14:paraId="04D778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（4）在试运行期间，投标方应对试运行中出现的问题进行及时修复。</w:t>
      </w:r>
    </w:p>
    <w:bookmarkEnd w:id="53"/>
    <w:bookmarkEnd w:id="54"/>
    <w:bookmarkEnd w:id="55"/>
    <w:bookmarkEnd w:id="56"/>
    <w:p w14:paraId="5DC363D4">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0" w:leftChars="0" w:firstLine="482" w:firstLineChars="200"/>
        <w:textAlignment w:val="auto"/>
        <w:outlineLvl w:val="1"/>
        <w:rPr>
          <w:rFonts w:hint="eastAsia" w:ascii="宋体" w:hAnsi="宋体" w:eastAsia="宋体" w:cs="宋体"/>
          <w:b/>
          <w:color w:val="auto"/>
          <w:sz w:val="24"/>
          <w:szCs w:val="24"/>
          <w:highlight w:val="none"/>
          <w:lang w:val="en-US" w:eastAsia="zh-CN"/>
        </w:rPr>
      </w:pPr>
      <w:bookmarkStart w:id="57" w:name="_Toc16303"/>
      <w:r>
        <w:rPr>
          <w:rFonts w:hint="eastAsia" w:ascii="宋体" w:hAnsi="宋体" w:eastAsia="宋体" w:cs="宋体"/>
          <w:b/>
          <w:color w:val="auto"/>
          <w:sz w:val="24"/>
          <w:szCs w:val="24"/>
          <w:highlight w:val="none"/>
          <w:lang w:val="en-US" w:eastAsia="zh-CN"/>
        </w:rPr>
        <w:t>项目交付项</w:t>
      </w:r>
      <w:bookmarkEnd w:id="57"/>
    </w:p>
    <w:p w14:paraId="04766B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应答方必须在合同规定时间内，将采购范围内所界定的工作完成。在通过评审、审查验收后，应答方需将所有项目成果交付给采购人（对于项目成果的名称和具体组织方式，可由双方协商确定），包括但不限于：</w:t>
      </w:r>
    </w:p>
    <w:p w14:paraId="7B234E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满足本采购文件的项目目标和相应的技术、业务要求的文档（除显式说明者外，均需提交电子版。其内容必须与实际工作情况相一致，其质量必须符合采购人的要求），包括第三方功能、性能测试报告，</w:t>
      </w:r>
      <w:r>
        <w:rPr>
          <w:rFonts w:hint="eastAsia" w:ascii="宋体" w:hAnsi="宋体" w:cs="宋体"/>
          <w:color w:val="auto"/>
          <w:sz w:val="24"/>
          <w:szCs w:val="24"/>
          <w:highlight w:val="none"/>
          <w:lang w:val="en-US" w:eastAsia="zh-CN"/>
        </w:rPr>
        <w:t>入网安评测试报告、</w:t>
      </w:r>
      <w:r>
        <w:rPr>
          <w:rFonts w:hint="eastAsia" w:ascii="宋体" w:hAnsi="宋体" w:eastAsia="宋体" w:cs="宋体"/>
          <w:color w:val="auto"/>
          <w:sz w:val="24"/>
          <w:szCs w:val="24"/>
          <w:highlight w:val="none"/>
          <w:lang w:val="en-US" w:eastAsia="zh-CN"/>
        </w:rPr>
        <w:t>用户操作手册、用户培训材料等。</w:t>
      </w:r>
    </w:p>
    <w:sectPr>
      <w:footerReference r:id="rId3" w:type="default"/>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676A9">
    <w:pPr>
      <w:pStyle w:val="22"/>
      <w:jc w:val="center"/>
      <w:rPr>
        <w:sz w:val="21"/>
        <w:szCs w:val="21"/>
      </w:rPr>
    </w:pPr>
    <w:r>
      <w:rPr>
        <w:sz w:val="21"/>
        <w:szCs w:val="21"/>
      </w:rPr>
      <w:fldChar w:fldCharType="begin"/>
    </w:r>
    <w:r>
      <w:rPr>
        <w:rStyle w:val="32"/>
        <w:sz w:val="21"/>
        <w:szCs w:val="21"/>
      </w:rPr>
      <w:instrText xml:space="preserve"> PAGE </w:instrText>
    </w:r>
    <w:r>
      <w:rPr>
        <w:sz w:val="21"/>
        <w:szCs w:val="21"/>
      </w:rPr>
      <w:fldChar w:fldCharType="separate"/>
    </w:r>
    <w:r>
      <w:rPr>
        <w:rStyle w:val="32"/>
        <w:sz w:val="21"/>
        <w:szCs w:val="21"/>
      </w:rPr>
      <w:t>7</w:t>
    </w:r>
    <w:r>
      <w:rPr>
        <w:sz w:val="21"/>
        <w:szCs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374ADA"/>
    <w:multiLevelType w:val="singleLevel"/>
    <w:tmpl w:val="CA374ADA"/>
    <w:lvl w:ilvl="0" w:tentative="0">
      <w:start w:val="1"/>
      <w:numFmt w:val="decimal"/>
      <w:suff w:val="nothing"/>
      <w:lvlText w:val="（%1）"/>
      <w:lvlJc w:val="left"/>
    </w:lvl>
  </w:abstractNum>
  <w:abstractNum w:abstractNumId="1">
    <w:nsid w:val="DBB39743"/>
    <w:multiLevelType w:val="multilevel"/>
    <w:tmpl w:val="DBB39743"/>
    <w:lvl w:ilvl="0" w:tentative="0">
      <w:start w:val="3"/>
      <w:numFmt w:val="decimal"/>
      <w:lvlText w:val="%1."/>
      <w:lvlJc w:val="left"/>
      <w:pPr>
        <w:ind w:left="425" w:hanging="425"/>
      </w:pPr>
      <w:rPr>
        <w:rFonts w:hint="default" w:ascii="宋体" w:hAnsi="宋体" w:eastAsia="宋体" w:cs="宋体"/>
      </w:rPr>
    </w:lvl>
    <w:lvl w:ilvl="1" w:tentative="0">
      <w:start w:val="6"/>
      <w:numFmt w:val="decimal"/>
      <w:pStyle w:val="53"/>
      <w:lvlText w:val="%1.%2."/>
      <w:lvlJc w:val="left"/>
      <w:pPr>
        <w:ind w:left="567" w:hanging="567"/>
      </w:pPr>
      <w:rPr>
        <w:rFonts w:hint="default" w:ascii="宋体" w:hAnsi="宋体" w:eastAsia="宋体" w:cs="宋体"/>
      </w:rPr>
    </w:lvl>
    <w:lvl w:ilvl="2" w:tentative="0">
      <w:start w:val="2"/>
      <w:numFmt w:val="decimal"/>
      <w:pStyle w:val="54"/>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pStyle w:val="55"/>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0E7C0ECC"/>
    <w:multiLevelType w:val="multilevel"/>
    <w:tmpl w:val="0E7C0ECC"/>
    <w:lvl w:ilvl="0" w:tentative="0">
      <w:start w:val="1"/>
      <w:numFmt w:val="decimal"/>
      <w:lvlText w:val="%1."/>
      <w:lvlJc w:val="left"/>
      <w:pPr>
        <w:ind w:left="425" w:hanging="425"/>
      </w:pPr>
      <w:rPr>
        <w:rFonts w:hint="default" w:ascii="宋体" w:hAnsi="宋体" w:eastAsia="宋体" w:cs="宋体"/>
      </w:rPr>
    </w:lvl>
    <w:lvl w:ilvl="1" w:tentative="0">
      <w:start w:val="1"/>
      <w:numFmt w:val="decimal"/>
      <w:suff w:val="space"/>
      <w:lvlText w:val="%1.%2."/>
      <w:lvlJc w:val="left"/>
      <w:pPr>
        <w:tabs>
          <w:tab w:val="left" w:pos="420"/>
        </w:tabs>
        <w:ind w:left="0" w:leftChars="0" w:firstLine="0" w:firstLineChars="0"/>
      </w:pPr>
      <w:rPr>
        <w:rFonts w:hint="default"/>
      </w:rPr>
    </w:lvl>
    <w:lvl w:ilvl="2" w:tentative="0">
      <w:start w:val="1"/>
      <w:numFmt w:val="decimal"/>
      <w:suff w:val="space"/>
      <w:lvlText w:val="%1.%2.%3."/>
      <w:lvlJc w:val="left"/>
      <w:pPr>
        <w:tabs>
          <w:tab w:val="left" w:pos="420"/>
        </w:tabs>
        <w:ind w:left="0" w:leftChars="0" w:firstLine="0" w:firstLineChars="0"/>
      </w:pPr>
      <w:rPr>
        <w:rFonts w:hint="default"/>
      </w:rPr>
    </w:lvl>
    <w:lvl w:ilvl="3" w:tentative="0">
      <w:start w:val="1"/>
      <w:numFmt w:val="decimal"/>
      <w:suff w:val="space"/>
      <w:lvlText w:val="%1.%2.%3.%4."/>
      <w:lvlJc w:val="left"/>
      <w:pPr>
        <w:tabs>
          <w:tab w:val="left" w:pos="420"/>
        </w:tabs>
        <w:ind w:left="0" w:leftChars="0" w:firstLine="0" w:firstLineChars="0"/>
      </w:pPr>
      <w:rPr>
        <w:rFonts w:hint="default"/>
      </w:rPr>
    </w:lvl>
    <w:lvl w:ilvl="4" w:tentative="0">
      <w:start w:val="1"/>
      <w:numFmt w:val="decimal"/>
      <w:lvlText w:val="%1.%2.%3.%4.%5."/>
      <w:lvlJc w:val="left"/>
      <w:pPr>
        <w:ind w:left="162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30EB6F99"/>
    <w:multiLevelType w:val="singleLevel"/>
    <w:tmpl w:val="30EB6F99"/>
    <w:lvl w:ilvl="0" w:tentative="0">
      <w:start w:val="1"/>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142"/>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2ODZjZjdhMGNkZWQ5YmYwZGM3MzRiOTczNWY5YzQifQ=="/>
  </w:docVars>
  <w:rsids>
    <w:rsidRoot w:val="00172A27"/>
    <w:rsid w:val="000006D5"/>
    <w:rsid w:val="00001E0A"/>
    <w:rsid w:val="00001FE2"/>
    <w:rsid w:val="00002B87"/>
    <w:rsid w:val="000045B1"/>
    <w:rsid w:val="000064F3"/>
    <w:rsid w:val="000106CF"/>
    <w:rsid w:val="00011A55"/>
    <w:rsid w:val="000161EA"/>
    <w:rsid w:val="000223DB"/>
    <w:rsid w:val="00040586"/>
    <w:rsid w:val="000433D9"/>
    <w:rsid w:val="000939CE"/>
    <w:rsid w:val="00094946"/>
    <w:rsid w:val="000A3B02"/>
    <w:rsid w:val="000A6584"/>
    <w:rsid w:val="000B79BC"/>
    <w:rsid w:val="000C034E"/>
    <w:rsid w:val="000C0756"/>
    <w:rsid w:val="000D0AAB"/>
    <w:rsid w:val="000E7386"/>
    <w:rsid w:val="000F397B"/>
    <w:rsid w:val="00104AAE"/>
    <w:rsid w:val="001050AB"/>
    <w:rsid w:val="00105948"/>
    <w:rsid w:val="0011008F"/>
    <w:rsid w:val="001116F8"/>
    <w:rsid w:val="001122BE"/>
    <w:rsid w:val="00114254"/>
    <w:rsid w:val="001248C0"/>
    <w:rsid w:val="00125801"/>
    <w:rsid w:val="00126136"/>
    <w:rsid w:val="001306E9"/>
    <w:rsid w:val="0016188C"/>
    <w:rsid w:val="00161FC4"/>
    <w:rsid w:val="00171F39"/>
    <w:rsid w:val="00172A27"/>
    <w:rsid w:val="00172CCC"/>
    <w:rsid w:val="00174BCC"/>
    <w:rsid w:val="00187A2D"/>
    <w:rsid w:val="00192C37"/>
    <w:rsid w:val="001932CB"/>
    <w:rsid w:val="00195E5B"/>
    <w:rsid w:val="00196DA8"/>
    <w:rsid w:val="001A42B7"/>
    <w:rsid w:val="001A4BB8"/>
    <w:rsid w:val="001B3BCA"/>
    <w:rsid w:val="001B640D"/>
    <w:rsid w:val="001B77BC"/>
    <w:rsid w:val="001C166C"/>
    <w:rsid w:val="001C2DDC"/>
    <w:rsid w:val="001C4124"/>
    <w:rsid w:val="001C593E"/>
    <w:rsid w:val="001C59E9"/>
    <w:rsid w:val="001E7CC5"/>
    <w:rsid w:val="001F51F3"/>
    <w:rsid w:val="001F6FAC"/>
    <w:rsid w:val="00200C0D"/>
    <w:rsid w:val="00202FD6"/>
    <w:rsid w:val="002032D9"/>
    <w:rsid w:val="00210B3F"/>
    <w:rsid w:val="00212691"/>
    <w:rsid w:val="00214227"/>
    <w:rsid w:val="0021509F"/>
    <w:rsid w:val="00217907"/>
    <w:rsid w:val="00230E22"/>
    <w:rsid w:val="002404E4"/>
    <w:rsid w:val="002443A8"/>
    <w:rsid w:val="00246FA6"/>
    <w:rsid w:val="0025599B"/>
    <w:rsid w:val="0026327E"/>
    <w:rsid w:val="0026571B"/>
    <w:rsid w:val="00273E8C"/>
    <w:rsid w:val="0028252E"/>
    <w:rsid w:val="00291C6A"/>
    <w:rsid w:val="00292777"/>
    <w:rsid w:val="0029391A"/>
    <w:rsid w:val="002A3B25"/>
    <w:rsid w:val="002A776C"/>
    <w:rsid w:val="002B6009"/>
    <w:rsid w:val="002C411A"/>
    <w:rsid w:val="002C4125"/>
    <w:rsid w:val="002C5D54"/>
    <w:rsid w:val="002D0BE9"/>
    <w:rsid w:val="002D0D1A"/>
    <w:rsid w:val="002D51A8"/>
    <w:rsid w:val="002F2D3F"/>
    <w:rsid w:val="002F3B05"/>
    <w:rsid w:val="00303EB1"/>
    <w:rsid w:val="00304AD3"/>
    <w:rsid w:val="00317787"/>
    <w:rsid w:val="00331B81"/>
    <w:rsid w:val="00332039"/>
    <w:rsid w:val="00334DE5"/>
    <w:rsid w:val="003362CA"/>
    <w:rsid w:val="00336FE0"/>
    <w:rsid w:val="00346251"/>
    <w:rsid w:val="003548FD"/>
    <w:rsid w:val="00355493"/>
    <w:rsid w:val="00360E72"/>
    <w:rsid w:val="00371EB7"/>
    <w:rsid w:val="003725B7"/>
    <w:rsid w:val="00373A4F"/>
    <w:rsid w:val="00374096"/>
    <w:rsid w:val="00374E31"/>
    <w:rsid w:val="00376054"/>
    <w:rsid w:val="003772B1"/>
    <w:rsid w:val="00385BBF"/>
    <w:rsid w:val="00394BDB"/>
    <w:rsid w:val="003A0F15"/>
    <w:rsid w:val="003A3D82"/>
    <w:rsid w:val="003A4194"/>
    <w:rsid w:val="003B5C56"/>
    <w:rsid w:val="003B5EE2"/>
    <w:rsid w:val="003C0F36"/>
    <w:rsid w:val="003C15AF"/>
    <w:rsid w:val="003C26AF"/>
    <w:rsid w:val="003C54AD"/>
    <w:rsid w:val="003C6540"/>
    <w:rsid w:val="003C7AA3"/>
    <w:rsid w:val="003D456D"/>
    <w:rsid w:val="003F095F"/>
    <w:rsid w:val="003F3843"/>
    <w:rsid w:val="003F3DD8"/>
    <w:rsid w:val="00400B9B"/>
    <w:rsid w:val="004102A6"/>
    <w:rsid w:val="00411467"/>
    <w:rsid w:val="004136B6"/>
    <w:rsid w:val="004166CD"/>
    <w:rsid w:val="00416777"/>
    <w:rsid w:val="00417C0E"/>
    <w:rsid w:val="00424C53"/>
    <w:rsid w:val="00434CC2"/>
    <w:rsid w:val="004441B9"/>
    <w:rsid w:val="004446EF"/>
    <w:rsid w:val="00444EAE"/>
    <w:rsid w:val="00447D7F"/>
    <w:rsid w:val="00452283"/>
    <w:rsid w:val="00467C95"/>
    <w:rsid w:val="00467D73"/>
    <w:rsid w:val="004724A1"/>
    <w:rsid w:val="004727CA"/>
    <w:rsid w:val="004757AA"/>
    <w:rsid w:val="00477B50"/>
    <w:rsid w:val="0048086F"/>
    <w:rsid w:val="004865FD"/>
    <w:rsid w:val="00487598"/>
    <w:rsid w:val="00487EE8"/>
    <w:rsid w:val="00491118"/>
    <w:rsid w:val="00491B15"/>
    <w:rsid w:val="0049710D"/>
    <w:rsid w:val="004A5705"/>
    <w:rsid w:val="004C0933"/>
    <w:rsid w:val="004C1825"/>
    <w:rsid w:val="004D24E7"/>
    <w:rsid w:val="004D670C"/>
    <w:rsid w:val="004E3088"/>
    <w:rsid w:val="004E7697"/>
    <w:rsid w:val="004E7A27"/>
    <w:rsid w:val="004F03FE"/>
    <w:rsid w:val="004F30AB"/>
    <w:rsid w:val="004F33B6"/>
    <w:rsid w:val="004F5E4F"/>
    <w:rsid w:val="005056E7"/>
    <w:rsid w:val="00515A73"/>
    <w:rsid w:val="00517B3A"/>
    <w:rsid w:val="00520235"/>
    <w:rsid w:val="00527CB5"/>
    <w:rsid w:val="0053268D"/>
    <w:rsid w:val="005345FC"/>
    <w:rsid w:val="00544A72"/>
    <w:rsid w:val="00553C5C"/>
    <w:rsid w:val="00555AF0"/>
    <w:rsid w:val="005563B2"/>
    <w:rsid w:val="005805F5"/>
    <w:rsid w:val="00594228"/>
    <w:rsid w:val="005A6678"/>
    <w:rsid w:val="005B2126"/>
    <w:rsid w:val="005C107A"/>
    <w:rsid w:val="005C5EC1"/>
    <w:rsid w:val="005D3B6A"/>
    <w:rsid w:val="005D4389"/>
    <w:rsid w:val="005D649F"/>
    <w:rsid w:val="005D6AF2"/>
    <w:rsid w:val="005E3368"/>
    <w:rsid w:val="005E5384"/>
    <w:rsid w:val="005F2386"/>
    <w:rsid w:val="005F4100"/>
    <w:rsid w:val="005F58A2"/>
    <w:rsid w:val="00603BC5"/>
    <w:rsid w:val="00606417"/>
    <w:rsid w:val="00607111"/>
    <w:rsid w:val="006106FA"/>
    <w:rsid w:val="00613C1A"/>
    <w:rsid w:val="00620263"/>
    <w:rsid w:val="006219A5"/>
    <w:rsid w:val="006225FB"/>
    <w:rsid w:val="00624DE6"/>
    <w:rsid w:val="00632CDB"/>
    <w:rsid w:val="00635DDB"/>
    <w:rsid w:val="00642EED"/>
    <w:rsid w:val="0064352B"/>
    <w:rsid w:val="00651CDE"/>
    <w:rsid w:val="00652211"/>
    <w:rsid w:val="00665672"/>
    <w:rsid w:val="00673E32"/>
    <w:rsid w:val="00677D82"/>
    <w:rsid w:val="00684B9F"/>
    <w:rsid w:val="00685A74"/>
    <w:rsid w:val="006879E2"/>
    <w:rsid w:val="00692944"/>
    <w:rsid w:val="00692EAA"/>
    <w:rsid w:val="0069419C"/>
    <w:rsid w:val="006954FB"/>
    <w:rsid w:val="00696154"/>
    <w:rsid w:val="0069640D"/>
    <w:rsid w:val="006A36B1"/>
    <w:rsid w:val="006B5E34"/>
    <w:rsid w:val="006B6251"/>
    <w:rsid w:val="006E06F1"/>
    <w:rsid w:val="006F5A69"/>
    <w:rsid w:val="007177AA"/>
    <w:rsid w:val="00734433"/>
    <w:rsid w:val="00741BBF"/>
    <w:rsid w:val="007464E1"/>
    <w:rsid w:val="00752BAE"/>
    <w:rsid w:val="00752DD1"/>
    <w:rsid w:val="007740FC"/>
    <w:rsid w:val="00776B77"/>
    <w:rsid w:val="0078427A"/>
    <w:rsid w:val="007853C5"/>
    <w:rsid w:val="00785D4F"/>
    <w:rsid w:val="00794021"/>
    <w:rsid w:val="00795F7B"/>
    <w:rsid w:val="007A0FCE"/>
    <w:rsid w:val="007A2698"/>
    <w:rsid w:val="007B1694"/>
    <w:rsid w:val="007B34F6"/>
    <w:rsid w:val="007C25BE"/>
    <w:rsid w:val="007C7BC5"/>
    <w:rsid w:val="007D0EC4"/>
    <w:rsid w:val="007D2EC6"/>
    <w:rsid w:val="007D3A91"/>
    <w:rsid w:val="007E0C31"/>
    <w:rsid w:val="007F6B1E"/>
    <w:rsid w:val="00800BF0"/>
    <w:rsid w:val="00801084"/>
    <w:rsid w:val="00802B8B"/>
    <w:rsid w:val="00803254"/>
    <w:rsid w:val="008053DF"/>
    <w:rsid w:val="00806FE7"/>
    <w:rsid w:val="00812356"/>
    <w:rsid w:val="00817D48"/>
    <w:rsid w:val="00825598"/>
    <w:rsid w:val="00827FA4"/>
    <w:rsid w:val="00831750"/>
    <w:rsid w:val="00833549"/>
    <w:rsid w:val="00840431"/>
    <w:rsid w:val="00843E65"/>
    <w:rsid w:val="0084593B"/>
    <w:rsid w:val="008614A2"/>
    <w:rsid w:val="008662F6"/>
    <w:rsid w:val="00871EA2"/>
    <w:rsid w:val="008750BF"/>
    <w:rsid w:val="00875230"/>
    <w:rsid w:val="00882F05"/>
    <w:rsid w:val="008A095D"/>
    <w:rsid w:val="008B052F"/>
    <w:rsid w:val="008B3E60"/>
    <w:rsid w:val="008C097C"/>
    <w:rsid w:val="008C1EE7"/>
    <w:rsid w:val="008D431D"/>
    <w:rsid w:val="008D546D"/>
    <w:rsid w:val="008D5583"/>
    <w:rsid w:val="008D6DA0"/>
    <w:rsid w:val="008D74FC"/>
    <w:rsid w:val="008E557F"/>
    <w:rsid w:val="008E7F1B"/>
    <w:rsid w:val="009076C5"/>
    <w:rsid w:val="00911CDD"/>
    <w:rsid w:val="0091263E"/>
    <w:rsid w:val="0091395F"/>
    <w:rsid w:val="00917620"/>
    <w:rsid w:val="00920DD3"/>
    <w:rsid w:val="00930F93"/>
    <w:rsid w:val="009402C3"/>
    <w:rsid w:val="00941420"/>
    <w:rsid w:val="00943137"/>
    <w:rsid w:val="009637BE"/>
    <w:rsid w:val="00965E4F"/>
    <w:rsid w:val="00980B9C"/>
    <w:rsid w:val="00981E5A"/>
    <w:rsid w:val="00982C0F"/>
    <w:rsid w:val="009830E2"/>
    <w:rsid w:val="00983702"/>
    <w:rsid w:val="00986FC4"/>
    <w:rsid w:val="009931E8"/>
    <w:rsid w:val="0099430E"/>
    <w:rsid w:val="0099624D"/>
    <w:rsid w:val="00997287"/>
    <w:rsid w:val="009A3D6C"/>
    <w:rsid w:val="009A46CE"/>
    <w:rsid w:val="009A6C74"/>
    <w:rsid w:val="009B53E0"/>
    <w:rsid w:val="009C1572"/>
    <w:rsid w:val="009C58CE"/>
    <w:rsid w:val="009E1789"/>
    <w:rsid w:val="009E4191"/>
    <w:rsid w:val="009E64B6"/>
    <w:rsid w:val="009F0B2B"/>
    <w:rsid w:val="009F7B08"/>
    <w:rsid w:val="00A00F2C"/>
    <w:rsid w:val="00A04927"/>
    <w:rsid w:val="00A06C97"/>
    <w:rsid w:val="00A147F2"/>
    <w:rsid w:val="00A152CB"/>
    <w:rsid w:val="00A15C02"/>
    <w:rsid w:val="00A161AD"/>
    <w:rsid w:val="00A17013"/>
    <w:rsid w:val="00A2068E"/>
    <w:rsid w:val="00A23A31"/>
    <w:rsid w:val="00A322C7"/>
    <w:rsid w:val="00A32B98"/>
    <w:rsid w:val="00A35B1A"/>
    <w:rsid w:val="00A40540"/>
    <w:rsid w:val="00A42B31"/>
    <w:rsid w:val="00A45D1A"/>
    <w:rsid w:val="00A57D97"/>
    <w:rsid w:val="00A639BB"/>
    <w:rsid w:val="00A764B8"/>
    <w:rsid w:val="00A77A72"/>
    <w:rsid w:val="00A81DBD"/>
    <w:rsid w:val="00A838A0"/>
    <w:rsid w:val="00A8521D"/>
    <w:rsid w:val="00A90076"/>
    <w:rsid w:val="00A91094"/>
    <w:rsid w:val="00A92076"/>
    <w:rsid w:val="00A92ED4"/>
    <w:rsid w:val="00A962E6"/>
    <w:rsid w:val="00AA2572"/>
    <w:rsid w:val="00AB180E"/>
    <w:rsid w:val="00AB5DC5"/>
    <w:rsid w:val="00AB7CF2"/>
    <w:rsid w:val="00AC22EE"/>
    <w:rsid w:val="00AC3C7B"/>
    <w:rsid w:val="00AF4C9B"/>
    <w:rsid w:val="00AF4D2A"/>
    <w:rsid w:val="00B06ACA"/>
    <w:rsid w:val="00B1582F"/>
    <w:rsid w:val="00B16E7B"/>
    <w:rsid w:val="00B226B0"/>
    <w:rsid w:val="00B32DBE"/>
    <w:rsid w:val="00B35DC5"/>
    <w:rsid w:val="00B3707B"/>
    <w:rsid w:val="00B43547"/>
    <w:rsid w:val="00B452D6"/>
    <w:rsid w:val="00B45980"/>
    <w:rsid w:val="00B55FF0"/>
    <w:rsid w:val="00B67381"/>
    <w:rsid w:val="00B7305E"/>
    <w:rsid w:val="00B765FB"/>
    <w:rsid w:val="00B825D7"/>
    <w:rsid w:val="00B8319E"/>
    <w:rsid w:val="00B85E7D"/>
    <w:rsid w:val="00B917A6"/>
    <w:rsid w:val="00B91E89"/>
    <w:rsid w:val="00B92846"/>
    <w:rsid w:val="00B95C9C"/>
    <w:rsid w:val="00B9751A"/>
    <w:rsid w:val="00BA5868"/>
    <w:rsid w:val="00BC4898"/>
    <w:rsid w:val="00BD0F12"/>
    <w:rsid w:val="00BD384B"/>
    <w:rsid w:val="00BE2FF6"/>
    <w:rsid w:val="00BE610A"/>
    <w:rsid w:val="00BE6AD1"/>
    <w:rsid w:val="00BF52E3"/>
    <w:rsid w:val="00C00505"/>
    <w:rsid w:val="00C00724"/>
    <w:rsid w:val="00C02C8C"/>
    <w:rsid w:val="00C2663D"/>
    <w:rsid w:val="00C449A6"/>
    <w:rsid w:val="00C4786A"/>
    <w:rsid w:val="00C47C64"/>
    <w:rsid w:val="00C54B8E"/>
    <w:rsid w:val="00C64D6A"/>
    <w:rsid w:val="00C656B3"/>
    <w:rsid w:val="00C706C9"/>
    <w:rsid w:val="00C73992"/>
    <w:rsid w:val="00C80674"/>
    <w:rsid w:val="00C87055"/>
    <w:rsid w:val="00CA4032"/>
    <w:rsid w:val="00CB7AE6"/>
    <w:rsid w:val="00CC5D4F"/>
    <w:rsid w:val="00CD2670"/>
    <w:rsid w:val="00CD4F51"/>
    <w:rsid w:val="00CD5B56"/>
    <w:rsid w:val="00CD5C22"/>
    <w:rsid w:val="00CE1BAB"/>
    <w:rsid w:val="00CE605F"/>
    <w:rsid w:val="00D02C85"/>
    <w:rsid w:val="00D164C1"/>
    <w:rsid w:val="00D17C47"/>
    <w:rsid w:val="00D21322"/>
    <w:rsid w:val="00D22272"/>
    <w:rsid w:val="00D274F7"/>
    <w:rsid w:val="00D31D65"/>
    <w:rsid w:val="00D350F2"/>
    <w:rsid w:val="00D434CA"/>
    <w:rsid w:val="00D56E33"/>
    <w:rsid w:val="00D75F9D"/>
    <w:rsid w:val="00D76055"/>
    <w:rsid w:val="00D857F6"/>
    <w:rsid w:val="00D87CB0"/>
    <w:rsid w:val="00D908F4"/>
    <w:rsid w:val="00D918E0"/>
    <w:rsid w:val="00DA2659"/>
    <w:rsid w:val="00DA6627"/>
    <w:rsid w:val="00DB07BC"/>
    <w:rsid w:val="00DB3B15"/>
    <w:rsid w:val="00DB56D3"/>
    <w:rsid w:val="00DC1B20"/>
    <w:rsid w:val="00DE1C47"/>
    <w:rsid w:val="00DE1F3A"/>
    <w:rsid w:val="00DE5ADC"/>
    <w:rsid w:val="00DE5C87"/>
    <w:rsid w:val="00DE7300"/>
    <w:rsid w:val="00DF4FDA"/>
    <w:rsid w:val="00DF70D2"/>
    <w:rsid w:val="00E047B0"/>
    <w:rsid w:val="00E13F2F"/>
    <w:rsid w:val="00E14B13"/>
    <w:rsid w:val="00E15D90"/>
    <w:rsid w:val="00E23C9B"/>
    <w:rsid w:val="00E30037"/>
    <w:rsid w:val="00E4150B"/>
    <w:rsid w:val="00E41FAD"/>
    <w:rsid w:val="00E447DA"/>
    <w:rsid w:val="00E44B46"/>
    <w:rsid w:val="00E44CE6"/>
    <w:rsid w:val="00E52679"/>
    <w:rsid w:val="00E52D64"/>
    <w:rsid w:val="00E53502"/>
    <w:rsid w:val="00E61FD0"/>
    <w:rsid w:val="00E66115"/>
    <w:rsid w:val="00E719EC"/>
    <w:rsid w:val="00E74F35"/>
    <w:rsid w:val="00E756ED"/>
    <w:rsid w:val="00E84F46"/>
    <w:rsid w:val="00E86E65"/>
    <w:rsid w:val="00E871DF"/>
    <w:rsid w:val="00E96C99"/>
    <w:rsid w:val="00EB23F1"/>
    <w:rsid w:val="00EC3849"/>
    <w:rsid w:val="00EE1B6B"/>
    <w:rsid w:val="00EE3967"/>
    <w:rsid w:val="00EF1842"/>
    <w:rsid w:val="00EF2862"/>
    <w:rsid w:val="00EF4328"/>
    <w:rsid w:val="00EF6672"/>
    <w:rsid w:val="00F006DF"/>
    <w:rsid w:val="00F0075E"/>
    <w:rsid w:val="00F07626"/>
    <w:rsid w:val="00F12CAA"/>
    <w:rsid w:val="00F13745"/>
    <w:rsid w:val="00F25F0A"/>
    <w:rsid w:val="00F32B54"/>
    <w:rsid w:val="00F34676"/>
    <w:rsid w:val="00F47564"/>
    <w:rsid w:val="00F5239C"/>
    <w:rsid w:val="00F56012"/>
    <w:rsid w:val="00F56DC3"/>
    <w:rsid w:val="00F75B79"/>
    <w:rsid w:val="00F75EDD"/>
    <w:rsid w:val="00F8038C"/>
    <w:rsid w:val="00F81C44"/>
    <w:rsid w:val="00F82031"/>
    <w:rsid w:val="00F851E7"/>
    <w:rsid w:val="00F87C48"/>
    <w:rsid w:val="00F87D17"/>
    <w:rsid w:val="00F90EB9"/>
    <w:rsid w:val="00F94A81"/>
    <w:rsid w:val="00F95750"/>
    <w:rsid w:val="00F9705B"/>
    <w:rsid w:val="00FA6460"/>
    <w:rsid w:val="00FB25A0"/>
    <w:rsid w:val="00FD06B2"/>
    <w:rsid w:val="00FD0F99"/>
    <w:rsid w:val="00FE5EFE"/>
    <w:rsid w:val="00FE65A5"/>
    <w:rsid w:val="00FF62F6"/>
    <w:rsid w:val="00FF72C2"/>
    <w:rsid w:val="011204A0"/>
    <w:rsid w:val="01251E93"/>
    <w:rsid w:val="015F1867"/>
    <w:rsid w:val="017F0BD6"/>
    <w:rsid w:val="01AB3331"/>
    <w:rsid w:val="01BF33DB"/>
    <w:rsid w:val="01EC20E2"/>
    <w:rsid w:val="01F8530C"/>
    <w:rsid w:val="02A163DC"/>
    <w:rsid w:val="03046D82"/>
    <w:rsid w:val="03327FC8"/>
    <w:rsid w:val="037576B9"/>
    <w:rsid w:val="038213CD"/>
    <w:rsid w:val="03966C31"/>
    <w:rsid w:val="03A95F6B"/>
    <w:rsid w:val="03B86923"/>
    <w:rsid w:val="04246559"/>
    <w:rsid w:val="043D490C"/>
    <w:rsid w:val="04451F40"/>
    <w:rsid w:val="0449358C"/>
    <w:rsid w:val="04505A4F"/>
    <w:rsid w:val="04663454"/>
    <w:rsid w:val="04903689"/>
    <w:rsid w:val="049B4271"/>
    <w:rsid w:val="0503373B"/>
    <w:rsid w:val="05194C37"/>
    <w:rsid w:val="055F5DF1"/>
    <w:rsid w:val="05642768"/>
    <w:rsid w:val="05707AD1"/>
    <w:rsid w:val="05B14591"/>
    <w:rsid w:val="05B56C20"/>
    <w:rsid w:val="05D11A97"/>
    <w:rsid w:val="063C6924"/>
    <w:rsid w:val="065F7A31"/>
    <w:rsid w:val="06724CF1"/>
    <w:rsid w:val="067302D8"/>
    <w:rsid w:val="067B7992"/>
    <w:rsid w:val="06E27BDC"/>
    <w:rsid w:val="06FB1FC5"/>
    <w:rsid w:val="07314694"/>
    <w:rsid w:val="07735BB8"/>
    <w:rsid w:val="07750484"/>
    <w:rsid w:val="078E61E9"/>
    <w:rsid w:val="07D217A2"/>
    <w:rsid w:val="07E54CF9"/>
    <w:rsid w:val="080E4C02"/>
    <w:rsid w:val="085652FD"/>
    <w:rsid w:val="085D0D56"/>
    <w:rsid w:val="085D5E4B"/>
    <w:rsid w:val="085E3C6C"/>
    <w:rsid w:val="08665064"/>
    <w:rsid w:val="0888678D"/>
    <w:rsid w:val="089808D9"/>
    <w:rsid w:val="09627664"/>
    <w:rsid w:val="097A07B2"/>
    <w:rsid w:val="097B42D4"/>
    <w:rsid w:val="098A0AC4"/>
    <w:rsid w:val="09925051"/>
    <w:rsid w:val="0A121C0D"/>
    <w:rsid w:val="0A384293"/>
    <w:rsid w:val="0A4038E0"/>
    <w:rsid w:val="0A4239AF"/>
    <w:rsid w:val="0A612EED"/>
    <w:rsid w:val="0A6F0E12"/>
    <w:rsid w:val="0A86710A"/>
    <w:rsid w:val="0ACB16C0"/>
    <w:rsid w:val="0AED0E08"/>
    <w:rsid w:val="0B06028A"/>
    <w:rsid w:val="0B3F7866"/>
    <w:rsid w:val="0B761D8A"/>
    <w:rsid w:val="0BAE2F4C"/>
    <w:rsid w:val="0BF57FCF"/>
    <w:rsid w:val="0BFD0D44"/>
    <w:rsid w:val="0C0B456D"/>
    <w:rsid w:val="0C293853"/>
    <w:rsid w:val="0C3A1863"/>
    <w:rsid w:val="0C421E56"/>
    <w:rsid w:val="0C9F075C"/>
    <w:rsid w:val="0CA30B4B"/>
    <w:rsid w:val="0CB711A9"/>
    <w:rsid w:val="0CD411B1"/>
    <w:rsid w:val="0D0230E3"/>
    <w:rsid w:val="0D3C7A45"/>
    <w:rsid w:val="0D710078"/>
    <w:rsid w:val="0D984ECC"/>
    <w:rsid w:val="0DBB5E36"/>
    <w:rsid w:val="0DDE1481"/>
    <w:rsid w:val="0DEF6F1F"/>
    <w:rsid w:val="0E180ED5"/>
    <w:rsid w:val="0E337090"/>
    <w:rsid w:val="0E530D6E"/>
    <w:rsid w:val="0E533087"/>
    <w:rsid w:val="0E6745A5"/>
    <w:rsid w:val="0E765B31"/>
    <w:rsid w:val="0EA56C26"/>
    <w:rsid w:val="0EC54049"/>
    <w:rsid w:val="0ED46EAF"/>
    <w:rsid w:val="0EE527A9"/>
    <w:rsid w:val="0F3C128F"/>
    <w:rsid w:val="0FAA55C0"/>
    <w:rsid w:val="0FBD305E"/>
    <w:rsid w:val="10271D8D"/>
    <w:rsid w:val="1058676F"/>
    <w:rsid w:val="10586ED9"/>
    <w:rsid w:val="10A15B58"/>
    <w:rsid w:val="10A854E3"/>
    <w:rsid w:val="10AF099F"/>
    <w:rsid w:val="10DA3734"/>
    <w:rsid w:val="10DE353E"/>
    <w:rsid w:val="10E40201"/>
    <w:rsid w:val="10FC247B"/>
    <w:rsid w:val="111449FA"/>
    <w:rsid w:val="11227E0A"/>
    <w:rsid w:val="11337E3C"/>
    <w:rsid w:val="11365128"/>
    <w:rsid w:val="118A0054"/>
    <w:rsid w:val="11A9618F"/>
    <w:rsid w:val="11B14453"/>
    <w:rsid w:val="11E64786"/>
    <w:rsid w:val="12137246"/>
    <w:rsid w:val="125F3A60"/>
    <w:rsid w:val="129963F4"/>
    <w:rsid w:val="12DD6477"/>
    <w:rsid w:val="12F630B7"/>
    <w:rsid w:val="13365554"/>
    <w:rsid w:val="13503E8E"/>
    <w:rsid w:val="1350413D"/>
    <w:rsid w:val="136A52ED"/>
    <w:rsid w:val="13870771"/>
    <w:rsid w:val="13C86568"/>
    <w:rsid w:val="13E83B23"/>
    <w:rsid w:val="13ED0FDD"/>
    <w:rsid w:val="1426671F"/>
    <w:rsid w:val="147F2631"/>
    <w:rsid w:val="152A5AF7"/>
    <w:rsid w:val="15560522"/>
    <w:rsid w:val="155C7296"/>
    <w:rsid w:val="15894E5E"/>
    <w:rsid w:val="158A46F9"/>
    <w:rsid w:val="15C12A35"/>
    <w:rsid w:val="15CE465E"/>
    <w:rsid w:val="15D96240"/>
    <w:rsid w:val="15ED2498"/>
    <w:rsid w:val="16071E9C"/>
    <w:rsid w:val="164442E1"/>
    <w:rsid w:val="16BD3439"/>
    <w:rsid w:val="174043B2"/>
    <w:rsid w:val="17907564"/>
    <w:rsid w:val="17A63097"/>
    <w:rsid w:val="17AC5206"/>
    <w:rsid w:val="17B36B1B"/>
    <w:rsid w:val="17BC4362"/>
    <w:rsid w:val="17D84EED"/>
    <w:rsid w:val="17FF2D17"/>
    <w:rsid w:val="180D0283"/>
    <w:rsid w:val="182B4F03"/>
    <w:rsid w:val="183A20FB"/>
    <w:rsid w:val="185573D7"/>
    <w:rsid w:val="188472B0"/>
    <w:rsid w:val="188859CE"/>
    <w:rsid w:val="18D4038C"/>
    <w:rsid w:val="18F217C8"/>
    <w:rsid w:val="19145D4E"/>
    <w:rsid w:val="199F66D5"/>
    <w:rsid w:val="19F16576"/>
    <w:rsid w:val="1A1F6B88"/>
    <w:rsid w:val="1A206975"/>
    <w:rsid w:val="1A746513"/>
    <w:rsid w:val="1A7B3880"/>
    <w:rsid w:val="1AA27C58"/>
    <w:rsid w:val="1ADE146B"/>
    <w:rsid w:val="1AE60E3F"/>
    <w:rsid w:val="1B484307"/>
    <w:rsid w:val="1B682C6C"/>
    <w:rsid w:val="1BE3026F"/>
    <w:rsid w:val="1BF50C3E"/>
    <w:rsid w:val="1C4F3D84"/>
    <w:rsid w:val="1C504812"/>
    <w:rsid w:val="1CAA00ED"/>
    <w:rsid w:val="1CBA5DB9"/>
    <w:rsid w:val="1CC54A41"/>
    <w:rsid w:val="1CC668E0"/>
    <w:rsid w:val="1CD062D3"/>
    <w:rsid w:val="1CF00269"/>
    <w:rsid w:val="1D04795A"/>
    <w:rsid w:val="1D0A4FCA"/>
    <w:rsid w:val="1D4657DC"/>
    <w:rsid w:val="1D5C4CEC"/>
    <w:rsid w:val="1D611141"/>
    <w:rsid w:val="1D7C4C96"/>
    <w:rsid w:val="1D851DC5"/>
    <w:rsid w:val="1DB530CD"/>
    <w:rsid w:val="1DE90F49"/>
    <w:rsid w:val="1DEC4A63"/>
    <w:rsid w:val="1E0163C1"/>
    <w:rsid w:val="1E0E6FDA"/>
    <w:rsid w:val="1E1A685F"/>
    <w:rsid w:val="1E326BB2"/>
    <w:rsid w:val="1E3619F9"/>
    <w:rsid w:val="1E4944C0"/>
    <w:rsid w:val="1E5053CB"/>
    <w:rsid w:val="1E715C50"/>
    <w:rsid w:val="1E7A7B5B"/>
    <w:rsid w:val="1ED10CC0"/>
    <w:rsid w:val="1EE96FFB"/>
    <w:rsid w:val="1EEA316B"/>
    <w:rsid w:val="1F235FB5"/>
    <w:rsid w:val="1F395447"/>
    <w:rsid w:val="1F667308"/>
    <w:rsid w:val="1F9F366C"/>
    <w:rsid w:val="1FF25343"/>
    <w:rsid w:val="20281474"/>
    <w:rsid w:val="203313A7"/>
    <w:rsid w:val="20503F65"/>
    <w:rsid w:val="20620703"/>
    <w:rsid w:val="20795DD4"/>
    <w:rsid w:val="20BA62DC"/>
    <w:rsid w:val="20C067BC"/>
    <w:rsid w:val="20DF0FFB"/>
    <w:rsid w:val="21235EA2"/>
    <w:rsid w:val="2126650E"/>
    <w:rsid w:val="21755571"/>
    <w:rsid w:val="21815E66"/>
    <w:rsid w:val="21BA77BE"/>
    <w:rsid w:val="21F715C9"/>
    <w:rsid w:val="21FD3559"/>
    <w:rsid w:val="22207817"/>
    <w:rsid w:val="2248132D"/>
    <w:rsid w:val="226338A3"/>
    <w:rsid w:val="22A102B5"/>
    <w:rsid w:val="22A479FB"/>
    <w:rsid w:val="230010BE"/>
    <w:rsid w:val="23112926"/>
    <w:rsid w:val="233A6C5C"/>
    <w:rsid w:val="236677FA"/>
    <w:rsid w:val="23A653DA"/>
    <w:rsid w:val="23B83CA7"/>
    <w:rsid w:val="23CD0579"/>
    <w:rsid w:val="23D179A7"/>
    <w:rsid w:val="23E92E16"/>
    <w:rsid w:val="23E95F8A"/>
    <w:rsid w:val="23ED5B1A"/>
    <w:rsid w:val="23FA67C0"/>
    <w:rsid w:val="2445310E"/>
    <w:rsid w:val="245E226D"/>
    <w:rsid w:val="24635FFD"/>
    <w:rsid w:val="246D27B7"/>
    <w:rsid w:val="248014F2"/>
    <w:rsid w:val="24866D27"/>
    <w:rsid w:val="24DD4D63"/>
    <w:rsid w:val="24F35FAE"/>
    <w:rsid w:val="255D565D"/>
    <w:rsid w:val="25674100"/>
    <w:rsid w:val="258C3D26"/>
    <w:rsid w:val="25A606F2"/>
    <w:rsid w:val="26031625"/>
    <w:rsid w:val="260D3076"/>
    <w:rsid w:val="26211530"/>
    <w:rsid w:val="262C5EB7"/>
    <w:rsid w:val="2677791D"/>
    <w:rsid w:val="26813CD1"/>
    <w:rsid w:val="26883DB3"/>
    <w:rsid w:val="268F115B"/>
    <w:rsid w:val="26A3630E"/>
    <w:rsid w:val="26C56EDD"/>
    <w:rsid w:val="277635AE"/>
    <w:rsid w:val="279F7EC8"/>
    <w:rsid w:val="27C16042"/>
    <w:rsid w:val="27F25BE5"/>
    <w:rsid w:val="27FA1F06"/>
    <w:rsid w:val="2804260E"/>
    <w:rsid w:val="28455BDF"/>
    <w:rsid w:val="28462B22"/>
    <w:rsid w:val="28644628"/>
    <w:rsid w:val="288307FB"/>
    <w:rsid w:val="288362B9"/>
    <w:rsid w:val="288E2646"/>
    <w:rsid w:val="28E0646F"/>
    <w:rsid w:val="297E60A1"/>
    <w:rsid w:val="29812A6F"/>
    <w:rsid w:val="29943524"/>
    <w:rsid w:val="29A14ECF"/>
    <w:rsid w:val="29B90D72"/>
    <w:rsid w:val="29B93B21"/>
    <w:rsid w:val="2A012D6D"/>
    <w:rsid w:val="2A054D54"/>
    <w:rsid w:val="2A670731"/>
    <w:rsid w:val="2A843FFB"/>
    <w:rsid w:val="2A8C57E6"/>
    <w:rsid w:val="2AA02238"/>
    <w:rsid w:val="2AAC2F99"/>
    <w:rsid w:val="2ACE1AD5"/>
    <w:rsid w:val="2ADC0B7E"/>
    <w:rsid w:val="2AE03DDC"/>
    <w:rsid w:val="2AFC1F6B"/>
    <w:rsid w:val="2B2912B4"/>
    <w:rsid w:val="2B2E2565"/>
    <w:rsid w:val="2B7B0FE9"/>
    <w:rsid w:val="2BB138D1"/>
    <w:rsid w:val="2BB45CC1"/>
    <w:rsid w:val="2BCB58E6"/>
    <w:rsid w:val="2BCD6BEB"/>
    <w:rsid w:val="2BEA3BB3"/>
    <w:rsid w:val="2C04738B"/>
    <w:rsid w:val="2C114AA6"/>
    <w:rsid w:val="2C273185"/>
    <w:rsid w:val="2C300C99"/>
    <w:rsid w:val="2C665CAD"/>
    <w:rsid w:val="2C7C21E2"/>
    <w:rsid w:val="2C8B1F30"/>
    <w:rsid w:val="2C931C03"/>
    <w:rsid w:val="2C9640B5"/>
    <w:rsid w:val="2C997ED5"/>
    <w:rsid w:val="2CD36C3C"/>
    <w:rsid w:val="2CD50890"/>
    <w:rsid w:val="2D540009"/>
    <w:rsid w:val="2D6546D0"/>
    <w:rsid w:val="2D8F2457"/>
    <w:rsid w:val="2D9E26DD"/>
    <w:rsid w:val="2DC43C3E"/>
    <w:rsid w:val="2DDC6723"/>
    <w:rsid w:val="2DE27AF4"/>
    <w:rsid w:val="2DE81158"/>
    <w:rsid w:val="2DEC5973"/>
    <w:rsid w:val="2E3E26EC"/>
    <w:rsid w:val="2E516C33"/>
    <w:rsid w:val="2E5D019E"/>
    <w:rsid w:val="2EBC5F83"/>
    <w:rsid w:val="2F10430C"/>
    <w:rsid w:val="2F6247A6"/>
    <w:rsid w:val="2F822883"/>
    <w:rsid w:val="2F8953A3"/>
    <w:rsid w:val="2F9F4A06"/>
    <w:rsid w:val="2FC44B02"/>
    <w:rsid w:val="2FE413BD"/>
    <w:rsid w:val="2FEE41E2"/>
    <w:rsid w:val="3032289A"/>
    <w:rsid w:val="3033162D"/>
    <w:rsid w:val="303C06C3"/>
    <w:rsid w:val="30C90297"/>
    <w:rsid w:val="30CC3B26"/>
    <w:rsid w:val="30CE3878"/>
    <w:rsid w:val="30D91AFB"/>
    <w:rsid w:val="31005223"/>
    <w:rsid w:val="31043B08"/>
    <w:rsid w:val="31164A27"/>
    <w:rsid w:val="311B378C"/>
    <w:rsid w:val="315F0D4F"/>
    <w:rsid w:val="31781493"/>
    <w:rsid w:val="317E440E"/>
    <w:rsid w:val="31AB088A"/>
    <w:rsid w:val="323742A9"/>
    <w:rsid w:val="33196863"/>
    <w:rsid w:val="332E0066"/>
    <w:rsid w:val="335851C4"/>
    <w:rsid w:val="3390283F"/>
    <w:rsid w:val="33A53BDA"/>
    <w:rsid w:val="33C25D8C"/>
    <w:rsid w:val="33EE55C1"/>
    <w:rsid w:val="33FB26D9"/>
    <w:rsid w:val="341E6110"/>
    <w:rsid w:val="342F2640"/>
    <w:rsid w:val="346D0BC8"/>
    <w:rsid w:val="34701A94"/>
    <w:rsid w:val="34DB55D7"/>
    <w:rsid w:val="351D46D0"/>
    <w:rsid w:val="35253D6F"/>
    <w:rsid w:val="35330FE8"/>
    <w:rsid w:val="35565DA4"/>
    <w:rsid w:val="355B00FA"/>
    <w:rsid w:val="35873F65"/>
    <w:rsid w:val="358A3F3A"/>
    <w:rsid w:val="35F577A1"/>
    <w:rsid w:val="360F3A30"/>
    <w:rsid w:val="362C04C0"/>
    <w:rsid w:val="363C0689"/>
    <w:rsid w:val="3678402C"/>
    <w:rsid w:val="36831FE5"/>
    <w:rsid w:val="36D6068F"/>
    <w:rsid w:val="36DE7818"/>
    <w:rsid w:val="36FD79CA"/>
    <w:rsid w:val="3703484E"/>
    <w:rsid w:val="3738299F"/>
    <w:rsid w:val="3749474D"/>
    <w:rsid w:val="37840D1B"/>
    <w:rsid w:val="37EC480F"/>
    <w:rsid w:val="37FF3B16"/>
    <w:rsid w:val="38091EFE"/>
    <w:rsid w:val="380C6777"/>
    <w:rsid w:val="38157F0F"/>
    <w:rsid w:val="385906BF"/>
    <w:rsid w:val="38647A15"/>
    <w:rsid w:val="38861AA5"/>
    <w:rsid w:val="389804E8"/>
    <w:rsid w:val="38A058F5"/>
    <w:rsid w:val="38C2255C"/>
    <w:rsid w:val="3930723C"/>
    <w:rsid w:val="396F4CC8"/>
    <w:rsid w:val="398637BF"/>
    <w:rsid w:val="398C4A9C"/>
    <w:rsid w:val="39A13F26"/>
    <w:rsid w:val="39AC35D5"/>
    <w:rsid w:val="39AD194A"/>
    <w:rsid w:val="39C5681F"/>
    <w:rsid w:val="3A17479C"/>
    <w:rsid w:val="3A1806A8"/>
    <w:rsid w:val="3A547E36"/>
    <w:rsid w:val="3A635920"/>
    <w:rsid w:val="3A840F8D"/>
    <w:rsid w:val="3A8919DF"/>
    <w:rsid w:val="3ABC6423"/>
    <w:rsid w:val="3B0F4091"/>
    <w:rsid w:val="3B17568A"/>
    <w:rsid w:val="3BB9138A"/>
    <w:rsid w:val="3BBA227E"/>
    <w:rsid w:val="3C2F0D88"/>
    <w:rsid w:val="3C592DC7"/>
    <w:rsid w:val="3C8B2081"/>
    <w:rsid w:val="3CA13157"/>
    <w:rsid w:val="3CA96FC7"/>
    <w:rsid w:val="3D17258C"/>
    <w:rsid w:val="3D4653AF"/>
    <w:rsid w:val="3D470A63"/>
    <w:rsid w:val="3D4D7783"/>
    <w:rsid w:val="3D5470D6"/>
    <w:rsid w:val="3D67406A"/>
    <w:rsid w:val="3DC7191A"/>
    <w:rsid w:val="3E436422"/>
    <w:rsid w:val="3E70076E"/>
    <w:rsid w:val="3E930EC3"/>
    <w:rsid w:val="3EBF1F80"/>
    <w:rsid w:val="3EF26C7D"/>
    <w:rsid w:val="3EF73238"/>
    <w:rsid w:val="3F2006FA"/>
    <w:rsid w:val="3F5C32B8"/>
    <w:rsid w:val="3F6A25BF"/>
    <w:rsid w:val="3F7061F3"/>
    <w:rsid w:val="3F86328F"/>
    <w:rsid w:val="3FAB6D01"/>
    <w:rsid w:val="3FE76330"/>
    <w:rsid w:val="40250323"/>
    <w:rsid w:val="402A5DA5"/>
    <w:rsid w:val="40354679"/>
    <w:rsid w:val="4076236E"/>
    <w:rsid w:val="40845BD4"/>
    <w:rsid w:val="40907FEE"/>
    <w:rsid w:val="40B83BC2"/>
    <w:rsid w:val="40DF516A"/>
    <w:rsid w:val="41026EB9"/>
    <w:rsid w:val="4143299D"/>
    <w:rsid w:val="4148771D"/>
    <w:rsid w:val="417110F1"/>
    <w:rsid w:val="41771E8A"/>
    <w:rsid w:val="41980D05"/>
    <w:rsid w:val="41A63B4C"/>
    <w:rsid w:val="42107DFE"/>
    <w:rsid w:val="4222797C"/>
    <w:rsid w:val="429F40A4"/>
    <w:rsid w:val="42AB1F2C"/>
    <w:rsid w:val="431C0C27"/>
    <w:rsid w:val="433631B7"/>
    <w:rsid w:val="43686B13"/>
    <w:rsid w:val="436D772C"/>
    <w:rsid w:val="43784ED0"/>
    <w:rsid w:val="43B1111A"/>
    <w:rsid w:val="43C4604F"/>
    <w:rsid w:val="43F82B94"/>
    <w:rsid w:val="43F86FC6"/>
    <w:rsid w:val="44145783"/>
    <w:rsid w:val="4416031D"/>
    <w:rsid w:val="44395A6F"/>
    <w:rsid w:val="44560B37"/>
    <w:rsid w:val="4457512C"/>
    <w:rsid w:val="446C184E"/>
    <w:rsid w:val="4475567C"/>
    <w:rsid w:val="447B52CB"/>
    <w:rsid w:val="44C16A08"/>
    <w:rsid w:val="45062492"/>
    <w:rsid w:val="45156FDF"/>
    <w:rsid w:val="455A14D6"/>
    <w:rsid w:val="45710DB8"/>
    <w:rsid w:val="457443FC"/>
    <w:rsid w:val="459D742E"/>
    <w:rsid w:val="45CB77C3"/>
    <w:rsid w:val="45EB78A6"/>
    <w:rsid w:val="460412E4"/>
    <w:rsid w:val="462A3785"/>
    <w:rsid w:val="463C23A6"/>
    <w:rsid w:val="468B51C3"/>
    <w:rsid w:val="46900418"/>
    <w:rsid w:val="46DA6A91"/>
    <w:rsid w:val="470E0198"/>
    <w:rsid w:val="471408B4"/>
    <w:rsid w:val="4759365A"/>
    <w:rsid w:val="47A9796D"/>
    <w:rsid w:val="47C107FD"/>
    <w:rsid w:val="47D865BC"/>
    <w:rsid w:val="47EA5245"/>
    <w:rsid w:val="4824030E"/>
    <w:rsid w:val="48284C4F"/>
    <w:rsid w:val="48583469"/>
    <w:rsid w:val="486A5216"/>
    <w:rsid w:val="48822E43"/>
    <w:rsid w:val="48981C49"/>
    <w:rsid w:val="48A71F4B"/>
    <w:rsid w:val="48D141F7"/>
    <w:rsid w:val="48EE1032"/>
    <w:rsid w:val="48F409F0"/>
    <w:rsid w:val="494E2F73"/>
    <w:rsid w:val="49527BC0"/>
    <w:rsid w:val="499000EF"/>
    <w:rsid w:val="49C0671A"/>
    <w:rsid w:val="49C5404C"/>
    <w:rsid w:val="49EC1EF9"/>
    <w:rsid w:val="4A037596"/>
    <w:rsid w:val="4A28494A"/>
    <w:rsid w:val="4A31763F"/>
    <w:rsid w:val="4A3367E3"/>
    <w:rsid w:val="4A5E58F7"/>
    <w:rsid w:val="4B0A705A"/>
    <w:rsid w:val="4B1751BF"/>
    <w:rsid w:val="4B29095D"/>
    <w:rsid w:val="4B5D5AA4"/>
    <w:rsid w:val="4B6340F9"/>
    <w:rsid w:val="4B737AD7"/>
    <w:rsid w:val="4B793519"/>
    <w:rsid w:val="4BA11419"/>
    <w:rsid w:val="4BA1629D"/>
    <w:rsid w:val="4BF368B9"/>
    <w:rsid w:val="4C251A45"/>
    <w:rsid w:val="4C3C2E05"/>
    <w:rsid w:val="4C4850AE"/>
    <w:rsid w:val="4C534E61"/>
    <w:rsid w:val="4C7B7126"/>
    <w:rsid w:val="4D801B94"/>
    <w:rsid w:val="4D830708"/>
    <w:rsid w:val="4D9475B4"/>
    <w:rsid w:val="4DB11353"/>
    <w:rsid w:val="4DCB4939"/>
    <w:rsid w:val="4DE66FB2"/>
    <w:rsid w:val="4E0B4D47"/>
    <w:rsid w:val="4E150702"/>
    <w:rsid w:val="4E36222C"/>
    <w:rsid w:val="4E3868DB"/>
    <w:rsid w:val="4E3E6DEE"/>
    <w:rsid w:val="4ECC123A"/>
    <w:rsid w:val="4F0002CE"/>
    <w:rsid w:val="4F1B42E4"/>
    <w:rsid w:val="4F2F5EE9"/>
    <w:rsid w:val="4F3C4A5F"/>
    <w:rsid w:val="4F5A69B4"/>
    <w:rsid w:val="4F764366"/>
    <w:rsid w:val="4F790C8D"/>
    <w:rsid w:val="4FB0729A"/>
    <w:rsid w:val="4FEC5661"/>
    <w:rsid w:val="5007085B"/>
    <w:rsid w:val="50374DFB"/>
    <w:rsid w:val="504A666E"/>
    <w:rsid w:val="50612C33"/>
    <w:rsid w:val="50712138"/>
    <w:rsid w:val="50750BBD"/>
    <w:rsid w:val="50D61888"/>
    <w:rsid w:val="51093901"/>
    <w:rsid w:val="511C17AC"/>
    <w:rsid w:val="512E02BD"/>
    <w:rsid w:val="51375D78"/>
    <w:rsid w:val="513F4C00"/>
    <w:rsid w:val="51543AC7"/>
    <w:rsid w:val="51703748"/>
    <w:rsid w:val="51B169DC"/>
    <w:rsid w:val="51BF09C4"/>
    <w:rsid w:val="51DD06CC"/>
    <w:rsid w:val="51FF57B4"/>
    <w:rsid w:val="521311EE"/>
    <w:rsid w:val="52A47354"/>
    <w:rsid w:val="52AA41E1"/>
    <w:rsid w:val="52B53B13"/>
    <w:rsid w:val="52CA1363"/>
    <w:rsid w:val="53333CA1"/>
    <w:rsid w:val="53633E18"/>
    <w:rsid w:val="53AD4DC4"/>
    <w:rsid w:val="53FC659A"/>
    <w:rsid w:val="543D59C1"/>
    <w:rsid w:val="544E63C1"/>
    <w:rsid w:val="54560AEA"/>
    <w:rsid w:val="54895A98"/>
    <w:rsid w:val="549A2574"/>
    <w:rsid w:val="54B8031E"/>
    <w:rsid w:val="54D22117"/>
    <w:rsid w:val="54DC513C"/>
    <w:rsid w:val="54F1300F"/>
    <w:rsid w:val="54F97B2A"/>
    <w:rsid w:val="54FB21D8"/>
    <w:rsid w:val="54FC70BB"/>
    <w:rsid w:val="55311774"/>
    <w:rsid w:val="55430A57"/>
    <w:rsid w:val="55435AFD"/>
    <w:rsid w:val="555E0C33"/>
    <w:rsid w:val="55CA2D15"/>
    <w:rsid w:val="55DA4387"/>
    <w:rsid w:val="56020B6C"/>
    <w:rsid w:val="560474DA"/>
    <w:rsid w:val="563F1BBB"/>
    <w:rsid w:val="56897785"/>
    <w:rsid w:val="56B50AE4"/>
    <w:rsid w:val="56DF239C"/>
    <w:rsid w:val="571451A6"/>
    <w:rsid w:val="57411978"/>
    <w:rsid w:val="576553EC"/>
    <w:rsid w:val="57712BBD"/>
    <w:rsid w:val="579A232C"/>
    <w:rsid w:val="57CF46B9"/>
    <w:rsid w:val="58094D66"/>
    <w:rsid w:val="582615D8"/>
    <w:rsid w:val="585C0985"/>
    <w:rsid w:val="585D5BD5"/>
    <w:rsid w:val="58763239"/>
    <w:rsid w:val="58963D9D"/>
    <w:rsid w:val="58990D52"/>
    <w:rsid w:val="58AD055F"/>
    <w:rsid w:val="58BB6418"/>
    <w:rsid w:val="593C3889"/>
    <w:rsid w:val="59787729"/>
    <w:rsid w:val="59AB1A95"/>
    <w:rsid w:val="59D81CFE"/>
    <w:rsid w:val="59FF53F3"/>
    <w:rsid w:val="5A001683"/>
    <w:rsid w:val="5A054199"/>
    <w:rsid w:val="5A333C50"/>
    <w:rsid w:val="5AC77781"/>
    <w:rsid w:val="5AE670C1"/>
    <w:rsid w:val="5B03795E"/>
    <w:rsid w:val="5B0B30A1"/>
    <w:rsid w:val="5B4C1EE4"/>
    <w:rsid w:val="5B573459"/>
    <w:rsid w:val="5C023B79"/>
    <w:rsid w:val="5C0E1115"/>
    <w:rsid w:val="5C1D1BF4"/>
    <w:rsid w:val="5C91035F"/>
    <w:rsid w:val="5C937D60"/>
    <w:rsid w:val="5C99004B"/>
    <w:rsid w:val="5C997D33"/>
    <w:rsid w:val="5CB414F6"/>
    <w:rsid w:val="5D0C1038"/>
    <w:rsid w:val="5DCE5CB5"/>
    <w:rsid w:val="5E8D4196"/>
    <w:rsid w:val="5EC75C95"/>
    <w:rsid w:val="5EF70D83"/>
    <w:rsid w:val="5F121F6E"/>
    <w:rsid w:val="5F150B3D"/>
    <w:rsid w:val="5F2A6027"/>
    <w:rsid w:val="5F2A6A31"/>
    <w:rsid w:val="5F715F47"/>
    <w:rsid w:val="5F734528"/>
    <w:rsid w:val="5F8A0C0F"/>
    <w:rsid w:val="5FA27307"/>
    <w:rsid w:val="5FAD6BCA"/>
    <w:rsid w:val="5FAE626F"/>
    <w:rsid w:val="604D6B8C"/>
    <w:rsid w:val="6053230D"/>
    <w:rsid w:val="605F2329"/>
    <w:rsid w:val="60732E27"/>
    <w:rsid w:val="607A4D96"/>
    <w:rsid w:val="60A15C7C"/>
    <w:rsid w:val="60C1641B"/>
    <w:rsid w:val="60C47F1C"/>
    <w:rsid w:val="61276DA2"/>
    <w:rsid w:val="612A4A1F"/>
    <w:rsid w:val="612C3A89"/>
    <w:rsid w:val="61322BEA"/>
    <w:rsid w:val="614019D8"/>
    <w:rsid w:val="614416A2"/>
    <w:rsid w:val="61614635"/>
    <w:rsid w:val="618276E7"/>
    <w:rsid w:val="618B3195"/>
    <w:rsid w:val="61BE05DE"/>
    <w:rsid w:val="61F40FA7"/>
    <w:rsid w:val="621555E0"/>
    <w:rsid w:val="622B3F5F"/>
    <w:rsid w:val="626F1A24"/>
    <w:rsid w:val="627404B5"/>
    <w:rsid w:val="629E7A22"/>
    <w:rsid w:val="62B11D93"/>
    <w:rsid w:val="632F46C6"/>
    <w:rsid w:val="633C6650"/>
    <w:rsid w:val="63485768"/>
    <w:rsid w:val="634A549D"/>
    <w:rsid w:val="6365675D"/>
    <w:rsid w:val="637F0587"/>
    <w:rsid w:val="639574AA"/>
    <w:rsid w:val="63A06E56"/>
    <w:rsid w:val="63CB0D72"/>
    <w:rsid w:val="63DA037D"/>
    <w:rsid w:val="63DC6D4E"/>
    <w:rsid w:val="63EC7A61"/>
    <w:rsid w:val="643568EE"/>
    <w:rsid w:val="64530ECF"/>
    <w:rsid w:val="645446B9"/>
    <w:rsid w:val="648B3599"/>
    <w:rsid w:val="648E6982"/>
    <w:rsid w:val="649176AC"/>
    <w:rsid w:val="64AA2713"/>
    <w:rsid w:val="64BE0654"/>
    <w:rsid w:val="650A5447"/>
    <w:rsid w:val="6518099C"/>
    <w:rsid w:val="651E6EAC"/>
    <w:rsid w:val="65232446"/>
    <w:rsid w:val="656A38BF"/>
    <w:rsid w:val="656C0BF7"/>
    <w:rsid w:val="656D6C1F"/>
    <w:rsid w:val="658E0E1B"/>
    <w:rsid w:val="65A2465E"/>
    <w:rsid w:val="65AC701E"/>
    <w:rsid w:val="65C229C6"/>
    <w:rsid w:val="65E451A7"/>
    <w:rsid w:val="66532A82"/>
    <w:rsid w:val="66624588"/>
    <w:rsid w:val="667439F4"/>
    <w:rsid w:val="6686676E"/>
    <w:rsid w:val="66A64D18"/>
    <w:rsid w:val="66AB43DF"/>
    <w:rsid w:val="66E63BCC"/>
    <w:rsid w:val="66F62F02"/>
    <w:rsid w:val="67204732"/>
    <w:rsid w:val="673A6172"/>
    <w:rsid w:val="67940831"/>
    <w:rsid w:val="67C10A92"/>
    <w:rsid w:val="67E22141"/>
    <w:rsid w:val="68227E1C"/>
    <w:rsid w:val="6844759D"/>
    <w:rsid w:val="68571EE6"/>
    <w:rsid w:val="685C7A9E"/>
    <w:rsid w:val="68ED3C15"/>
    <w:rsid w:val="68EE322D"/>
    <w:rsid w:val="68F66319"/>
    <w:rsid w:val="69015421"/>
    <w:rsid w:val="6911663E"/>
    <w:rsid w:val="695E1113"/>
    <w:rsid w:val="6966282C"/>
    <w:rsid w:val="696E2F06"/>
    <w:rsid w:val="69783B53"/>
    <w:rsid w:val="69EF510C"/>
    <w:rsid w:val="69FF790A"/>
    <w:rsid w:val="6A1632C7"/>
    <w:rsid w:val="6A277310"/>
    <w:rsid w:val="6AA531D7"/>
    <w:rsid w:val="6ACD1930"/>
    <w:rsid w:val="6AD24C3F"/>
    <w:rsid w:val="6AE91EB7"/>
    <w:rsid w:val="6AEC755C"/>
    <w:rsid w:val="6B0F7DB8"/>
    <w:rsid w:val="6B332EF2"/>
    <w:rsid w:val="6B4F76F2"/>
    <w:rsid w:val="6B765C7E"/>
    <w:rsid w:val="6B77788B"/>
    <w:rsid w:val="6B9B194C"/>
    <w:rsid w:val="6BAC1ADA"/>
    <w:rsid w:val="6BE85246"/>
    <w:rsid w:val="6BEE3621"/>
    <w:rsid w:val="6C2A4BE9"/>
    <w:rsid w:val="6C376777"/>
    <w:rsid w:val="6C722C69"/>
    <w:rsid w:val="6C7D6A52"/>
    <w:rsid w:val="6C9B6688"/>
    <w:rsid w:val="6D083791"/>
    <w:rsid w:val="6D524C70"/>
    <w:rsid w:val="6D5F30AD"/>
    <w:rsid w:val="6D822755"/>
    <w:rsid w:val="6D89047D"/>
    <w:rsid w:val="6D95122F"/>
    <w:rsid w:val="6DED0FBA"/>
    <w:rsid w:val="6DF56B72"/>
    <w:rsid w:val="6DFB3F5C"/>
    <w:rsid w:val="6E4B1B00"/>
    <w:rsid w:val="6E4B5184"/>
    <w:rsid w:val="6E731EBF"/>
    <w:rsid w:val="6E87433F"/>
    <w:rsid w:val="6E935FEB"/>
    <w:rsid w:val="6EA84B18"/>
    <w:rsid w:val="6EB17387"/>
    <w:rsid w:val="6EB83CD2"/>
    <w:rsid w:val="6EE175F6"/>
    <w:rsid w:val="6EEE3A3D"/>
    <w:rsid w:val="6F466E1C"/>
    <w:rsid w:val="6F6A1FCE"/>
    <w:rsid w:val="6F8844C3"/>
    <w:rsid w:val="6FD477DC"/>
    <w:rsid w:val="70285B79"/>
    <w:rsid w:val="702F7202"/>
    <w:rsid w:val="703F69F2"/>
    <w:rsid w:val="7049745E"/>
    <w:rsid w:val="706B05A7"/>
    <w:rsid w:val="70857FFE"/>
    <w:rsid w:val="70927D06"/>
    <w:rsid w:val="70D02D4F"/>
    <w:rsid w:val="70FB59E5"/>
    <w:rsid w:val="7109664B"/>
    <w:rsid w:val="710A0C4A"/>
    <w:rsid w:val="71434ECC"/>
    <w:rsid w:val="71447180"/>
    <w:rsid w:val="71524455"/>
    <w:rsid w:val="716B1D14"/>
    <w:rsid w:val="718B0C13"/>
    <w:rsid w:val="71B52B5E"/>
    <w:rsid w:val="71B800F2"/>
    <w:rsid w:val="71DF35F4"/>
    <w:rsid w:val="720B63C0"/>
    <w:rsid w:val="721917D7"/>
    <w:rsid w:val="722A2DB8"/>
    <w:rsid w:val="723A43AC"/>
    <w:rsid w:val="726709B3"/>
    <w:rsid w:val="72BA1DB4"/>
    <w:rsid w:val="72DF151C"/>
    <w:rsid w:val="72E579FE"/>
    <w:rsid w:val="72F4053E"/>
    <w:rsid w:val="73594034"/>
    <w:rsid w:val="73F01715"/>
    <w:rsid w:val="73FE5018"/>
    <w:rsid w:val="74667CB3"/>
    <w:rsid w:val="746D6812"/>
    <w:rsid w:val="74C5141F"/>
    <w:rsid w:val="750A6148"/>
    <w:rsid w:val="75172D99"/>
    <w:rsid w:val="75263D10"/>
    <w:rsid w:val="752B4646"/>
    <w:rsid w:val="752D056E"/>
    <w:rsid w:val="75681F2D"/>
    <w:rsid w:val="757745A4"/>
    <w:rsid w:val="75B21C7F"/>
    <w:rsid w:val="75B726B5"/>
    <w:rsid w:val="75DE796D"/>
    <w:rsid w:val="75F876B2"/>
    <w:rsid w:val="76064B8E"/>
    <w:rsid w:val="762635E5"/>
    <w:rsid w:val="7640418E"/>
    <w:rsid w:val="764D3707"/>
    <w:rsid w:val="764E407A"/>
    <w:rsid w:val="766966FC"/>
    <w:rsid w:val="76802BC6"/>
    <w:rsid w:val="7697316D"/>
    <w:rsid w:val="76D70246"/>
    <w:rsid w:val="770A361D"/>
    <w:rsid w:val="770B4144"/>
    <w:rsid w:val="771B741D"/>
    <w:rsid w:val="77614524"/>
    <w:rsid w:val="776C5E7A"/>
    <w:rsid w:val="77963AD2"/>
    <w:rsid w:val="77F3442A"/>
    <w:rsid w:val="781A76D5"/>
    <w:rsid w:val="785A427D"/>
    <w:rsid w:val="78A47BFE"/>
    <w:rsid w:val="78DB0856"/>
    <w:rsid w:val="78DC1577"/>
    <w:rsid w:val="78F57EFF"/>
    <w:rsid w:val="7923687C"/>
    <w:rsid w:val="793227CB"/>
    <w:rsid w:val="79515378"/>
    <w:rsid w:val="796F6560"/>
    <w:rsid w:val="79952007"/>
    <w:rsid w:val="7A0E4B32"/>
    <w:rsid w:val="7A561C43"/>
    <w:rsid w:val="7A5D7FD5"/>
    <w:rsid w:val="7A6C1844"/>
    <w:rsid w:val="7A937BC4"/>
    <w:rsid w:val="7B0E4824"/>
    <w:rsid w:val="7B103442"/>
    <w:rsid w:val="7B21392F"/>
    <w:rsid w:val="7B294322"/>
    <w:rsid w:val="7B7617EE"/>
    <w:rsid w:val="7BB36A13"/>
    <w:rsid w:val="7BD6763A"/>
    <w:rsid w:val="7BEA77EF"/>
    <w:rsid w:val="7C0A7B54"/>
    <w:rsid w:val="7C2F056A"/>
    <w:rsid w:val="7C9E2D0F"/>
    <w:rsid w:val="7CA12E01"/>
    <w:rsid w:val="7CBA3173"/>
    <w:rsid w:val="7CD239EC"/>
    <w:rsid w:val="7CDF0C58"/>
    <w:rsid w:val="7CF5158E"/>
    <w:rsid w:val="7D0379A3"/>
    <w:rsid w:val="7D1A59CA"/>
    <w:rsid w:val="7D1E475B"/>
    <w:rsid w:val="7D1F1254"/>
    <w:rsid w:val="7D424CD4"/>
    <w:rsid w:val="7D892334"/>
    <w:rsid w:val="7DA80BAA"/>
    <w:rsid w:val="7DA826E4"/>
    <w:rsid w:val="7DD862F4"/>
    <w:rsid w:val="7DF17C4A"/>
    <w:rsid w:val="7E2154EE"/>
    <w:rsid w:val="7E4D25B2"/>
    <w:rsid w:val="7E7D4B8F"/>
    <w:rsid w:val="7EF13B69"/>
    <w:rsid w:val="7F132988"/>
    <w:rsid w:val="7F2474B2"/>
    <w:rsid w:val="7F454388"/>
    <w:rsid w:val="7F6571B3"/>
    <w:rsid w:val="7F925D89"/>
    <w:rsid w:val="7FC06AF6"/>
    <w:rsid w:val="7FC55111"/>
    <w:rsid w:val="7FFE168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5"/>
    <w:link w:val="35"/>
    <w:qFormat/>
    <w:uiPriority w:val="0"/>
    <w:pPr>
      <w:keepNext/>
      <w:snapToGrid w:val="0"/>
      <w:spacing w:beforeLines="50" w:afterLines="50" w:line="360" w:lineRule="auto"/>
      <w:outlineLvl w:val="0"/>
    </w:pPr>
    <w:rPr>
      <w:rFonts w:ascii="宋体" w:hAnsi="宋体" w:cs="宋体"/>
      <w:kern w:val="24"/>
      <w:sz w:val="30"/>
      <w:u w:val="none" w:color="000000"/>
    </w:rPr>
  </w:style>
  <w:style w:type="paragraph" w:styleId="5">
    <w:name w:val="heading 2"/>
    <w:basedOn w:val="1"/>
    <w:next w:val="1"/>
    <w:link w:val="36"/>
    <w:qFormat/>
    <w:uiPriority w:val="0"/>
    <w:pPr>
      <w:snapToGrid w:val="0"/>
      <w:spacing w:line="500" w:lineRule="exact"/>
      <w:jc w:val="center"/>
      <w:outlineLvl w:val="1"/>
    </w:pPr>
    <w:rPr>
      <w:rFonts w:ascii="Calibri" w:hAnsi="Calibri"/>
      <w:b/>
      <w:bCs/>
      <w:spacing w:val="-4"/>
      <w:kern w:val="24"/>
      <w:sz w:val="30"/>
      <w:szCs w:val="30"/>
    </w:rPr>
  </w:style>
  <w:style w:type="paragraph" w:styleId="6">
    <w:name w:val="heading 3"/>
    <w:basedOn w:val="1"/>
    <w:next w:val="1"/>
    <w:qFormat/>
    <w:uiPriority w:val="0"/>
    <w:pPr>
      <w:keepNext/>
      <w:keepLines/>
      <w:widowControl/>
      <w:spacing w:beforeLines="50" w:afterLines="50"/>
      <w:ind w:left="720" w:hanging="720"/>
      <w:outlineLvl w:val="2"/>
    </w:pPr>
    <w:rPr>
      <w:rFonts w:ascii="仿宋" w:hAnsi="仿宋" w:eastAsia="仿宋"/>
      <w:bCs/>
      <w:kern w:val="0"/>
      <w:sz w:val="24"/>
      <w:szCs w:val="32"/>
    </w:rPr>
  </w:style>
  <w:style w:type="paragraph" w:styleId="7">
    <w:name w:val="heading 4"/>
    <w:basedOn w:val="1"/>
    <w:next w:val="1"/>
    <w:qFormat/>
    <w:uiPriority w:val="0"/>
    <w:pPr>
      <w:keepNext/>
      <w:keepLines/>
      <w:widowControl/>
      <w:spacing w:beforeLines="50" w:afterLines="50"/>
      <w:ind w:left="739" w:hanging="739" w:hangingChars="308"/>
      <w:outlineLvl w:val="3"/>
    </w:pPr>
    <w:rPr>
      <w:rFonts w:ascii="仿宋" w:hAnsi="仿宋" w:eastAsia="仿宋"/>
      <w:bCs/>
      <w:kern w:val="0"/>
      <w:sz w:val="24"/>
      <w:szCs w:val="28"/>
    </w:rPr>
  </w:style>
  <w:style w:type="paragraph" w:styleId="8">
    <w:name w:val="heading 5"/>
    <w:basedOn w:val="1"/>
    <w:next w:val="9"/>
    <w:qFormat/>
    <w:uiPriority w:val="0"/>
    <w:pPr>
      <w:keepNext/>
      <w:keepLines/>
      <w:widowControl/>
      <w:spacing w:before="280" w:after="290" w:line="376" w:lineRule="atLeast"/>
      <w:ind w:left="1008" w:hanging="1008"/>
      <w:outlineLvl w:val="4"/>
    </w:pPr>
    <w:rPr>
      <w:rFonts w:eastAsia="仿宋_GB2312"/>
      <w:b/>
      <w:bCs/>
      <w:kern w:val="0"/>
      <w:sz w:val="28"/>
      <w:szCs w:val="28"/>
    </w:rPr>
  </w:style>
  <w:style w:type="paragraph" w:styleId="10">
    <w:name w:val="heading 6"/>
    <w:basedOn w:val="1"/>
    <w:next w:val="1"/>
    <w:qFormat/>
    <w:uiPriority w:val="0"/>
    <w:pPr>
      <w:keepNext/>
      <w:keepLines/>
      <w:widowControl/>
      <w:spacing w:before="240" w:after="64" w:line="320" w:lineRule="atLeast"/>
      <w:ind w:left="1152" w:hanging="1152"/>
      <w:outlineLvl w:val="5"/>
    </w:pPr>
    <w:rPr>
      <w:rFonts w:ascii="Cambria" w:hAnsi="Cambria"/>
      <w:b/>
      <w:bCs/>
      <w:kern w:val="0"/>
      <w:sz w:val="24"/>
    </w:rPr>
  </w:style>
  <w:style w:type="paragraph" w:styleId="11">
    <w:name w:val="heading 7"/>
    <w:basedOn w:val="1"/>
    <w:next w:val="1"/>
    <w:qFormat/>
    <w:uiPriority w:val="0"/>
    <w:pPr>
      <w:keepNext/>
      <w:keepLines/>
      <w:widowControl/>
      <w:spacing w:before="240" w:after="64" w:line="320" w:lineRule="atLeast"/>
      <w:ind w:left="1296" w:hanging="1296"/>
      <w:outlineLvl w:val="6"/>
    </w:pPr>
    <w:rPr>
      <w:rFonts w:eastAsia="仿宋_GB2312"/>
      <w:b/>
      <w:bCs/>
      <w:kern w:val="0"/>
      <w:sz w:val="24"/>
    </w:rPr>
  </w:style>
  <w:style w:type="paragraph" w:styleId="12">
    <w:name w:val="heading 8"/>
    <w:basedOn w:val="1"/>
    <w:next w:val="1"/>
    <w:qFormat/>
    <w:uiPriority w:val="0"/>
    <w:pPr>
      <w:keepNext/>
      <w:keepLines/>
      <w:widowControl/>
      <w:spacing w:before="240" w:after="64" w:line="320" w:lineRule="atLeast"/>
      <w:ind w:left="1440" w:hanging="1440"/>
      <w:outlineLvl w:val="7"/>
    </w:pPr>
    <w:rPr>
      <w:rFonts w:ascii="Cambria" w:hAnsi="Cambria"/>
      <w:kern w:val="0"/>
      <w:sz w:val="24"/>
    </w:rPr>
  </w:style>
  <w:style w:type="paragraph" w:styleId="13">
    <w:name w:val="heading 9"/>
    <w:basedOn w:val="1"/>
    <w:next w:val="1"/>
    <w:qFormat/>
    <w:uiPriority w:val="0"/>
    <w:pPr>
      <w:keepNext/>
      <w:keepLines/>
      <w:widowControl/>
      <w:spacing w:before="240" w:after="64" w:line="320" w:lineRule="atLeast"/>
      <w:ind w:left="1584" w:hanging="1584"/>
      <w:outlineLvl w:val="8"/>
    </w:pPr>
    <w:rPr>
      <w:rFonts w:ascii="Cambria" w:hAnsi="Cambria"/>
      <w:kern w:val="0"/>
      <w:sz w:val="20"/>
      <w:szCs w:val="21"/>
    </w:rPr>
  </w:style>
  <w:style w:type="character" w:default="1" w:styleId="30">
    <w:name w:val="Default Paragraph Font"/>
    <w:unhideWhenUsed/>
    <w:qFormat/>
    <w:uiPriority w:val="1"/>
  </w:style>
  <w:style w:type="table" w:default="1" w:styleId="28">
    <w:name w:val="Normal Table"/>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unhideWhenUsed/>
    <w:qFormat/>
    <w:uiPriority w:val="99"/>
    <w:pPr>
      <w:spacing w:after="120"/>
      <w:ind w:left="420" w:leftChars="200"/>
    </w:pPr>
  </w:style>
  <w:style w:type="paragraph" w:customStyle="1" w:styleId="9">
    <w:name w:val="主内容"/>
    <w:basedOn w:val="1"/>
    <w:qFormat/>
    <w:uiPriority w:val="0"/>
    <w:pPr>
      <w:adjustRightInd w:val="0"/>
      <w:snapToGrid w:val="0"/>
      <w:jc w:val="left"/>
    </w:pPr>
    <w:rPr>
      <w:rFonts w:ascii="宋体" w:hAnsi="宋体"/>
    </w:rPr>
  </w:style>
  <w:style w:type="paragraph" w:styleId="14">
    <w:name w:val="caption"/>
    <w:basedOn w:val="1"/>
    <w:next w:val="1"/>
    <w:link w:val="37"/>
    <w:qFormat/>
    <w:uiPriority w:val="0"/>
    <w:pPr>
      <w:adjustRightInd w:val="0"/>
      <w:spacing w:before="152" w:after="160" w:line="360" w:lineRule="atLeast"/>
      <w:jc w:val="left"/>
      <w:textAlignment w:val="baseline"/>
    </w:pPr>
    <w:rPr>
      <w:rFonts w:ascii="Arial" w:hAnsi="Arial" w:eastAsia="黑体"/>
      <w:kern w:val="0"/>
      <w:sz w:val="20"/>
      <w:szCs w:val="20"/>
    </w:rPr>
  </w:style>
  <w:style w:type="paragraph" w:styleId="15">
    <w:name w:val="Document Map"/>
    <w:basedOn w:val="1"/>
    <w:qFormat/>
    <w:uiPriority w:val="0"/>
    <w:pPr>
      <w:shd w:val="clear" w:color="auto" w:fill="000080"/>
    </w:pPr>
  </w:style>
  <w:style w:type="paragraph" w:styleId="16">
    <w:name w:val="annotation text"/>
    <w:basedOn w:val="1"/>
    <w:link w:val="38"/>
    <w:qFormat/>
    <w:uiPriority w:val="0"/>
    <w:pPr>
      <w:jc w:val="left"/>
    </w:pPr>
  </w:style>
  <w:style w:type="paragraph" w:styleId="17">
    <w:name w:val="Body Text"/>
    <w:basedOn w:val="1"/>
    <w:next w:val="18"/>
    <w:link w:val="34"/>
    <w:qFormat/>
    <w:uiPriority w:val="0"/>
    <w:pPr>
      <w:spacing w:after="120"/>
    </w:pPr>
    <w:rPr>
      <w:szCs w:val="20"/>
    </w:rPr>
  </w:style>
  <w:style w:type="paragraph" w:styleId="18">
    <w:name w:val="Title"/>
    <w:basedOn w:val="1"/>
    <w:next w:val="1"/>
    <w:qFormat/>
    <w:uiPriority w:val="10"/>
    <w:pPr>
      <w:widowControl/>
      <w:adjustRightInd w:val="0"/>
      <w:snapToGrid w:val="0"/>
      <w:spacing w:before="50" w:beforeLines="50" w:after="50" w:afterLines="50" w:line="360" w:lineRule="auto"/>
      <w:jc w:val="center"/>
      <w:textAlignment w:val="baseline"/>
      <w:outlineLvl w:val="0"/>
    </w:pPr>
    <w:rPr>
      <w:rFonts w:ascii="Arial" w:hAnsi="Arial" w:eastAsia="黑体"/>
      <w:b/>
      <w:bCs/>
      <w:kern w:val="0"/>
      <w:sz w:val="48"/>
      <w:szCs w:val="32"/>
    </w:rPr>
  </w:style>
  <w:style w:type="paragraph" w:styleId="19">
    <w:name w:val="Plain Text"/>
    <w:basedOn w:val="1"/>
    <w:link w:val="39"/>
    <w:qFormat/>
    <w:uiPriority w:val="0"/>
    <w:rPr>
      <w:rFonts w:ascii="宋体" w:hAnsi="Courier New"/>
      <w:kern w:val="0"/>
      <w:sz w:val="20"/>
      <w:szCs w:val="21"/>
    </w:rPr>
  </w:style>
  <w:style w:type="paragraph" w:styleId="20">
    <w:name w:val="Date"/>
    <w:basedOn w:val="1"/>
    <w:next w:val="1"/>
    <w:link w:val="40"/>
    <w:qFormat/>
    <w:uiPriority w:val="0"/>
    <w:pPr>
      <w:adjustRightInd w:val="0"/>
      <w:spacing w:line="360" w:lineRule="atLeast"/>
      <w:textAlignment w:val="baseline"/>
    </w:pPr>
    <w:rPr>
      <w:kern w:val="0"/>
      <w:sz w:val="28"/>
      <w:szCs w:val="20"/>
    </w:rPr>
  </w:style>
  <w:style w:type="paragraph" w:styleId="21">
    <w:name w:val="Balloon Text"/>
    <w:basedOn w:val="1"/>
    <w:qFormat/>
    <w:uiPriority w:val="0"/>
    <w:rPr>
      <w:sz w:val="18"/>
      <w:szCs w:val="18"/>
    </w:rPr>
  </w:style>
  <w:style w:type="paragraph" w:styleId="22">
    <w:name w:val="footer"/>
    <w:basedOn w:val="1"/>
    <w:link w:val="41"/>
    <w:qFormat/>
    <w:uiPriority w:val="0"/>
    <w:pPr>
      <w:tabs>
        <w:tab w:val="center" w:pos="4153"/>
        <w:tab w:val="right" w:pos="8306"/>
      </w:tabs>
      <w:snapToGrid w:val="0"/>
      <w:jc w:val="left"/>
    </w:pPr>
    <w:rPr>
      <w:rFonts w:eastAsia="黑体"/>
      <w:sz w:val="18"/>
      <w:szCs w:val="18"/>
    </w:rPr>
  </w:style>
  <w:style w:type="paragraph" w:styleId="23">
    <w:name w:val="header"/>
    <w:basedOn w:val="1"/>
    <w:link w:val="42"/>
    <w:qFormat/>
    <w:uiPriority w:val="0"/>
    <w:pPr>
      <w:pBdr>
        <w:bottom w:val="single" w:color="auto" w:sz="6" w:space="1"/>
      </w:pBdr>
      <w:tabs>
        <w:tab w:val="center" w:pos="4153"/>
        <w:tab w:val="right" w:pos="8306"/>
      </w:tabs>
      <w:snapToGrid w:val="0"/>
      <w:jc w:val="center"/>
    </w:pPr>
    <w:rPr>
      <w:rFonts w:eastAsia="黑体"/>
      <w:sz w:val="18"/>
      <w:szCs w:val="18"/>
    </w:rPr>
  </w:style>
  <w:style w:type="paragraph" w:styleId="24">
    <w:name w:val="toc 1"/>
    <w:basedOn w:val="1"/>
    <w:next w:val="1"/>
    <w:unhideWhenUsed/>
    <w:qFormat/>
    <w:uiPriority w:val="39"/>
  </w:style>
  <w:style w:type="paragraph" w:styleId="25">
    <w:name w:val="toc 2"/>
    <w:basedOn w:val="1"/>
    <w:next w:val="1"/>
    <w:unhideWhenUsed/>
    <w:qFormat/>
    <w:uiPriority w:val="39"/>
    <w:pPr>
      <w:ind w:left="420" w:leftChars="200"/>
    </w:pPr>
  </w:style>
  <w:style w:type="paragraph" w:styleId="2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7">
    <w:name w:val="annotation subject"/>
    <w:basedOn w:val="16"/>
    <w:next w:val="16"/>
    <w:link w:val="43"/>
    <w:unhideWhenUsed/>
    <w:qFormat/>
    <w:uiPriority w:val="99"/>
    <w:rPr>
      <w:b/>
      <w:bCs/>
    </w:rPr>
  </w:style>
  <w:style w:type="table" w:styleId="29">
    <w:name w:val="Table Grid"/>
    <w:basedOn w:val="28"/>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22"/>
    <w:rPr>
      <w:b/>
    </w:rPr>
  </w:style>
  <w:style w:type="character" w:styleId="32">
    <w:name w:val="page number"/>
    <w:basedOn w:val="30"/>
    <w:qFormat/>
    <w:uiPriority w:val="0"/>
  </w:style>
  <w:style w:type="character" w:styleId="33">
    <w:name w:val="annotation reference"/>
    <w:qFormat/>
    <w:uiPriority w:val="0"/>
    <w:rPr>
      <w:rFonts w:eastAsia="黑体"/>
      <w:kern w:val="2"/>
      <w:sz w:val="21"/>
      <w:szCs w:val="21"/>
      <w:lang w:val="en-US" w:eastAsia="zh-CN" w:bidi="ar-SA"/>
    </w:rPr>
  </w:style>
  <w:style w:type="character" w:customStyle="1" w:styleId="34">
    <w:name w:val="正文文本 Char"/>
    <w:link w:val="17"/>
    <w:qFormat/>
    <w:uiPriority w:val="0"/>
    <w:rPr>
      <w:rFonts w:ascii="Times New Roman" w:hAnsi="Times New Roman"/>
      <w:kern w:val="2"/>
      <w:sz w:val="21"/>
    </w:rPr>
  </w:style>
  <w:style w:type="character" w:customStyle="1" w:styleId="35">
    <w:name w:val="标题 1 Char"/>
    <w:link w:val="4"/>
    <w:qFormat/>
    <w:uiPriority w:val="0"/>
    <w:rPr>
      <w:rFonts w:ascii="宋体" w:hAnsi="宋体" w:eastAsia="宋体" w:cs="宋体"/>
      <w:kern w:val="24"/>
      <w:sz w:val="30"/>
      <w:szCs w:val="24"/>
      <w:u w:val="none" w:color="000000"/>
      <w:lang w:val="en-US" w:eastAsia="zh-CN" w:bidi="ar-SA"/>
    </w:rPr>
  </w:style>
  <w:style w:type="character" w:customStyle="1" w:styleId="36">
    <w:name w:val="标题 2 Char"/>
    <w:link w:val="5"/>
    <w:qFormat/>
    <w:uiPriority w:val="0"/>
    <w:rPr>
      <w:rFonts w:eastAsia="宋体"/>
      <w:b/>
      <w:bCs/>
      <w:spacing w:val="-4"/>
      <w:kern w:val="24"/>
      <w:sz w:val="30"/>
      <w:szCs w:val="30"/>
      <w:lang w:val="en-US" w:eastAsia="zh-CN" w:bidi="ar-SA"/>
    </w:rPr>
  </w:style>
  <w:style w:type="character" w:customStyle="1" w:styleId="37">
    <w:name w:val="题注 Char"/>
    <w:link w:val="14"/>
    <w:qFormat/>
    <w:uiPriority w:val="0"/>
    <w:rPr>
      <w:rFonts w:ascii="Arial" w:hAnsi="Arial" w:eastAsia="黑体"/>
    </w:rPr>
  </w:style>
  <w:style w:type="character" w:customStyle="1" w:styleId="38">
    <w:name w:val="批注文字 Char"/>
    <w:link w:val="16"/>
    <w:qFormat/>
    <w:uiPriority w:val="0"/>
    <w:rPr>
      <w:rFonts w:ascii="Times New Roman" w:hAnsi="Times New Roman"/>
      <w:kern w:val="2"/>
      <w:sz w:val="21"/>
      <w:szCs w:val="24"/>
    </w:rPr>
  </w:style>
  <w:style w:type="character" w:customStyle="1" w:styleId="39">
    <w:name w:val="纯文本 Char"/>
    <w:link w:val="19"/>
    <w:qFormat/>
    <w:uiPriority w:val="0"/>
    <w:rPr>
      <w:rFonts w:ascii="宋体" w:hAnsi="Courier New" w:eastAsia="宋体"/>
      <w:szCs w:val="21"/>
      <w:lang w:bidi="ar-SA"/>
    </w:rPr>
  </w:style>
  <w:style w:type="character" w:customStyle="1" w:styleId="40">
    <w:name w:val="日期 Char"/>
    <w:link w:val="20"/>
    <w:qFormat/>
    <w:uiPriority w:val="0"/>
    <w:rPr>
      <w:rFonts w:ascii="Times New Roman" w:hAnsi="Times New Roman"/>
      <w:sz w:val="28"/>
    </w:rPr>
  </w:style>
  <w:style w:type="character" w:customStyle="1" w:styleId="41">
    <w:name w:val="页脚 Char"/>
    <w:link w:val="22"/>
    <w:qFormat/>
    <w:uiPriority w:val="0"/>
    <w:rPr>
      <w:rFonts w:ascii="Times New Roman" w:hAnsi="Times New Roman" w:eastAsia="黑体"/>
      <w:kern w:val="2"/>
      <w:sz w:val="18"/>
      <w:szCs w:val="18"/>
      <w:lang w:val="en-US" w:eastAsia="zh-CN" w:bidi="ar-SA"/>
    </w:rPr>
  </w:style>
  <w:style w:type="character" w:customStyle="1" w:styleId="42">
    <w:name w:val="页眉 Char"/>
    <w:link w:val="23"/>
    <w:qFormat/>
    <w:uiPriority w:val="0"/>
    <w:rPr>
      <w:rFonts w:ascii="Times New Roman" w:hAnsi="Times New Roman" w:eastAsia="黑体"/>
      <w:kern w:val="2"/>
      <w:sz w:val="18"/>
      <w:szCs w:val="18"/>
      <w:lang w:val="en-US" w:eastAsia="zh-CN" w:bidi="ar-SA"/>
    </w:rPr>
  </w:style>
  <w:style w:type="character" w:customStyle="1" w:styleId="43">
    <w:name w:val="批注主题 Char"/>
    <w:link w:val="27"/>
    <w:semiHidden/>
    <w:qFormat/>
    <w:uiPriority w:val="99"/>
    <w:rPr>
      <w:rFonts w:ascii="Times New Roman" w:hAnsi="Times New Roman"/>
      <w:b/>
      <w:bCs/>
      <w:kern w:val="2"/>
      <w:sz w:val="21"/>
      <w:szCs w:val="24"/>
    </w:rPr>
  </w:style>
  <w:style w:type="character" w:customStyle="1" w:styleId="44">
    <w:name w:val="纯文本 Char1"/>
    <w:qFormat/>
    <w:uiPriority w:val="0"/>
    <w:rPr>
      <w:rFonts w:ascii="宋体" w:hAnsi="Courier New" w:eastAsia="宋体"/>
      <w:kern w:val="2"/>
      <w:sz w:val="21"/>
      <w:lang w:val="en-US" w:eastAsia="zh-CN" w:bidi="ar-SA"/>
    </w:rPr>
  </w:style>
  <w:style w:type="character" w:customStyle="1" w:styleId="45">
    <w:name w:val="fontstyle01"/>
    <w:qFormat/>
    <w:uiPriority w:val="0"/>
    <w:rPr>
      <w:rFonts w:hint="eastAsia" w:ascii="仿宋" w:hAnsi="仿宋" w:eastAsia="仿宋"/>
      <w:color w:val="000000"/>
      <w:sz w:val="24"/>
      <w:szCs w:val="24"/>
    </w:rPr>
  </w:style>
  <w:style w:type="paragraph" w:customStyle="1" w:styleId="46">
    <w:name w:val="p0"/>
    <w:basedOn w:val="1"/>
    <w:qFormat/>
    <w:uiPriority w:val="0"/>
    <w:pPr>
      <w:widowControl/>
      <w:suppressAutoHyphens/>
      <w:adjustRightInd w:val="0"/>
      <w:snapToGrid w:val="0"/>
      <w:spacing w:line="348" w:lineRule="auto"/>
      <w:textAlignment w:val="baseline"/>
    </w:pPr>
    <w:rPr>
      <w:rFonts w:hint="eastAsia" w:eastAsia="仿宋_GB2312"/>
      <w:snapToGrid/>
      <w:kern w:val="0"/>
      <w:sz w:val="32"/>
      <w:szCs w:val="20"/>
    </w:rPr>
  </w:style>
  <w:style w:type="paragraph" w:customStyle="1" w:styleId="47">
    <w:name w:val="_Style 43"/>
    <w:semiHidden/>
    <w:qFormat/>
    <w:uiPriority w:val="99"/>
    <w:rPr>
      <w:rFonts w:ascii="Times New Roman" w:hAnsi="Times New Roman" w:eastAsia="宋体" w:cs="Times New Roman"/>
      <w:kern w:val="2"/>
      <w:sz w:val="21"/>
      <w:szCs w:val="24"/>
      <w:lang w:val="en-US" w:eastAsia="zh-CN" w:bidi="ar-SA"/>
    </w:rPr>
  </w:style>
  <w:style w:type="paragraph" w:customStyle="1" w:styleId="48">
    <w:name w:val="Char"/>
    <w:basedOn w:val="1"/>
    <w:next w:val="1"/>
    <w:qFormat/>
    <w:uiPriority w:val="0"/>
    <w:pPr>
      <w:pageBreakBefore/>
      <w:tabs>
        <w:tab w:val="left" w:pos="425"/>
      </w:tabs>
      <w:spacing w:line="400" w:lineRule="exact"/>
      <w:ind w:left="425" w:hanging="425"/>
    </w:pPr>
    <w:rPr>
      <w:rFonts w:eastAsia="黑体"/>
      <w:sz w:val="32"/>
      <w:szCs w:val="32"/>
    </w:rPr>
  </w:style>
  <w:style w:type="paragraph" w:customStyle="1" w:styleId="49">
    <w:name w:val="正文缩进1"/>
    <w:basedOn w:val="1"/>
    <w:qFormat/>
    <w:uiPriority w:val="0"/>
    <w:pPr>
      <w:spacing w:line="480" w:lineRule="exact"/>
      <w:ind w:firstLine="567"/>
    </w:pPr>
    <w:rPr>
      <w:sz w:val="28"/>
    </w:rPr>
  </w:style>
  <w:style w:type="paragraph" w:customStyle="1" w:styleId="5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51">
    <w:name w:val="font41"/>
    <w:basedOn w:val="30"/>
    <w:qFormat/>
    <w:uiPriority w:val="0"/>
    <w:rPr>
      <w:rFonts w:hint="default" w:ascii="Times New Roman" w:hAnsi="Times New Roman" w:cs="Times New Roman"/>
      <w:color w:val="000000"/>
      <w:sz w:val="18"/>
      <w:szCs w:val="18"/>
      <w:u w:val="none"/>
    </w:rPr>
  </w:style>
  <w:style w:type="character" w:customStyle="1" w:styleId="52">
    <w:name w:val="font31"/>
    <w:basedOn w:val="30"/>
    <w:qFormat/>
    <w:uiPriority w:val="0"/>
    <w:rPr>
      <w:rFonts w:hint="eastAsia" w:ascii="宋体" w:hAnsi="宋体" w:eastAsia="宋体" w:cs="宋体"/>
      <w:b/>
      <w:bCs/>
      <w:color w:val="000000"/>
      <w:sz w:val="21"/>
      <w:szCs w:val="21"/>
      <w:u w:val="none"/>
    </w:rPr>
  </w:style>
  <w:style w:type="paragraph" w:customStyle="1" w:styleId="53">
    <w:name w:val="可研中间标题2"/>
    <w:next w:val="1"/>
    <w:qFormat/>
    <w:uiPriority w:val="0"/>
    <w:pPr>
      <w:numPr>
        <w:ilvl w:val="1"/>
        <w:numId w:val="1"/>
      </w:numPr>
      <w:spacing w:before="50" w:beforeLines="50" w:after="50" w:afterLines="50" w:line="360" w:lineRule="auto"/>
      <w:contextualSpacing/>
      <w:outlineLvl w:val="2"/>
    </w:pPr>
    <w:rPr>
      <w:rFonts w:ascii="Times New Roman" w:hAnsi="Times New Roman" w:eastAsia="宋体" w:cs="Times New Roman"/>
      <w:b/>
      <w:bCs/>
      <w:kern w:val="2"/>
      <w:sz w:val="24"/>
      <w:szCs w:val="24"/>
      <w:lang w:val="en-US" w:eastAsia="zh-CN" w:bidi="ar-SA"/>
    </w:rPr>
  </w:style>
  <w:style w:type="paragraph" w:customStyle="1" w:styleId="54">
    <w:name w:val="可研中间标题3"/>
    <w:next w:val="1"/>
    <w:qFormat/>
    <w:uiPriority w:val="0"/>
    <w:pPr>
      <w:numPr>
        <w:ilvl w:val="2"/>
        <w:numId w:val="1"/>
      </w:numPr>
      <w:spacing w:before="50" w:beforeLines="50" w:after="50" w:afterLines="50" w:line="360" w:lineRule="auto"/>
      <w:contextualSpacing/>
      <w:outlineLvl w:val="2"/>
    </w:pPr>
    <w:rPr>
      <w:rFonts w:ascii="Times New Roman" w:hAnsi="Times New Roman" w:eastAsia="宋体" w:cs="Times New Roman"/>
      <w:b/>
      <w:bCs/>
      <w:kern w:val="2"/>
      <w:sz w:val="24"/>
      <w:szCs w:val="24"/>
      <w:lang w:val="en-US" w:eastAsia="zh-CN" w:bidi="ar-SA"/>
    </w:rPr>
  </w:style>
  <w:style w:type="paragraph" w:customStyle="1" w:styleId="55">
    <w:name w:val="标题6"/>
    <w:next w:val="56"/>
    <w:qFormat/>
    <w:uiPriority w:val="0"/>
    <w:pPr>
      <w:numPr>
        <w:ilvl w:val="4"/>
        <w:numId w:val="1"/>
      </w:numPr>
      <w:spacing w:line="360" w:lineRule="auto"/>
    </w:pPr>
    <w:rPr>
      <w:rFonts w:ascii="Times New Roman" w:hAnsi="Times New Roman" w:eastAsia="宋体" w:cs="Times New Roman"/>
      <w:b/>
      <w:color w:val="000000"/>
      <w:kern w:val="2"/>
      <w:sz w:val="24"/>
      <w:szCs w:val="24"/>
      <w:lang w:val="en-US" w:eastAsia="zh-CN" w:bidi="ar-SA"/>
    </w:rPr>
  </w:style>
  <w:style w:type="paragraph" w:customStyle="1" w:styleId="56">
    <w:name w:val="*正文"/>
    <w:basedOn w:val="1"/>
    <w:qFormat/>
    <w:uiPriority w:val="0"/>
    <w:pPr>
      <w:adjustRightInd w:val="0"/>
      <w:snapToGrid w:val="0"/>
      <w:spacing w:line="360" w:lineRule="auto"/>
      <w:ind w:firstLine="482"/>
    </w:pPr>
    <w:rPr>
      <w:kern w:val="0"/>
      <w:sz w:val="24"/>
      <w:szCs w:val="20"/>
      <w:shd w:val="clear" w:color="auto" w:fill="FFFFFF"/>
    </w:rPr>
  </w:style>
  <w:style w:type="paragraph" w:styleId="57">
    <w:name w:val="List Paragraph"/>
    <w:basedOn w:val="1"/>
    <w:qFormat/>
    <w:uiPriority w:val="1"/>
    <w:pPr>
      <w:ind w:left="1340" w:hanging="201"/>
    </w:pPr>
    <w:rPr>
      <w:rFonts w:ascii="宋体" w:hAnsi="宋体" w:eastAsia="宋体" w:cs="宋体"/>
      <w:lang w:val="en-US" w:eastAsia="zh-CN" w:bidi="ar-SA"/>
    </w:rPr>
  </w:style>
  <w:style w:type="paragraph" w:customStyle="1" w:styleId="58">
    <w:name w:val="WPSOffice手动目录 1"/>
    <w:qFormat/>
    <w:uiPriority w:val="0"/>
    <w:pPr>
      <w:ind w:leftChars="0"/>
    </w:pPr>
    <w:rPr>
      <w:rFonts w:ascii="Times New Roman" w:hAnsi="Times New Roman" w:eastAsia="宋体" w:cs="Times New Roman"/>
      <w:sz w:val="20"/>
      <w:szCs w:val="20"/>
    </w:rPr>
  </w:style>
  <w:style w:type="paragraph" w:customStyle="1" w:styleId="5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20</Pages>
  <Words>309</Words>
  <Characters>452</Characters>
  <Lines>1</Lines>
  <Paragraphs>1</Paragraphs>
  <TotalTime>1</TotalTime>
  <ScaleCrop>false</ScaleCrop>
  <LinksUpToDate>false</LinksUpToDate>
  <CharactersWithSpaces>490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2015-08-10T01:25:00Z</dcterms:created>
  <dc:creator>直升机作业组</dc:creator>
  <cp:lastModifiedBy>蒋卿</cp:lastModifiedBy>
  <cp:lastPrinted>2017-04-20T07:35:00Z</cp:lastPrinted>
  <dcterms:modified xsi:type="dcterms:W3CDTF">2026-06-28T04:40:10Z</dcterms:modified>
  <dc:title>第三部分：技术规范书</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0D8991880318486A90400D34F2B6EC7E_13</vt:lpwstr>
  </property>
  <property fmtid="{D5CDD505-2E9C-101B-9397-08002B2CF9AE}" pid="4" name="KSOTemplateDocerSaveRecord">
    <vt:lpwstr>eyJoZGlkIjoiMjJhZGQ5ZjBhZmQxZmJiOTIxODAzNDdmOGYyMmU1YzIiLCJ1c2VySWQiOiIxOTkxNDYwNTgifQ==</vt:lpwstr>
  </property>
</Properties>
</file>