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rPr>
          <w:rFonts w:hint="eastAsia" w:ascii="仿宋_GB2312" w:hAnsi="仿宋_GB2312" w:eastAsia="仿宋_GB2312" w:cs="仿宋_GB2312"/>
          <w:color w:val="000000"/>
        </w:rPr>
      </w:pPr>
      <w:bookmarkStart w:id="0" w:name="_Toc198288426"/>
      <w:bookmarkStart w:id="1" w:name="_Toc413948004"/>
      <w:bookmarkStart w:id="2" w:name="_Toc7592"/>
      <w:bookmarkStart w:id="3" w:name="_Toc147371417"/>
      <w:bookmarkStart w:id="83" w:name="_GoBack"/>
      <w:bookmarkEnd w:id="83"/>
      <w:r>
        <w:rPr>
          <w:rFonts w:hint="eastAsia" w:ascii="仿宋_GB2312" w:hAnsi="仿宋_GB2312" w:eastAsia="仿宋_GB2312" w:cs="仿宋_GB2312"/>
          <w:color w:val="000000"/>
        </w:rPr>
        <w:t>总则</w:t>
      </w:r>
      <w:bookmarkEnd w:id="0"/>
      <w:bookmarkEnd w:id="1"/>
      <w:bookmarkEnd w:id="2"/>
    </w:p>
    <w:p>
      <w:pPr>
        <w:pStyle w:val="5"/>
        <w:spacing w:before="0" w:after="0" w:line="560" w:lineRule="exact"/>
        <w:ind w:left="426"/>
        <w:rPr>
          <w:rFonts w:hint="eastAsia" w:ascii="仿宋_GB2312" w:hAnsi="仿宋_GB2312" w:eastAsia="仿宋_GB2312" w:cs="仿宋_GB2312"/>
          <w:color w:val="000000"/>
        </w:rPr>
      </w:pPr>
      <w:bookmarkStart w:id="4" w:name="_Toc296516184"/>
      <w:bookmarkStart w:id="5" w:name="_Toc413948005"/>
      <w:bookmarkStart w:id="6" w:name="_Toc3423"/>
      <w:bookmarkStart w:id="7" w:name="_Toc270544309"/>
      <w:r>
        <w:rPr>
          <w:rFonts w:hint="eastAsia" w:ascii="仿宋_GB2312" w:hAnsi="仿宋_GB2312" w:eastAsia="仿宋_GB2312" w:cs="仿宋_GB2312"/>
          <w:color w:val="000000"/>
        </w:rPr>
        <w:t>概述</w:t>
      </w:r>
      <w:bookmarkEnd w:id="4"/>
      <w:bookmarkEnd w:id="5"/>
      <w:bookmarkEnd w:id="6"/>
      <w:bookmarkEnd w:id="7"/>
    </w:p>
    <w:p>
      <w:pPr>
        <w:pStyle w:val="7"/>
        <w:numPr>
          <w:ilvl w:val="0"/>
          <w:numId w:val="4"/>
        </w:numPr>
        <w:spacing w:line="560" w:lineRule="exact"/>
        <w:ind w:left="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本文件适用于南方电网科学研究院有限责任公司（以下简称</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）用于</w:t>
      </w:r>
      <w:r>
        <w:rPr>
          <w:rFonts w:hint="eastAsia" w:ascii="仿宋_GB2312" w:hAnsi="仿宋_GB2312" w:eastAsia="仿宋_GB2312" w:cs="仿宋_GB2312"/>
          <w:color w:val="000000"/>
          <w:sz w:val="28"/>
          <w:szCs w:val="28"/>
          <w:highlight w:val="none"/>
          <w:u w:val="single"/>
        </w:rPr>
        <w:t>构网型储能变流器涉网性能测试评价理论体系研究</w:t>
      </w:r>
      <w:r>
        <w:rPr>
          <w:rFonts w:hint="eastAsia" w:ascii="仿宋_GB2312" w:hAnsi="仿宋_GB2312" w:eastAsia="仿宋_GB2312" w:cs="仿宋_GB2312"/>
          <w:color w:val="000000"/>
          <w:sz w:val="28"/>
          <w:szCs w:val="28"/>
        </w:rPr>
        <w:t>项目采购，本文件的最终解释权归南方电网科学研究院有限责任公司。</w:t>
      </w:r>
    </w:p>
    <w:p>
      <w:pPr>
        <w:pStyle w:val="7"/>
        <w:numPr>
          <w:ilvl w:val="0"/>
          <w:numId w:val="4"/>
        </w:numPr>
        <w:spacing w:line="560" w:lineRule="exact"/>
        <w:ind w:left="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所有采购人认为是本文件范围所要求而被遗漏的项目，都被认为是包含在本次招标范围内，</w:t>
      </w:r>
      <w:r>
        <w:rPr>
          <w:rFonts w:hint="eastAsia" w:ascii="仿宋_GB2312" w:hAnsi="仿宋_GB2312" w:eastAsia="仿宋_GB2312" w:cs="仿宋_GB2312"/>
          <w:color w:val="000000"/>
          <w:sz w:val="28"/>
          <w:szCs w:val="28"/>
          <w:lang w:val="en-US" w:eastAsia="zh-CN"/>
        </w:rPr>
        <w:t>供应商</w:t>
      </w:r>
      <w:r>
        <w:rPr>
          <w:rFonts w:hint="eastAsia" w:ascii="仿宋_GB2312" w:hAnsi="仿宋_GB2312" w:eastAsia="仿宋_GB2312" w:cs="仿宋_GB2312"/>
          <w:color w:val="000000"/>
          <w:sz w:val="28"/>
          <w:szCs w:val="28"/>
        </w:rPr>
        <w:t>的投标被视为包含此遗漏项目的投标。</w:t>
      </w: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可以就</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认为的遗漏项目提请采购人注意，并详细说明理由。采购人将就此进行澄清。</w:t>
      </w:r>
    </w:p>
    <w:p>
      <w:pPr>
        <w:pStyle w:val="7"/>
        <w:numPr>
          <w:ilvl w:val="0"/>
          <w:numId w:val="4"/>
        </w:numPr>
        <w:spacing w:line="560" w:lineRule="exact"/>
        <w:ind w:left="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应保证所提供的所有资料真实、完整、准确无误，否则采购人将有权取消</w:t>
      </w: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的投标资格，由此产生的一切后果由</w:t>
      </w: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承担。</w:t>
      </w:r>
    </w:p>
    <w:p>
      <w:pPr>
        <w:pStyle w:val="7"/>
        <w:numPr>
          <w:ilvl w:val="0"/>
          <w:numId w:val="4"/>
        </w:numPr>
        <w:spacing w:line="560" w:lineRule="exact"/>
        <w:ind w:left="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应按照本技术规范书的要求提供详细、完整的技术方案。所提供的技术方案应完全满足或高于本技术规范书的要求，对于本技术规范书中的条款，</w:t>
      </w: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如不能满足要求，或有其它替代方案，或有其它修改建议，应在技术方案以及技术差异表中指出其必须进行修改的理由以及与原要求的差别。对于本技术规范书未规定的有关系统性能和功能，</w:t>
      </w: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应提出补充要求或建议，并陈述其理由。</w:t>
      </w:r>
    </w:p>
    <w:p>
      <w:pPr>
        <w:pStyle w:val="5"/>
        <w:spacing w:before="0" w:after="0" w:line="560" w:lineRule="exact"/>
        <w:ind w:left="426"/>
        <w:rPr>
          <w:rFonts w:hint="eastAsia" w:ascii="仿宋_GB2312" w:hAnsi="仿宋_GB2312" w:eastAsia="仿宋_GB2312" w:cs="仿宋_GB2312"/>
          <w:color w:val="000000"/>
        </w:rPr>
      </w:pPr>
      <w:bookmarkStart w:id="8" w:name="_Toc270544310"/>
      <w:bookmarkStart w:id="9" w:name="_Toc296516185"/>
      <w:bookmarkStart w:id="10" w:name="_Toc14435"/>
      <w:bookmarkStart w:id="11" w:name="_Toc413948006"/>
      <w:r>
        <w:rPr>
          <w:rFonts w:hint="eastAsia" w:ascii="仿宋_GB2312" w:hAnsi="仿宋_GB2312" w:eastAsia="仿宋_GB2312" w:cs="仿宋_GB2312"/>
          <w:color w:val="000000"/>
        </w:rPr>
        <w:t>定义</w:t>
      </w:r>
      <w:bookmarkEnd w:id="8"/>
      <w:bookmarkEnd w:id="9"/>
      <w:bookmarkEnd w:id="10"/>
      <w:bookmarkEnd w:id="11"/>
    </w:p>
    <w:p>
      <w:pPr>
        <w:pStyle w:val="7"/>
        <w:numPr>
          <w:ilvl w:val="0"/>
          <w:numId w:val="5"/>
        </w:numPr>
        <w:spacing w:line="560" w:lineRule="exact"/>
        <w:ind w:left="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：南方电网科学研究院有限责任公司。</w:t>
      </w:r>
    </w:p>
    <w:p>
      <w:pPr>
        <w:pStyle w:val="7"/>
        <w:numPr>
          <w:ilvl w:val="0"/>
          <w:numId w:val="5"/>
        </w:numPr>
        <w:spacing w:line="560" w:lineRule="exact"/>
        <w:ind w:left="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：参加本次投标竞争，向采购人提交投标文件的供货商/服务商/承包商。</w:t>
      </w:r>
    </w:p>
    <w:p>
      <w:pPr>
        <w:pStyle w:val="7"/>
        <w:numPr>
          <w:ilvl w:val="0"/>
          <w:numId w:val="5"/>
        </w:numPr>
        <w:spacing w:line="560" w:lineRule="exact"/>
        <w:ind w:left="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中标人：最终被授予合同的</w:t>
      </w: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w:t>
      </w:r>
    </w:p>
    <w:p>
      <w:pPr>
        <w:pStyle w:val="5"/>
        <w:spacing w:before="0" w:after="0" w:line="560" w:lineRule="exact"/>
        <w:ind w:left="426"/>
        <w:rPr>
          <w:rFonts w:hint="eastAsia" w:ascii="仿宋_GB2312" w:hAnsi="仿宋_GB2312" w:eastAsia="仿宋_GB2312" w:cs="仿宋_GB2312"/>
          <w:color w:val="000000"/>
        </w:rPr>
      </w:pPr>
      <w:r>
        <w:rPr>
          <w:rFonts w:hint="eastAsia" w:ascii="仿宋_GB2312" w:hAnsi="仿宋_GB2312" w:eastAsia="仿宋_GB2312" w:cs="仿宋_GB2312"/>
          <w:color w:val="000000"/>
        </w:rPr>
        <w:t>标准和规范</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本技术规范中涉及的所有规范、标准或材料规格均应为最新版本，即以采购人发出本方案之日作为采用最新版本的截止日期。若发现本技术规范书与所列标准之间有不一致之处，</w:t>
      </w: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应向采购人指明，并由</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确定采用哪一个规范。</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如果采用自己的标准或规范，必须向</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提供中文复印件并经招标方同意后方可采用，但不能低于GB、JB有关规定。</w:t>
      </w:r>
    </w:p>
    <w:p>
      <w:pPr>
        <w:pStyle w:val="5"/>
        <w:spacing w:before="0" w:after="0" w:line="560" w:lineRule="exact"/>
        <w:ind w:left="426"/>
        <w:rPr>
          <w:rFonts w:hint="eastAsia" w:ascii="仿宋_GB2312" w:hAnsi="仿宋_GB2312" w:eastAsia="仿宋_GB2312" w:cs="仿宋_GB2312"/>
          <w:color w:val="000000"/>
        </w:rPr>
      </w:pPr>
      <w:bookmarkStart w:id="12" w:name="_Toc285723380"/>
      <w:bookmarkStart w:id="13" w:name="_Toc113682936"/>
      <w:bookmarkStart w:id="14" w:name="_Toc286929894"/>
      <w:bookmarkStart w:id="15" w:name="_Toc288466921"/>
      <w:bookmarkStart w:id="16" w:name="_Toc296516186"/>
      <w:bookmarkStart w:id="17" w:name="_Toc413948008"/>
      <w:bookmarkStart w:id="18" w:name="_Toc24916"/>
      <w:bookmarkStart w:id="19" w:name="_Toc105396785"/>
      <w:bookmarkStart w:id="20" w:name="_Toc270544311"/>
      <w:r>
        <w:rPr>
          <w:rFonts w:hint="eastAsia" w:ascii="仿宋_GB2312" w:hAnsi="仿宋_GB2312" w:eastAsia="仿宋_GB2312" w:cs="仿宋_GB2312"/>
          <w:color w:val="000000"/>
        </w:rPr>
        <w:t>对投标技术文件的要</w:t>
      </w:r>
      <w:bookmarkEnd w:id="12"/>
      <w:r>
        <w:rPr>
          <w:rFonts w:hint="eastAsia" w:ascii="仿宋_GB2312" w:hAnsi="仿宋_GB2312" w:eastAsia="仿宋_GB2312" w:cs="仿宋_GB2312"/>
          <w:color w:val="000000"/>
        </w:rPr>
        <w:t>求</w:t>
      </w:r>
      <w:bookmarkEnd w:id="13"/>
      <w:bookmarkEnd w:id="14"/>
      <w:bookmarkEnd w:id="15"/>
      <w:bookmarkEnd w:id="16"/>
      <w:bookmarkEnd w:id="17"/>
      <w:bookmarkEnd w:id="18"/>
      <w:bookmarkEnd w:id="19"/>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投标技术文件必须包括但不限于以下内容：投标技术文件响应，技术差异表和技术方案。</w:t>
      </w:r>
    </w:p>
    <w:p>
      <w:pPr>
        <w:spacing w:line="560" w:lineRule="exact"/>
        <w:ind w:firstLine="560" w:firstLineChars="200"/>
        <w:rPr>
          <w:rFonts w:hint="eastAsia" w:ascii="仿宋_GB2312" w:hAnsi="仿宋_GB2312" w:eastAsia="仿宋_GB2312" w:cs="仿宋_GB2312"/>
          <w:color w:val="000000"/>
          <w:sz w:val="28"/>
          <w:szCs w:val="28"/>
        </w:rPr>
      </w:pPr>
      <w:bookmarkStart w:id="21" w:name="_Toc413948009"/>
      <w:bookmarkStart w:id="22" w:name="_Toc19287"/>
      <w:r>
        <w:rPr>
          <w:rFonts w:hint="eastAsia" w:ascii="仿宋_GB2312" w:hAnsi="仿宋_GB2312" w:eastAsia="仿宋_GB2312" w:cs="仿宋_GB2312"/>
          <w:color w:val="000000"/>
          <w:sz w:val="28"/>
          <w:szCs w:val="28"/>
        </w:rPr>
        <w:t>1.4.1投标文件的响应</w:t>
      </w:r>
      <w:bookmarkEnd w:id="21"/>
      <w:bookmarkEnd w:id="22"/>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spacing w:line="560" w:lineRule="exact"/>
        <w:ind w:firstLine="560" w:firstLineChars="200"/>
        <w:rPr>
          <w:rFonts w:hint="eastAsia" w:ascii="仿宋_GB2312" w:hAnsi="仿宋_GB2312" w:eastAsia="仿宋_GB2312" w:cs="仿宋_GB2312"/>
          <w:color w:val="000000"/>
          <w:sz w:val="28"/>
          <w:szCs w:val="28"/>
        </w:rPr>
      </w:pPr>
      <w:bookmarkStart w:id="23" w:name="_Toc32716"/>
      <w:bookmarkStart w:id="24" w:name="_Toc413948010"/>
      <w:r>
        <w:rPr>
          <w:rFonts w:hint="eastAsia" w:ascii="仿宋_GB2312" w:hAnsi="仿宋_GB2312" w:eastAsia="仿宋_GB2312" w:cs="仿宋_GB2312"/>
          <w:color w:val="000000"/>
          <w:sz w:val="28"/>
          <w:szCs w:val="28"/>
        </w:rPr>
        <w:t>1.4.2技术差异表</w:t>
      </w:r>
      <w:bookmarkEnd w:id="23"/>
      <w:bookmarkEnd w:id="24"/>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技术差异表见附件一。</w:t>
      </w:r>
    </w:p>
    <w:p>
      <w:pPr>
        <w:spacing w:line="560" w:lineRule="exact"/>
        <w:ind w:firstLine="560" w:firstLineChars="200"/>
        <w:rPr>
          <w:rFonts w:hint="eastAsia" w:ascii="仿宋_GB2312" w:hAnsi="仿宋_GB2312" w:eastAsia="仿宋_GB2312" w:cs="仿宋_GB2312"/>
          <w:color w:val="000000"/>
          <w:sz w:val="28"/>
          <w:szCs w:val="28"/>
        </w:rPr>
      </w:pPr>
      <w:bookmarkStart w:id="25" w:name="_Toc12829"/>
      <w:bookmarkStart w:id="26" w:name="_Toc413948011"/>
      <w:r>
        <w:rPr>
          <w:rFonts w:hint="eastAsia" w:ascii="仿宋_GB2312" w:hAnsi="仿宋_GB2312" w:eastAsia="仿宋_GB2312" w:cs="仿宋_GB2312"/>
          <w:color w:val="000000"/>
          <w:sz w:val="28"/>
          <w:szCs w:val="28"/>
        </w:rPr>
        <w:t>1.4.3技术方案</w:t>
      </w:r>
      <w:bookmarkEnd w:id="25"/>
      <w:bookmarkEnd w:id="26"/>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所提供的技术方案应按照以下的内容格式及编排顺序进行编制，但不限于以下内容。</w:t>
      </w:r>
    </w:p>
    <w:bookmarkEnd w:id="20"/>
    <w:p>
      <w:pPr>
        <w:spacing w:line="560" w:lineRule="exact"/>
        <w:ind w:firstLine="560" w:firstLineChars="200"/>
        <w:rPr>
          <w:rFonts w:hint="eastAsia" w:ascii="仿宋_GB2312" w:hAnsi="仿宋_GB2312" w:eastAsia="仿宋_GB2312" w:cs="仿宋_GB2312"/>
          <w:color w:val="000000"/>
          <w:sz w:val="28"/>
          <w:szCs w:val="28"/>
        </w:rPr>
      </w:pPr>
      <w:bookmarkStart w:id="27" w:name="_Toc270544312"/>
      <w:bookmarkStart w:id="28" w:name="_Toc296516188"/>
      <w:r>
        <w:rPr>
          <w:rFonts w:hint="eastAsia" w:ascii="仿宋_GB2312" w:hAnsi="仿宋_GB2312" w:eastAsia="仿宋_GB2312" w:cs="仿宋_GB2312"/>
          <w:color w:val="000000"/>
          <w:sz w:val="28"/>
          <w:szCs w:val="28"/>
        </w:rPr>
        <w:t>1.4.3.1概述</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1.4.3.2研究内容和技术路线</w:t>
      </w:r>
    </w:p>
    <w:p>
      <w:pPr>
        <w:spacing w:line="560" w:lineRule="exact"/>
        <w:ind w:firstLine="56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lang w:val="en-US" w:eastAsia="zh-CN"/>
        </w:rPr>
        <w:t>1）</w:t>
      </w:r>
      <w:r>
        <w:rPr>
          <w:rFonts w:hint="eastAsia" w:ascii="仿宋_GB2312" w:hAnsi="仿宋_GB2312" w:eastAsia="仿宋_GB2312" w:cs="仿宋_GB2312"/>
          <w:color w:val="000000"/>
          <w:sz w:val="28"/>
          <w:szCs w:val="28"/>
          <w:highlight w:val="none"/>
        </w:rPr>
        <w:t>构网型储能系统特性表征与评价方法</w:t>
      </w:r>
      <w:r>
        <w:rPr>
          <w:rFonts w:hint="eastAsia" w:ascii="仿宋_GB2312" w:hAnsi="仿宋_GB2312" w:eastAsia="仿宋_GB2312" w:cs="仿宋_GB2312"/>
          <w:color w:val="000000"/>
          <w:sz w:val="28"/>
          <w:szCs w:val="28"/>
          <w:highlight w:val="none"/>
          <w:lang w:val="en-US" w:eastAsia="zh-CN"/>
        </w:rPr>
        <w:t>分析。</w:t>
      </w:r>
      <w:r>
        <w:rPr>
          <w:rFonts w:hint="eastAsia" w:ascii="仿宋_GB2312" w:hAnsi="仿宋_GB2312" w:eastAsia="仿宋_GB2312" w:cs="仿宋_GB2312"/>
          <w:color w:val="000000"/>
          <w:sz w:val="28"/>
          <w:szCs w:val="28"/>
        </w:rPr>
        <w:t>描述建立构网型储能系统特性量化指标体系与数学模型拟采用的技术路线，包括惯性支撑、电压支撑、频率响应、过载能力、宽短路比适应性等核心特征量的定义、量化计算方法、建模方法等。</w:t>
      </w:r>
    </w:p>
    <w:p>
      <w:pPr>
        <w:numPr>
          <w:ilvl w:val="0"/>
          <w:numId w:val="6"/>
        </w:numPr>
        <w:spacing w:line="560" w:lineRule="exact"/>
        <w:ind w:firstLine="560"/>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rPr>
        <w:t>构网型储能系统仿真建模及硬件在环试验方法分析。描述半实物仿真与现场实物测试相结合的集成化试验方法拟采用的研究思路，包括以下要素：标准化扰动测试流程、信号注入方法、数据评价方法等。</w:t>
      </w:r>
    </w:p>
    <w:p>
      <w:pPr>
        <w:numPr>
          <w:ilvl w:val="0"/>
          <w:numId w:val="6"/>
        </w:numPr>
        <w:spacing w:line="560" w:lineRule="exact"/>
        <w:ind w:firstLine="560"/>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rPr>
        <w:t>构网型储能协同控制系统特性量化评价及试验方法分析</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描述构网型储能参与电网频率安全协同控制的系统功能设计拟采用的技术路线，包括频率安全控制资源在时间尺度与控制功能间的耦合关系、系统级的量化评价指标、构网型储能系统现场试验平台搭建方法及测试方案。</w:t>
      </w:r>
    </w:p>
    <w:p>
      <w:pPr>
        <w:numPr>
          <w:ilvl w:val="0"/>
          <w:numId w:val="6"/>
        </w:numPr>
        <w:spacing w:line="560" w:lineRule="exact"/>
        <w:ind w:firstLine="56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构网型储能系统特性量化评价及试验方法</w:t>
      </w:r>
      <w:r>
        <w:rPr>
          <w:rFonts w:hint="eastAsia" w:ascii="仿宋_GB2312" w:hAnsi="仿宋_GB2312" w:eastAsia="仿宋_GB2312" w:cs="仿宋_GB2312"/>
          <w:color w:val="000000"/>
          <w:sz w:val="28"/>
          <w:szCs w:val="28"/>
          <w:lang w:val="en-US" w:eastAsia="zh-CN"/>
        </w:rPr>
        <w:t>分析。</w:t>
      </w:r>
      <w:r>
        <w:rPr>
          <w:rFonts w:hint="eastAsia" w:ascii="仿宋_GB2312" w:hAnsi="仿宋_GB2312" w:eastAsia="仿宋_GB2312" w:cs="仿宋_GB2312"/>
          <w:color w:val="000000"/>
          <w:sz w:val="28"/>
          <w:szCs w:val="28"/>
        </w:rPr>
        <w:t>阐明构建涵盖特性量化指标定义、测试电路要求、测试设备要求、测试项目与步骤规范的全流程标准体系拟采用的研究思路与方法，包括测试数据的处理算法与评价准则。</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1.4.3.3预期目标与成果形式</w:t>
      </w:r>
    </w:p>
    <w:p>
      <w:pPr>
        <w:spacing w:line="560" w:lineRule="exact"/>
        <w:ind w:firstLine="560" w:firstLineChars="200"/>
        <w:rPr>
          <w:rFonts w:hint="eastAsia"/>
        </w:rPr>
      </w:pPr>
      <w:r>
        <w:rPr>
          <w:rFonts w:hint="eastAsia" w:ascii="仿宋_GB2312" w:hAnsi="仿宋_GB2312" w:eastAsia="仿宋_GB2312" w:cs="仿宋_GB2312"/>
          <w:color w:val="000000"/>
          <w:sz w:val="28"/>
          <w:szCs w:val="28"/>
        </w:rPr>
        <w:t>提出项目研究将达成的目标，以及最终提供的成果形式，且内容应响应下文“2.3 研究成果/交付物的技术指标要求”。</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1.4.3.4项目的进度安排</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提交详细的项目进度计划，明确里程碑，且内容应响应下文“3.2研究进度计划的编制及分段考核”。</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1.4.3.5技术服务承诺</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为本项目所提供的服务的内容、服务方式和服务承诺（含售后服务）。</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1.4.3.6项目管理方案</w:t>
      </w:r>
    </w:p>
    <w:p>
      <w:pPr>
        <w:spacing w:line="560" w:lineRule="exact"/>
        <w:ind w:firstLine="560" w:firstLineChars="200"/>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rPr>
        <w:t>项目组织。提供本项目组织详细资料，</w:t>
      </w:r>
      <w:r>
        <w:rPr>
          <w:rFonts w:hint="eastAsia" w:ascii="仿宋_GB2312" w:hAnsi="仿宋_GB2312" w:eastAsia="仿宋_GB2312" w:cs="仿宋_GB2312"/>
          <w:color w:val="000000"/>
          <w:sz w:val="28"/>
          <w:szCs w:val="28"/>
          <w:lang w:val="en-US" w:eastAsia="zh-CN"/>
        </w:rPr>
        <w:t>提</w:t>
      </w:r>
      <w:r>
        <w:rPr>
          <w:rFonts w:hint="eastAsia" w:ascii="仿宋_GB2312" w:hAnsi="仿宋_GB2312" w:eastAsia="仿宋_GB2312" w:cs="仿宋_GB2312"/>
          <w:color w:val="000000"/>
          <w:sz w:val="28"/>
          <w:szCs w:val="28"/>
          <w:highlight w:val="none"/>
          <w:lang w:val="en-US" w:eastAsia="zh-CN"/>
        </w:rPr>
        <w:t>供项目负责人近年（投标截止日前三年至今）开展的同类项目业绩说明，</w:t>
      </w:r>
      <w:r>
        <w:rPr>
          <w:rFonts w:hint="eastAsia" w:ascii="仿宋_GB2312" w:hAnsi="仿宋_GB2312" w:eastAsia="仿宋_GB2312" w:cs="仿宋_GB2312"/>
          <w:color w:val="000000"/>
          <w:sz w:val="28"/>
          <w:szCs w:val="28"/>
        </w:rPr>
        <w:t>提供该项目人员构成及名单。</w:t>
      </w:r>
      <w:r>
        <w:rPr>
          <w:rFonts w:hint="eastAsia" w:ascii="仿宋_GB2312" w:hAnsi="仿宋_GB2312" w:eastAsia="仿宋_GB2312" w:cs="仿宋_GB2312"/>
          <w:color w:val="000000"/>
          <w:sz w:val="28"/>
          <w:szCs w:val="28"/>
          <w:lang w:val="en-US" w:eastAsia="zh-CN"/>
        </w:rPr>
        <w:t xml:space="preserve"> </w:t>
      </w:r>
    </w:p>
    <w:p>
      <w:pPr>
        <w:spacing w:line="560" w:lineRule="exact"/>
        <w:ind w:firstLine="560" w:firstLineChars="200"/>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研究基础。提供</w:t>
      </w:r>
      <w:r>
        <w:rPr>
          <w:rFonts w:hint="eastAsia" w:ascii="仿宋_GB2312" w:hAnsi="仿宋_GB2312" w:eastAsia="仿宋_GB2312" w:cs="仿宋_GB2312"/>
          <w:color w:val="000000"/>
          <w:sz w:val="28"/>
          <w:szCs w:val="28"/>
        </w:rPr>
        <w:t>项目团队成员近年（投标截止日前三年至今）参与本项目相关领域（储能变流器涉网性能测试评价相关研究）研究成果</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lang w:val="en-US" w:eastAsia="zh-CN"/>
        </w:rPr>
        <w:t>包括论文、软著、专利</w:t>
      </w:r>
      <w:r>
        <w:rPr>
          <w:rFonts w:hint="eastAsia" w:ascii="仿宋_GB2312" w:hAnsi="仿宋_GB2312" w:eastAsia="仿宋_GB2312" w:cs="仿宋_GB2312"/>
          <w:color w:val="000000"/>
          <w:sz w:val="28"/>
          <w:szCs w:val="28"/>
          <w:lang w:eastAsia="zh-CN"/>
        </w:rPr>
        <w:t>。</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1.4.3.7附录</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1.4.3.7.1风险与对策：若</w:t>
      </w: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认为实现本文件的相关内容存在技术类或其它类风险，请详细说明，并提供相应的对策。</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1.4.3.7.2</w:t>
      </w:r>
      <w:r>
        <w:rPr>
          <w:rFonts w:hint="eastAsia" w:ascii="仿宋_GB2312" w:hAnsi="仿宋_GB2312" w:eastAsia="仿宋_GB2312" w:cs="仿宋_GB2312"/>
          <w:color w:val="000000"/>
          <w:sz w:val="28"/>
          <w:szCs w:val="28"/>
          <w:lang w:eastAsia="zh-CN"/>
        </w:rPr>
        <w:t>供应商</w:t>
      </w:r>
      <w:r>
        <w:rPr>
          <w:rFonts w:hint="eastAsia" w:ascii="仿宋_GB2312" w:hAnsi="仿宋_GB2312" w:eastAsia="仿宋_GB2312" w:cs="仿宋_GB2312"/>
          <w:color w:val="000000"/>
          <w:sz w:val="28"/>
          <w:szCs w:val="28"/>
        </w:rPr>
        <w:t>认为需要为本项目提供的其它任何的资料信息。</w:t>
      </w:r>
    </w:p>
    <w:bookmarkEnd w:id="27"/>
    <w:bookmarkEnd w:id="28"/>
    <w:p>
      <w:pPr>
        <w:pStyle w:val="4"/>
        <w:spacing w:before="0" w:after="0" w:line="560" w:lineRule="exact"/>
        <w:rPr>
          <w:rFonts w:hint="eastAsia" w:ascii="仿宋_GB2312" w:hAnsi="仿宋_GB2312" w:eastAsia="仿宋_GB2312" w:cs="仿宋_GB2312"/>
          <w:color w:val="000000"/>
        </w:rPr>
      </w:pPr>
      <w:bookmarkStart w:id="29" w:name="_Toc30347"/>
      <w:bookmarkStart w:id="30" w:name="_Toc413948012"/>
      <w:r>
        <w:rPr>
          <w:rFonts w:hint="eastAsia" w:ascii="仿宋_GB2312" w:hAnsi="仿宋_GB2312" w:eastAsia="仿宋_GB2312" w:cs="仿宋_GB2312"/>
          <w:color w:val="000000"/>
        </w:rPr>
        <w:t>总体描述</w:t>
      </w:r>
      <w:bookmarkEnd w:id="29"/>
      <w:bookmarkEnd w:id="30"/>
    </w:p>
    <w:p>
      <w:pPr>
        <w:pStyle w:val="5"/>
        <w:numPr>
          <w:ilvl w:val="0"/>
          <w:numId w:val="0"/>
        </w:numPr>
        <w:spacing w:before="0" w:after="0" w:line="560" w:lineRule="exact"/>
        <w:rPr>
          <w:rFonts w:hint="eastAsia" w:ascii="仿宋_GB2312" w:hAnsi="仿宋_GB2312" w:eastAsia="仿宋_GB2312" w:cs="仿宋_GB2312"/>
          <w:color w:val="000000"/>
        </w:rPr>
      </w:pPr>
      <w:bookmarkStart w:id="31" w:name="_Toc413948013"/>
      <w:bookmarkStart w:id="32" w:name="_Toc30671"/>
      <w:r>
        <w:rPr>
          <w:rFonts w:hint="eastAsia" w:ascii="仿宋_GB2312" w:hAnsi="仿宋_GB2312" w:eastAsia="仿宋_GB2312" w:cs="仿宋_GB2312"/>
          <w:color w:val="000000"/>
        </w:rPr>
        <w:t>2.1 项目背景</w:t>
      </w:r>
      <w:bookmarkEnd w:id="31"/>
      <w:bookmarkEnd w:id="32"/>
    </w:p>
    <w:p>
      <w:pPr>
        <w:spacing w:line="560" w:lineRule="exact"/>
        <w:ind w:firstLine="560" w:firstLineChars="200"/>
        <w:rPr>
          <w:rFonts w:hint="eastAsia" w:ascii="仿宋_GB2312" w:hAnsi="仿宋_GB2312" w:eastAsia="仿宋_GB2312" w:cs="仿宋_GB2312"/>
          <w:b w:val="0"/>
          <w:bCs/>
          <w:i w:val="0"/>
          <w:iCs/>
          <w:color w:val="000000"/>
          <w:kern w:val="2"/>
          <w:sz w:val="28"/>
          <w:szCs w:val="28"/>
          <w:highlight w:val="none"/>
          <w:u w:val="none"/>
          <w:lang w:val="en-US" w:eastAsia="zh-CN" w:bidi="ar-SA"/>
        </w:rPr>
      </w:pPr>
      <w:bookmarkStart w:id="33" w:name="_Toc9801"/>
      <w:bookmarkStart w:id="34" w:name="_Toc413948014"/>
      <w:r>
        <w:rPr>
          <w:rFonts w:hint="eastAsia" w:ascii="仿宋_GB2312" w:hAnsi="仿宋_GB2312" w:eastAsia="仿宋_GB2312" w:cs="仿宋_GB2312"/>
          <w:color w:val="000000"/>
          <w:sz w:val="28"/>
          <w:szCs w:val="28"/>
          <w:highlight w:val="none"/>
          <w:lang w:val="en-US" w:eastAsia="zh-CN"/>
        </w:rPr>
        <w:t>构网型储能系统通过模拟同步机特性、提供惯性支撑、电压支撑、频率支撑，成为提升电网稳定性与新能源消纳能力的核心技术。本项目拟开展构网型储能系统特性量化评价及试验方法研究，通过建立涵盖惯性支撑功率、电压支撑能力、调频响应速度等多维度的量化指标体系，明晰半实物仿真与实物实证结合的测试技术、提出包含单机与场站级测试电路的现场试验平台构建方法。</w:t>
      </w:r>
    </w:p>
    <w:p>
      <w:pPr>
        <w:pStyle w:val="5"/>
        <w:numPr>
          <w:ilvl w:val="0"/>
          <w:numId w:val="0"/>
        </w:numPr>
        <w:spacing w:before="0" w:after="0" w:line="560" w:lineRule="exact"/>
        <w:rPr>
          <w:rFonts w:hint="eastAsia" w:ascii="仿宋_GB2312" w:hAnsi="仿宋_GB2312" w:eastAsia="仿宋_GB2312" w:cs="仿宋_GB2312"/>
          <w:color w:val="000000"/>
        </w:rPr>
      </w:pPr>
      <w:r>
        <w:rPr>
          <w:rFonts w:hint="eastAsia" w:ascii="仿宋_GB2312" w:hAnsi="仿宋_GB2312" w:eastAsia="仿宋_GB2312" w:cs="仿宋_GB2312"/>
          <w:color w:val="000000"/>
        </w:rPr>
        <w:t>2.2 项目采购范围</w:t>
      </w:r>
      <w:bookmarkEnd w:id="33"/>
      <w:bookmarkEnd w:id="34"/>
    </w:p>
    <w:bookmarkEnd w:id="3"/>
    <w:p>
      <w:pPr>
        <w:spacing w:line="560" w:lineRule="exact"/>
        <w:ind w:firstLine="560" w:firstLineChars="200"/>
        <w:rPr>
          <w:rFonts w:hint="eastAsia" w:ascii="仿宋_GB2312" w:hAnsi="仿宋_GB2312" w:eastAsia="仿宋_GB2312" w:cs="仿宋_GB2312"/>
          <w:b w:val="0"/>
          <w:bCs/>
          <w:i w:val="0"/>
          <w:iCs/>
          <w:color w:val="000000"/>
          <w:kern w:val="2"/>
          <w:sz w:val="28"/>
          <w:szCs w:val="28"/>
          <w:highlight w:val="none"/>
          <w:u w:val="none"/>
          <w:lang w:val="en-US" w:eastAsia="zh-CN" w:bidi="ar-SA"/>
        </w:rPr>
      </w:pPr>
      <w:bookmarkStart w:id="35" w:name="_Toc197719624"/>
      <w:bookmarkStart w:id="36" w:name="_Toc198288469"/>
      <w:r>
        <w:rPr>
          <w:rFonts w:hint="eastAsia" w:ascii="仿宋_GB2312" w:hAnsi="仿宋_GB2312" w:eastAsia="仿宋_GB2312" w:cs="仿宋_GB2312"/>
          <w:b w:val="0"/>
          <w:bCs/>
          <w:i w:val="0"/>
          <w:iCs/>
          <w:color w:val="000000"/>
          <w:kern w:val="2"/>
          <w:sz w:val="28"/>
          <w:szCs w:val="28"/>
          <w:highlight w:val="none"/>
          <w:u w:val="none"/>
          <w:lang w:val="en-US" w:eastAsia="zh-CN" w:bidi="ar-SA"/>
        </w:rPr>
        <w:t>任务1：构网型储能系统特性表征与评价方法研究</w:t>
      </w:r>
    </w:p>
    <w:p>
      <w:pPr>
        <w:spacing w:line="560" w:lineRule="exact"/>
        <w:ind w:firstLine="560" w:firstLineChars="200"/>
        <w:rPr>
          <w:rFonts w:hint="eastAsia" w:ascii="仿宋_GB2312" w:hAnsi="仿宋_GB2312" w:eastAsia="仿宋_GB2312" w:cs="仿宋_GB2312"/>
          <w:b w:val="0"/>
          <w:bCs/>
          <w:i w:val="0"/>
          <w:iCs/>
          <w:color w:val="000000"/>
          <w:kern w:val="2"/>
          <w:sz w:val="28"/>
          <w:szCs w:val="28"/>
          <w:highlight w:val="none"/>
          <w:u w:val="none"/>
          <w:lang w:val="en-US" w:eastAsia="zh-CN" w:bidi="ar-SA"/>
        </w:rPr>
      </w:pPr>
      <w:r>
        <w:rPr>
          <w:rFonts w:hint="eastAsia" w:ascii="仿宋_GB2312" w:hAnsi="仿宋_GB2312" w:eastAsia="仿宋_GB2312" w:cs="仿宋_GB2312"/>
          <w:b w:val="0"/>
          <w:bCs/>
          <w:i w:val="0"/>
          <w:iCs/>
          <w:color w:val="000000"/>
          <w:kern w:val="2"/>
          <w:sz w:val="28"/>
          <w:szCs w:val="28"/>
          <w:highlight w:val="none"/>
          <w:u w:val="none"/>
          <w:lang w:val="en-US" w:eastAsia="zh-CN" w:bidi="ar-SA"/>
        </w:rPr>
        <w:t>研究高比例新能源电网对频率稳定、电压稳定及故障穿越等能力的具体需求。针对惯性支撑、一次调频、二次调频等频率相关特性，研究功率响应模型、时间常数及能量需求的计算方法；针对电压支撑与无功调节特性，研究其动态无功输出能力与电压调节精度的量化模型；研究其稳定运行边界与故障穿越能力的判据与量化描述。</w:t>
      </w:r>
    </w:p>
    <w:p>
      <w:pPr>
        <w:spacing w:line="560" w:lineRule="exact"/>
        <w:ind w:firstLine="560" w:firstLineChars="200"/>
        <w:rPr>
          <w:rFonts w:hint="eastAsia" w:ascii="仿宋_GB2312" w:hAnsi="仿宋_GB2312" w:eastAsia="仿宋_GB2312" w:cs="仿宋_GB2312"/>
          <w:b w:val="0"/>
          <w:bCs/>
          <w:i w:val="0"/>
          <w:iCs/>
          <w:color w:val="000000"/>
          <w:kern w:val="2"/>
          <w:sz w:val="28"/>
          <w:szCs w:val="28"/>
          <w:highlight w:val="none"/>
          <w:u w:val="none"/>
          <w:lang w:val="en-US" w:eastAsia="zh-CN" w:bidi="ar-SA"/>
        </w:rPr>
      </w:pPr>
      <w:r>
        <w:rPr>
          <w:rFonts w:hint="eastAsia" w:ascii="仿宋_GB2312" w:hAnsi="仿宋_GB2312" w:eastAsia="仿宋_GB2312" w:cs="仿宋_GB2312"/>
          <w:b w:val="0"/>
          <w:bCs/>
          <w:i w:val="0"/>
          <w:iCs/>
          <w:color w:val="000000"/>
          <w:kern w:val="2"/>
          <w:sz w:val="28"/>
          <w:szCs w:val="28"/>
          <w:highlight w:val="none"/>
          <w:u w:val="none"/>
          <w:lang w:val="en-US" w:eastAsia="zh-CN" w:bidi="ar-SA"/>
        </w:rPr>
        <w:t>任务2：构网型储能系统仿真建模及硬件在环试验方法研究</w:t>
      </w:r>
    </w:p>
    <w:p>
      <w:pPr>
        <w:spacing w:line="560" w:lineRule="exact"/>
        <w:ind w:firstLine="560" w:firstLineChars="200"/>
        <w:rPr>
          <w:rFonts w:hint="eastAsia" w:ascii="仿宋_GB2312" w:hAnsi="仿宋_GB2312" w:eastAsia="仿宋_GB2312" w:cs="仿宋_GB2312"/>
          <w:b w:val="0"/>
          <w:bCs/>
          <w:i w:val="0"/>
          <w:iCs/>
          <w:color w:val="000000"/>
          <w:kern w:val="2"/>
          <w:sz w:val="28"/>
          <w:szCs w:val="28"/>
          <w:highlight w:val="none"/>
          <w:u w:val="none"/>
          <w:lang w:val="en-US" w:eastAsia="zh-CN" w:bidi="ar-SA"/>
        </w:rPr>
      </w:pPr>
      <w:r>
        <w:rPr>
          <w:rFonts w:hint="eastAsia" w:ascii="仿宋_GB2312" w:hAnsi="仿宋_GB2312" w:eastAsia="仿宋_GB2312" w:cs="仿宋_GB2312"/>
          <w:b w:val="0"/>
          <w:bCs/>
          <w:i w:val="0"/>
          <w:iCs/>
          <w:color w:val="000000"/>
          <w:kern w:val="2"/>
          <w:sz w:val="28"/>
          <w:szCs w:val="28"/>
          <w:highlight w:val="none"/>
          <w:u w:val="none"/>
          <w:lang w:val="en-US" w:eastAsia="zh-CN" w:bidi="ar-SA"/>
        </w:rPr>
        <w:t>研究半实物仿真与现场实物测试相结合的集成化试验方法，研究构网型储能参与电网频率安全协同控制的策略，设计相应的协同控制系统，形成完整技术要求。</w:t>
      </w:r>
    </w:p>
    <w:p>
      <w:pPr>
        <w:spacing w:line="560" w:lineRule="exact"/>
        <w:ind w:firstLine="560" w:firstLineChars="200"/>
        <w:rPr>
          <w:rFonts w:hint="eastAsia" w:ascii="仿宋_GB2312" w:hAnsi="仿宋_GB2312" w:eastAsia="仿宋_GB2312" w:cs="仿宋_GB2312"/>
          <w:b w:val="0"/>
          <w:bCs/>
          <w:i w:val="0"/>
          <w:iCs/>
          <w:color w:val="000000"/>
          <w:kern w:val="2"/>
          <w:sz w:val="28"/>
          <w:szCs w:val="28"/>
          <w:highlight w:val="none"/>
          <w:u w:val="none"/>
          <w:lang w:val="en-US" w:eastAsia="zh-CN" w:bidi="ar-SA"/>
        </w:rPr>
      </w:pPr>
      <w:r>
        <w:rPr>
          <w:rFonts w:hint="eastAsia" w:ascii="仿宋_GB2312" w:hAnsi="仿宋_GB2312" w:eastAsia="仿宋_GB2312" w:cs="仿宋_GB2312"/>
          <w:b w:val="0"/>
          <w:bCs/>
          <w:i w:val="0"/>
          <w:iCs/>
          <w:color w:val="000000"/>
          <w:kern w:val="2"/>
          <w:sz w:val="28"/>
          <w:szCs w:val="28"/>
          <w:highlight w:val="none"/>
          <w:u w:val="none"/>
          <w:lang w:val="en-US" w:eastAsia="zh-CN" w:bidi="ar-SA"/>
        </w:rPr>
        <w:t>任务3：构网型储能及其协同控制系统特性量化评价及试验方法研究</w:t>
      </w:r>
    </w:p>
    <w:p>
      <w:pPr>
        <w:numPr>
          <w:ilvl w:val="0"/>
          <w:numId w:val="0"/>
        </w:numPr>
        <w:spacing w:line="560" w:lineRule="exact"/>
        <w:ind w:firstLine="560" w:firstLineChars="200"/>
        <w:rPr>
          <w:rFonts w:hint="eastAsia" w:ascii="仿宋_GB2312" w:hAnsi="仿宋_GB2312" w:eastAsia="仿宋_GB2312" w:cs="仿宋_GB2312"/>
          <w:b w:val="0"/>
          <w:bCs/>
          <w:i w:val="0"/>
          <w:iCs/>
          <w:color w:val="000000"/>
          <w:kern w:val="2"/>
          <w:sz w:val="28"/>
          <w:szCs w:val="28"/>
          <w:highlight w:val="none"/>
          <w:u w:val="none"/>
          <w:lang w:val="en-US" w:eastAsia="zh-CN" w:bidi="ar-SA"/>
        </w:rPr>
      </w:pPr>
      <w:r>
        <w:rPr>
          <w:rFonts w:hint="eastAsia" w:ascii="仿宋_GB2312" w:hAnsi="仿宋_GB2312" w:eastAsia="仿宋_GB2312" w:cs="仿宋_GB2312"/>
          <w:b w:val="0"/>
          <w:bCs/>
          <w:i w:val="0"/>
          <w:iCs/>
          <w:color w:val="000000"/>
          <w:kern w:val="2"/>
          <w:sz w:val="28"/>
          <w:szCs w:val="28"/>
          <w:highlight w:val="none"/>
          <w:u w:val="none"/>
          <w:lang w:val="en-US" w:eastAsia="zh-CN" w:bidi="ar-SA"/>
        </w:rPr>
        <w:t>研究多储能单元协同运行时的聚合特性评价指标，设计用于现场实证的单机测试电路与场站测试电路拓扑结构。研究规范测试设备接入标准与信号采集要求，建立针对电网各类故障场景的特性测试流程。</w:t>
      </w:r>
    </w:p>
    <w:p>
      <w:pPr>
        <w:numPr>
          <w:ilvl w:val="0"/>
          <w:numId w:val="0"/>
        </w:numPr>
        <w:spacing w:line="560" w:lineRule="exact"/>
        <w:ind w:firstLine="560" w:firstLineChars="200"/>
        <w:rPr>
          <w:rFonts w:hint="eastAsia" w:ascii="仿宋_GB2312" w:hAnsi="仿宋_GB2312" w:eastAsia="仿宋_GB2312" w:cs="仿宋_GB2312"/>
          <w:b w:val="0"/>
          <w:bCs/>
          <w:i w:val="0"/>
          <w:iCs/>
          <w:color w:val="000000"/>
          <w:kern w:val="2"/>
          <w:sz w:val="28"/>
          <w:szCs w:val="28"/>
          <w:highlight w:val="none"/>
          <w:u w:val="none"/>
          <w:lang w:val="en-US" w:eastAsia="zh-CN" w:bidi="ar-SA"/>
        </w:rPr>
      </w:pPr>
      <w:r>
        <w:rPr>
          <w:rFonts w:hint="eastAsia" w:ascii="仿宋_GB2312" w:hAnsi="仿宋_GB2312" w:eastAsia="仿宋_GB2312" w:cs="仿宋_GB2312"/>
          <w:b w:val="0"/>
          <w:bCs/>
          <w:i w:val="0"/>
          <w:iCs/>
          <w:color w:val="000000"/>
          <w:kern w:val="2"/>
          <w:sz w:val="28"/>
          <w:szCs w:val="28"/>
          <w:highlight w:val="none"/>
          <w:u w:val="none"/>
          <w:lang w:val="en-US" w:eastAsia="zh-CN" w:bidi="ar-SA"/>
        </w:rPr>
        <w:t>任务4：构网型储能系统特性量化评价及试验方法研究</w:t>
      </w:r>
    </w:p>
    <w:p>
      <w:pPr>
        <w:pStyle w:val="5"/>
        <w:numPr>
          <w:ilvl w:val="0"/>
          <w:numId w:val="0"/>
        </w:numPr>
        <w:spacing w:before="0" w:after="0" w:line="560" w:lineRule="exact"/>
        <w:ind w:firstLine="560" w:firstLineChars="200"/>
        <w:rPr>
          <w:rFonts w:hint="eastAsia" w:ascii="仿宋_GB2312" w:hAnsi="仿宋_GB2312" w:eastAsia="仿宋_GB2312" w:cs="仿宋_GB2312"/>
          <w:b w:val="0"/>
          <w:bCs/>
          <w:i w:val="0"/>
          <w:iCs/>
          <w:color w:val="000000"/>
          <w:kern w:val="2"/>
          <w:sz w:val="28"/>
          <w:szCs w:val="28"/>
          <w:highlight w:val="none"/>
          <w:u w:val="none"/>
          <w:lang w:val="en-US" w:eastAsia="zh-CN" w:bidi="ar-SA"/>
        </w:rPr>
      </w:pPr>
      <w:bookmarkStart w:id="37" w:name="_Toc413948007"/>
      <w:bookmarkStart w:id="38" w:name="_Toc24847"/>
      <w:r>
        <w:rPr>
          <w:rFonts w:hint="eastAsia" w:hAnsi="仿宋_GB2312" w:cs="仿宋_GB2312"/>
          <w:b w:val="0"/>
          <w:bCs/>
          <w:i w:val="0"/>
          <w:iCs/>
          <w:color w:val="000000"/>
          <w:kern w:val="2"/>
          <w:sz w:val="28"/>
          <w:szCs w:val="28"/>
          <w:highlight w:val="none"/>
          <w:u w:val="none"/>
          <w:lang w:val="en-US" w:eastAsia="zh-CN" w:bidi="ar-SA"/>
        </w:rPr>
        <w:t>研究考虑</w:t>
      </w:r>
      <w:r>
        <w:rPr>
          <w:rFonts w:hint="eastAsia" w:ascii="仿宋_GB2312" w:hAnsi="仿宋_GB2312" w:eastAsia="仿宋_GB2312" w:cs="仿宋_GB2312"/>
          <w:b w:val="0"/>
          <w:bCs/>
          <w:i w:val="0"/>
          <w:iCs/>
          <w:color w:val="000000"/>
          <w:kern w:val="2"/>
          <w:sz w:val="28"/>
          <w:szCs w:val="28"/>
          <w:highlight w:val="none"/>
          <w:u w:val="none"/>
          <w:lang w:val="en-US" w:eastAsia="zh-CN" w:bidi="ar-SA"/>
        </w:rPr>
        <w:t>特性量化指标的定义与计算方法、半实物仿真平台与现场试验平台的测试电路要求、操作步骤规范</w:t>
      </w:r>
      <w:r>
        <w:rPr>
          <w:rFonts w:hint="eastAsia" w:hAnsi="仿宋_GB2312" w:cs="仿宋_GB2312"/>
          <w:b w:val="0"/>
          <w:bCs/>
          <w:i w:val="0"/>
          <w:iCs/>
          <w:color w:val="000000"/>
          <w:kern w:val="2"/>
          <w:sz w:val="28"/>
          <w:szCs w:val="28"/>
          <w:highlight w:val="none"/>
          <w:u w:val="none"/>
          <w:lang w:val="en-US" w:eastAsia="zh-CN" w:bidi="ar-SA"/>
        </w:rPr>
        <w:t>等要求的标准化体系</w:t>
      </w:r>
      <w:r>
        <w:rPr>
          <w:rFonts w:hint="eastAsia" w:ascii="仿宋_GB2312" w:hAnsi="仿宋_GB2312" w:eastAsia="仿宋_GB2312" w:cs="仿宋_GB2312"/>
          <w:b w:val="0"/>
          <w:bCs/>
          <w:i w:val="0"/>
          <w:iCs/>
          <w:color w:val="000000"/>
          <w:kern w:val="2"/>
          <w:sz w:val="28"/>
          <w:szCs w:val="28"/>
          <w:highlight w:val="none"/>
          <w:u w:val="none"/>
          <w:lang w:val="en-US" w:eastAsia="zh-CN" w:bidi="ar-SA"/>
        </w:rPr>
        <w:t>。</w:t>
      </w:r>
    </w:p>
    <w:p>
      <w:pPr>
        <w:pStyle w:val="5"/>
        <w:numPr>
          <w:ilvl w:val="0"/>
          <w:numId w:val="0"/>
        </w:numPr>
        <w:spacing w:before="0" w:after="0" w:line="560" w:lineRule="exact"/>
        <w:rPr>
          <w:rFonts w:hint="eastAsia" w:ascii="仿宋_GB2312" w:hAnsi="仿宋_GB2312" w:eastAsia="仿宋_GB2312" w:cs="仿宋_GB2312"/>
          <w:color w:val="000000"/>
        </w:rPr>
      </w:pPr>
      <w:r>
        <w:rPr>
          <w:rFonts w:hint="eastAsia" w:ascii="仿宋_GB2312" w:hAnsi="仿宋_GB2312" w:eastAsia="仿宋_GB2312" w:cs="仿宋_GB2312"/>
          <w:color w:val="000000"/>
        </w:rPr>
        <w:t>2.3 项目研究成果/交付物的技术指标要求</w:t>
      </w:r>
      <w:bookmarkEnd w:id="37"/>
      <w:bookmarkEnd w:id="38"/>
    </w:p>
    <w:p>
      <w:pPr>
        <w:pStyle w:val="6"/>
        <w:numPr>
          <w:ilvl w:val="0"/>
          <w:numId w:val="0"/>
        </w:numPr>
        <w:spacing w:before="0" w:after="0" w:line="560" w:lineRule="exact"/>
        <w:ind w:firstLine="560" w:firstLineChars="200"/>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2.3.1交付成果</w:t>
      </w:r>
    </w:p>
    <w:p>
      <w:pPr>
        <w:spacing w:line="56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（1）研究报告</w:t>
      </w:r>
    </w:p>
    <w:p>
      <w:pPr>
        <w:spacing w:line="560" w:lineRule="exact"/>
        <w:ind w:firstLine="560" w:firstLineChars="200"/>
        <w:rPr>
          <w:rFonts w:hint="default"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kern w:val="2"/>
          <w:sz w:val="28"/>
          <w:szCs w:val="28"/>
          <w:highlight w:val="none"/>
          <w:lang w:val="en-US" w:eastAsia="zh-CN" w:bidi="ar-SA"/>
        </w:rPr>
        <w:t>构网型储能变流器涉网性能测试评价理论体系研究</w:t>
      </w:r>
      <w:r>
        <w:rPr>
          <w:rFonts w:hint="eastAsia" w:ascii="仿宋_GB2312" w:hAnsi="仿宋_GB2312" w:eastAsia="仿宋_GB2312" w:cs="仿宋_GB2312"/>
          <w:color w:val="000000"/>
          <w:sz w:val="28"/>
          <w:szCs w:val="28"/>
          <w:highlight w:val="none"/>
        </w:rPr>
        <w:t>报告1份，内容应包括</w:t>
      </w:r>
      <w:r>
        <w:rPr>
          <w:rFonts w:hint="eastAsia" w:ascii="仿宋_GB2312" w:hAnsi="仿宋_GB2312" w:eastAsia="仿宋_GB2312" w:cs="仿宋_GB2312"/>
          <w:color w:val="000000"/>
          <w:sz w:val="28"/>
          <w:szCs w:val="28"/>
          <w:highlight w:val="none"/>
          <w:lang w:val="en-US" w:eastAsia="zh-CN"/>
        </w:rPr>
        <w:t>构网型储能系统特性建模与量化表征、构网型储能半实物及现场试验验证、电网频率安全下构网储能协同控制策略、构网型储能单机与场站试验平台搭建、构网型储能全流程技术标准编制。</w:t>
      </w:r>
    </w:p>
    <w:p>
      <w:pPr>
        <w:spacing w:line="56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（2）论文/专利/软著/标准</w:t>
      </w:r>
    </w:p>
    <w:p>
      <w:pPr>
        <w:spacing w:line="560" w:lineRule="exact"/>
        <w:ind w:firstLine="560" w:firstLineChars="200"/>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1）提交</w:t>
      </w:r>
      <w:r>
        <w:rPr>
          <w:rFonts w:hint="eastAsia" w:ascii="仿宋_GB2312" w:hAnsi="仿宋_GB2312" w:eastAsia="仿宋_GB2312" w:cs="仿宋_GB2312"/>
          <w:color w:val="000000"/>
          <w:sz w:val="28"/>
          <w:szCs w:val="28"/>
          <w:highlight w:val="none"/>
          <w:lang w:val="en-US" w:eastAsia="zh-CN"/>
        </w:rPr>
        <w:t>4</w:t>
      </w:r>
      <w:r>
        <w:rPr>
          <w:rFonts w:hint="eastAsia" w:ascii="仿宋_GB2312" w:hAnsi="仿宋_GB2312" w:eastAsia="仿宋_GB2312" w:cs="仿宋_GB2312"/>
          <w:color w:val="000000"/>
          <w:sz w:val="28"/>
          <w:szCs w:val="28"/>
          <w:highlight w:val="none"/>
        </w:rPr>
        <w:t>篇论文初稿，</w:t>
      </w:r>
      <w:r>
        <w:rPr>
          <w:rFonts w:hint="eastAsia" w:ascii="仿宋_GB2312" w:hAnsi="仿宋_GB2312" w:eastAsia="仿宋_GB2312" w:cs="仿宋_GB2312"/>
          <w:color w:val="000000"/>
          <w:sz w:val="28"/>
          <w:szCs w:val="28"/>
          <w:highlight w:val="none"/>
        </w:rPr>
        <w:t>并协助甲方进行SCI/EI收录</w:t>
      </w:r>
      <w:r>
        <w:rPr>
          <w:rFonts w:hint="eastAsia" w:ascii="仿宋_GB2312" w:hAnsi="仿宋_GB2312" w:eastAsia="仿宋_GB2312" w:cs="仿宋_GB2312"/>
          <w:color w:val="000000"/>
          <w:sz w:val="28"/>
          <w:szCs w:val="28"/>
          <w:highlight w:val="none"/>
          <w:lang w:val="en-US" w:eastAsia="zh-CN"/>
        </w:rPr>
        <w:t>的</w:t>
      </w:r>
      <w:r>
        <w:rPr>
          <w:rFonts w:hint="eastAsia" w:ascii="仿宋_GB2312" w:hAnsi="仿宋_GB2312" w:eastAsia="仿宋_GB2312" w:cs="仿宋_GB2312"/>
          <w:color w:val="000000"/>
          <w:sz w:val="28"/>
          <w:szCs w:val="28"/>
          <w:highlight w:val="none"/>
        </w:rPr>
        <w:t>论文发表</w:t>
      </w:r>
      <w:r>
        <w:rPr>
          <w:rFonts w:hint="eastAsia" w:ascii="仿宋_GB2312" w:hAnsi="仿宋_GB2312" w:eastAsia="仿宋_GB2312" w:cs="仿宋_GB2312"/>
          <w:color w:val="000000"/>
          <w:sz w:val="28"/>
          <w:szCs w:val="28"/>
          <w:highlight w:val="none"/>
          <w:lang w:eastAsia="zh-CN"/>
        </w:rPr>
        <w:t>；</w:t>
      </w:r>
    </w:p>
    <w:p>
      <w:pPr>
        <w:spacing w:line="560" w:lineRule="exact"/>
        <w:ind w:firstLine="560" w:firstLineChars="200"/>
        <w:rPr>
          <w:rFonts w:hint="eastAsia" w:ascii="仿宋_GB2312" w:hAnsi="仿宋_GB2312" w:eastAsia="仿宋_GB2312" w:cs="仿宋_GB2312"/>
          <w:b w:val="0"/>
          <w:i w:val="0"/>
          <w:color w:val="000000"/>
          <w:sz w:val="28"/>
          <w:szCs w:val="28"/>
        </w:rPr>
      </w:pPr>
      <w:r>
        <w:rPr>
          <w:rFonts w:hint="eastAsia" w:ascii="仿宋_GB2312" w:hAnsi="仿宋_GB2312" w:eastAsia="仿宋_GB2312" w:cs="仿宋_GB2312"/>
          <w:color w:val="000000"/>
          <w:sz w:val="28"/>
          <w:szCs w:val="28"/>
          <w:highlight w:val="none"/>
        </w:rPr>
        <w:t>2）提交</w:t>
      </w:r>
      <w:r>
        <w:rPr>
          <w:rFonts w:hint="eastAsia" w:ascii="仿宋_GB2312" w:hAnsi="仿宋_GB2312" w:eastAsia="仿宋_GB2312" w:cs="仿宋_GB2312"/>
          <w:color w:val="000000"/>
          <w:sz w:val="28"/>
          <w:szCs w:val="28"/>
          <w:highlight w:val="none"/>
          <w:lang w:val="en-US" w:eastAsia="zh-CN"/>
        </w:rPr>
        <w:t>4</w:t>
      </w:r>
      <w:r>
        <w:rPr>
          <w:rFonts w:hint="eastAsia" w:ascii="仿宋_GB2312" w:hAnsi="仿宋_GB2312" w:eastAsia="仿宋_GB2312" w:cs="仿宋_GB2312"/>
          <w:color w:val="000000"/>
          <w:sz w:val="28"/>
          <w:szCs w:val="28"/>
          <w:highlight w:val="none"/>
        </w:rPr>
        <w:t>项发明专利底稿</w:t>
      </w:r>
      <w:r>
        <w:rPr>
          <w:rFonts w:hint="eastAsia" w:ascii="仿宋_GB2312" w:hAnsi="仿宋_GB2312" w:eastAsia="仿宋_GB2312" w:cs="仿宋_GB2312"/>
          <w:color w:val="000000"/>
          <w:sz w:val="28"/>
          <w:szCs w:val="28"/>
          <w:highlight w:val="none"/>
          <w:lang w:eastAsia="zh-CN"/>
        </w:rPr>
        <w:t>，</w:t>
      </w:r>
      <w:r>
        <w:rPr>
          <w:rFonts w:hint="eastAsia" w:ascii="仿宋_GB2312" w:hAnsi="仿宋_GB2312" w:eastAsia="仿宋_GB2312" w:cs="仿宋_GB2312"/>
          <w:color w:val="000000"/>
          <w:sz w:val="28"/>
          <w:szCs w:val="28"/>
          <w:highlight w:val="none"/>
        </w:rPr>
        <w:t>并协助甲方进行专利申请</w:t>
      </w:r>
      <w:r>
        <w:rPr>
          <w:rFonts w:hint="eastAsia" w:ascii="仿宋_GB2312" w:hAnsi="仿宋_GB2312" w:eastAsia="仿宋_GB2312" w:cs="仿宋_GB2312"/>
          <w:color w:val="000000"/>
          <w:sz w:val="28"/>
          <w:szCs w:val="28"/>
          <w:highlight w:val="none"/>
          <w:lang w:eastAsia="zh-CN"/>
        </w:rPr>
        <w:t>。</w:t>
      </w:r>
    </w:p>
    <w:p>
      <w:pPr>
        <w:spacing w:line="56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w:t>
      </w:r>
      <w:r>
        <w:rPr>
          <w:rFonts w:hint="eastAsia" w:ascii="仿宋_GB2312" w:hAnsi="仿宋_GB2312" w:eastAsia="仿宋_GB2312" w:cs="仿宋_GB2312"/>
          <w:b/>
          <w:color w:val="000000"/>
          <w:sz w:val="28"/>
          <w:szCs w:val="28"/>
          <w:lang w:val="en-US" w:eastAsia="zh-CN"/>
        </w:rPr>
        <w:t>3</w:t>
      </w:r>
      <w:r>
        <w:rPr>
          <w:rFonts w:hint="eastAsia" w:ascii="仿宋_GB2312" w:hAnsi="仿宋_GB2312" w:eastAsia="仿宋_GB2312" w:cs="仿宋_GB2312"/>
          <w:b/>
          <w:color w:val="000000"/>
          <w:sz w:val="28"/>
          <w:szCs w:val="28"/>
        </w:rPr>
        <w:t>）其它</w:t>
      </w:r>
    </w:p>
    <w:p>
      <w:pPr>
        <w:spacing w:line="560" w:lineRule="exact"/>
        <w:ind w:firstLine="560" w:firstLineChars="20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1）提交构网型储能系统的单机及场站级电磁暂态仿真模型1套与其使用说明书。</w:t>
      </w:r>
    </w:p>
    <w:p>
      <w:pPr>
        <w:pStyle w:val="6"/>
        <w:numPr>
          <w:ilvl w:val="0"/>
          <w:numId w:val="0"/>
        </w:numPr>
        <w:spacing w:before="0" w:after="0" w:line="560" w:lineRule="exact"/>
        <w:ind w:firstLine="560" w:firstLineChars="200"/>
        <w:rPr>
          <w:rFonts w:hint="eastAsia" w:ascii="仿宋_GB2312" w:hAnsi="仿宋_GB2312" w:eastAsia="仿宋_GB2312" w:cs="仿宋_GB2312"/>
          <w:b w:val="0"/>
          <w:color w:val="000000"/>
          <w:sz w:val="28"/>
          <w:szCs w:val="28"/>
        </w:rPr>
      </w:pPr>
      <w:r>
        <w:rPr>
          <w:rFonts w:hint="eastAsia" w:ascii="仿宋_GB2312" w:hAnsi="仿宋_GB2312" w:eastAsia="仿宋_GB2312" w:cs="仿宋_GB2312"/>
          <w:b w:val="0"/>
          <w:color w:val="000000"/>
          <w:sz w:val="28"/>
          <w:szCs w:val="28"/>
        </w:rPr>
        <w:t>2.3.2指标要求</w:t>
      </w:r>
    </w:p>
    <w:p>
      <w:pPr>
        <w:spacing w:line="560" w:lineRule="exact"/>
        <w:ind w:firstLine="560" w:firstLineChars="200"/>
        <w:rPr>
          <w:rFonts w:hint="default" w:ascii="Times New Roman" w:hAnsi="Times New Roman" w:eastAsia="仿宋_GB2312" w:cs="Times New Roman"/>
          <w:b w:val="0"/>
          <w:i w:val="0"/>
          <w:color w:val="000000"/>
          <w:sz w:val="28"/>
          <w:szCs w:val="28"/>
        </w:rPr>
      </w:pPr>
      <w:r>
        <w:rPr>
          <w:rFonts w:hint="default" w:ascii="Times New Roman" w:hAnsi="Times New Roman" w:eastAsia="仿宋_GB2312" w:cs="Times New Roman"/>
          <w:b w:val="0"/>
          <w:i w:val="0"/>
          <w:color w:val="000000"/>
          <w:sz w:val="28"/>
          <w:szCs w:val="28"/>
        </w:rPr>
        <w:t>（1）给出构网型储能关键特性量化指标数量</w:t>
      </w:r>
      <w:r>
        <w:rPr>
          <w:rFonts w:hint="eastAsia" w:eastAsia="仿宋_GB2312" w:cs="Times New Roman"/>
          <w:b w:val="0"/>
          <w:i w:val="0"/>
          <w:color w:val="000000"/>
          <w:sz w:val="28"/>
          <w:szCs w:val="28"/>
          <w:lang w:eastAsia="zh-CN"/>
        </w:rPr>
        <w:t>，</w:t>
      </w:r>
      <w:r>
        <w:rPr>
          <w:rFonts w:hint="default" w:ascii="Times New Roman" w:hAnsi="Times New Roman" w:eastAsia="仿宋_GB2312" w:cs="Times New Roman"/>
          <w:b w:val="0"/>
          <w:i w:val="0"/>
          <w:color w:val="000000"/>
          <w:sz w:val="28"/>
          <w:szCs w:val="28"/>
        </w:rPr>
        <w:t>明确定义与建模的构网型储能核心特性指标项数，涵盖惯性、电压、频率、过载、适应性和穿越能力等维度</w:t>
      </w:r>
      <w:r>
        <w:rPr>
          <w:rFonts w:hint="eastAsia" w:ascii="Times New Roman" w:hAnsi="Times New Roman" w:eastAsia="仿宋_GB2312" w:cs="Times New Roman"/>
          <w:b w:val="0"/>
          <w:i w:val="0"/>
          <w:color w:val="000000"/>
          <w:sz w:val="28"/>
          <w:szCs w:val="28"/>
          <w:lang w:eastAsia="zh-CN"/>
        </w:rPr>
        <w:t>，</w:t>
      </w:r>
      <w:r>
        <w:rPr>
          <w:rFonts w:hint="eastAsia" w:ascii="Times New Roman" w:hAnsi="Times New Roman" w:eastAsia="仿宋_GB2312" w:cs="Times New Roman"/>
          <w:b w:val="0"/>
          <w:i w:val="0"/>
          <w:color w:val="000000"/>
          <w:sz w:val="28"/>
          <w:szCs w:val="28"/>
        </w:rPr>
        <w:t>形成包含不少于6项核心特性的完整量化指标体系及数学模型</w:t>
      </w:r>
      <w:r>
        <w:rPr>
          <w:rFonts w:hint="default" w:ascii="Times New Roman" w:hAnsi="Times New Roman" w:eastAsia="仿宋_GB2312" w:cs="Times New Roman"/>
          <w:b w:val="0"/>
          <w:i w:val="0"/>
          <w:color w:val="000000"/>
          <w:sz w:val="28"/>
          <w:szCs w:val="28"/>
        </w:rPr>
        <w:t>。</w:t>
      </w:r>
    </w:p>
    <w:p>
      <w:pPr>
        <w:spacing w:line="560" w:lineRule="exact"/>
        <w:ind w:firstLine="560" w:firstLineChars="200"/>
        <w:rPr>
          <w:rFonts w:hint="eastAsia" w:ascii="Times New Roman" w:hAnsi="Times New Roman" w:eastAsia="仿宋_GB2312" w:cs="Times New Roman"/>
          <w:b w:val="0"/>
          <w:i w:val="0"/>
          <w:color w:val="000000"/>
          <w:sz w:val="28"/>
          <w:szCs w:val="28"/>
          <w:lang w:eastAsia="zh-CN"/>
        </w:rPr>
      </w:pPr>
      <w:r>
        <w:rPr>
          <w:rFonts w:hint="eastAsia" w:ascii="Times New Roman" w:hAnsi="Times New Roman" w:eastAsia="仿宋_GB2312" w:cs="Times New Roman"/>
          <w:b w:val="0"/>
          <w:i w:val="0"/>
          <w:color w:val="000000"/>
          <w:sz w:val="28"/>
          <w:szCs w:val="28"/>
          <w:lang w:eastAsia="zh-CN"/>
        </w:rPr>
        <w:t>（</w:t>
      </w:r>
      <w:r>
        <w:rPr>
          <w:rFonts w:hint="eastAsia" w:ascii="Times New Roman" w:hAnsi="Times New Roman" w:eastAsia="仿宋_GB2312" w:cs="Times New Roman"/>
          <w:b w:val="0"/>
          <w:i w:val="0"/>
          <w:color w:val="000000"/>
          <w:sz w:val="28"/>
          <w:szCs w:val="28"/>
          <w:lang w:val="en-US" w:eastAsia="zh-CN"/>
        </w:rPr>
        <w:t>2</w:t>
      </w:r>
      <w:r>
        <w:rPr>
          <w:rFonts w:hint="eastAsia" w:ascii="Times New Roman" w:hAnsi="Times New Roman" w:eastAsia="仿宋_GB2312" w:cs="Times New Roman"/>
          <w:b w:val="0"/>
          <w:i w:val="0"/>
          <w:color w:val="000000"/>
          <w:sz w:val="28"/>
          <w:szCs w:val="28"/>
          <w:lang w:eastAsia="zh-CN"/>
        </w:rPr>
        <w:t>）提出柔性交直流设备的电路稳态指标</w:t>
      </w:r>
      <w:r>
        <w:rPr>
          <w:rFonts w:hint="eastAsia" w:eastAsia="仿宋_GB2312" w:cs="Times New Roman"/>
          <w:b w:val="0"/>
          <w:i w:val="0"/>
          <w:color w:val="000000"/>
          <w:sz w:val="28"/>
          <w:szCs w:val="28"/>
          <w:lang w:val="en-US" w:eastAsia="zh-CN"/>
        </w:rPr>
        <w:t>与</w:t>
      </w:r>
      <w:r>
        <w:rPr>
          <w:rFonts w:hint="eastAsia" w:ascii="Times New Roman" w:hAnsi="Times New Roman" w:eastAsia="仿宋_GB2312" w:cs="Times New Roman"/>
          <w:b w:val="0"/>
          <w:i w:val="0"/>
          <w:color w:val="000000"/>
          <w:sz w:val="28"/>
          <w:szCs w:val="28"/>
          <w:lang w:eastAsia="zh-CN"/>
        </w:rPr>
        <w:t>暂态指标，</w:t>
      </w:r>
      <w:r>
        <w:rPr>
          <w:rFonts w:hint="eastAsia" w:eastAsia="仿宋_GB2312" w:cs="Times New Roman"/>
          <w:b w:val="0"/>
          <w:i w:val="0"/>
          <w:color w:val="000000"/>
          <w:sz w:val="28"/>
          <w:szCs w:val="28"/>
          <w:lang w:val="en-US" w:eastAsia="zh-CN"/>
        </w:rPr>
        <w:t>包括</w:t>
      </w:r>
      <w:r>
        <w:rPr>
          <w:rFonts w:hint="eastAsia" w:ascii="Times New Roman" w:hAnsi="Times New Roman" w:eastAsia="仿宋_GB2312" w:cs="Times New Roman"/>
          <w:b w:val="0"/>
          <w:i w:val="0"/>
          <w:color w:val="000000"/>
          <w:sz w:val="28"/>
          <w:szCs w:val="28"/>
          <w:lang w:eastAsia="zh-CN"/>
        </w:rPr>
        <w:t>稳态运行时的交流频率波动，总谐波电压畸变率，直流电压正常运行时波动范围</w:t>
      </w:r>
      <w:r>
        <w:rPr>
          <w:rFonts w:hint="eastAsia" w:eastAsia="仿宋_GB2312" w:cs="Times New Roman"/>
          <w:b w:val="0"/>
          <w:i w:val="0"/>
          <w:color w:val="000000"/>
          <w:sz w:val="28"/>
          <w:szCs w:val="28"/>
          <w:lang w:eastAsia="zh-CN"/>
        </w:rPr>
        <w:t>；</w:t>
      </w:r>
      <w:r>
        <w:rPr>
          <w:rFonts w:hint="eastAsia" w:ascii="Times New Roman" w:hAnsi="Times New Roman" w:eastAsia="仿宋_GB2312" w:cs="Times New Roman"/>
          <w:b w:val="0"/>
          <w:i w:val="0"/>
          <w:color w:val="000000"/>
          <w:sz w:val="28"/>
          <w:szCs w:val="28"/>
          <w:lang w:eastAsia="zh-CN"/>
        </w:rPr>
        <w:t>暂态过程中多端直流系统的功率偏差，故障消除后关键母线电压恢复时间，大扰动后系统功角恢复至稳态的时间。</w:t>
      </w:r>
    </w:p>
    <w:p>
      <w:pPr>
        <w:spacing w:line="560" w:lineRule="exact"/>
        <w:ind w:firstLine="560" w:firstLineChars="200"/>
        <w:rPr>
          <w:rFonts w:hint="eastAsia"/>
          <w:lang w:eastAsia="zh-CN"/>
        </w:rPr>
      </w:pPr>
      <w:r>
        <w:rPr>
          <w:rFonts w:hint="eastAsia" w:ascii="Times New Roman" w:hAnsi="Times New Roman" w:eastAsia="仿宋_GB2312" w:cs="Times New Roman"/>
          <w:b w:val="0"/>
          <w:i w:val="0"/>
          <w:color w:val="000000"/>
          <w:sz w:val="28"/>
          <w:szCs w:val="28"/>
          <w:lang w:val="en-US" w:eastAsia="zh-CN"/>
        </w:rPr>
        <w:t>（3）</w:t>
      </w:r>
      <w:r>
        <w:rPr>
          <w:rFonts w:hint="eastAsia" w:ascii="Times New Roman" w:hAnsi="Times New Roman" w:eastAsia="仿宋_GB2312" w:cs="Times New Roman"/>
          <w:b w:val="0"/>
          <w:i w:val="0"/>
          <w:color w:val="000000"/>
          <w:sz w:val="28"/>
          <w:szCs w:val="28"/>
          <w:lang w:eastAsia="zh-CN"/>
        </w:rPr>
        <w:t>提出的半实物-实物集成试验方法</w:t>
      </w:r>
      <w:r>
        <w:rPr>
          <w:rFonts w:hint="eastAsia" w:eastAsia="仿宋_GB2312" w:cs="Times New Roman"/>
          <w:b w:val="0"/>
          <w:i w:val="0"/>
          <w:color w:val="000000"/>
          <w:sz w:val="28"/>
          <w:szCs w:val="28"/>
          <w:lang w:eastAsia="zh-CN"/>
        </w:rPr>
        <w:t>，</w:t>
      </w:r>
      <w:r>
        <w:rPr>
          <w:rFonts w:hint="eastAsia" w:ascii="Times New Roman" w:hAnsi="Times New Roman" w:eastAsia="仿宋_GB2312" w:cs="Times New Roman"/>
          <w:b w:val="0"/>
          <w:i w:val="0"/>
          <w:color w:val="000000"/>
          <w:sz w:val="28"/>
          <w:szCs w:val="28"/>
          <w:lang w:eastAsia="zh-CN"/>
        </w:rPr>
        <w:t>能够有效复现的典型复杂电网场景（如不同短路比下的故障穿越、频率连续扰动等）</w:t>
      </w:r>
      <w:r>
        <w:rPr>
          <w:rFonts w:hint="eastAsia" w:eastAsia="仿宋_GB2312" w:cs="Times New Roman"/>
          <w:b w:val="0"/>
          <w:i w:val="0"/>
          <w:color w:val="000000"/>
          <w:sz w:val="28"/>
          <w:szCs w:val="28"/>
          <w:lang w:eastAsia="zh-CN"/>
        </w:rPr>
        <w:t>，</w:t>
      </w:r>
      <w:r>
        <w:rPr>
          <w:rFonts w:hint="eastAsia" w:ascii="Times New Roman" w:hAnsi="Times New Roman" w:eastAsia="仿宋_GB2312" w:cs="Times New Roman"/>
          <w:b w:val="0"/>
          <w:i w:val="0"/>
          <w:color w:val="000000"/>
          <w:sz w:val="28"/>
          <w:szCs w:val="28"/>
          <w:lang w:eastAsia="zh-CN"/>
        </w:rPr>
        <w:t>形成可复现不少于3类典型复杂工况的标准化集成试验方法</w:t>
      </w:r>
      <w:r>
        <w:rPr>
          <w:rFonts w:hint="eastAsia" w:ascii="Times New Roman" w:hAnsi="Times New Roman" w:eastAsia="仿宋_GB2312" w:cs="Times New Roman"/>
          <w:b w:val="0"/>
          <w:i w:val="0"/>
          <w:color w:val="000000"/>
          <w:sz w:val="28"/>
          <w:szCs w:val="28"/>
          <w:lang w:val="en-US" w:eastAsia="zh-CN"/>
        </w:rPr>
        <w:t>。</w:t>
      </w:r>
    </w:p>
    <w:p>
      <w:pPr>
        <w:spacing w:line="560" w:lineRule="exact"/>
        <w:ind w:firstLine="560" w:firstLineChars="200"/>
        <w:rPr>
          <w:rFonts w:hint="eastAsia" w:ascii="Times New Roman" w:hAnsi="Times New Roman" w:eastAsia="仿宋_GB2312" w:cs="Times New Roman"/>
          <w:b w:val="0"/>
          <w:i w:val="0"/>
          <w:color w:val="000000"/>
          <w:sz w:val="28"/>
          <w:szCs w:val="28"/>
          <w:lang w:val="en-US" w:eastAsia="zh-CN"/>
        </w:rPr>
      </w:pPr>
      <w:r>
        <w:rPr>
          <w:rFonts w:hint="eastAsia" w:ascii="Times New Roman" w:hAnsi="Times New Roman" w:eastAsia="仿宋_GB2312" w:cs="Times New Roman"/>
          <w:b w:val="0"/>
          <w:i w:val="0"/>
          <w:color w:val="000000"/>
          <w:sz w:val="28"/>
          <w:szCs w:val="28"/>
          <w:lang w:val="en-US" w:eastAsia="zh-CN"/>
        </w:rPr>
        <w:t>（4）提出</w:t>
      </w:r>
      <w:r>
        <w:rPr>
          <w:rFonts w:hint="eastAsia" w:ascii="Times New Roman" w:hAnsi="Times New Roman" w:eastAsia="仿宋_GB2312" w:cs="Times New Roman"/>
          <w:b w:val="0"/>
          <w:i w:val="0"/>
          <w:color w:val="000000"/>
          <w:sz w:val="28"/>
          <w:szCs w:val="28"/>
          <w:lang w:eastAsia="zh-CN"/>
        </w:rPr>
        <w:t>系统级量化评价指标，</w:t>
      </w:r>
      <w:r>
        <w:rPr>
          <w:rFonts w:hint="eastAsia" w:ascii="Times New Roman" w:hAnsi="Times New Roman" w:eastAsia="仿宋_GB2312" w:cs="Times New Roman"/>
          <w:b w:val="0"/>
          <w:i w:val="0"/>
          <w:color w:val="000000"/>
          <w:sz w:val="28"/>
          <w:szCs w:val="28"/>
          <w:lang w:val="en-US" w:eastAsia="zh-CN"/>
        </w:rPr>
        <w:t>针对构网型储能协同控制系统（非单机）提出的、面向频率安全等系统功能的新增量化评价指标不少于5项。</w:t>
      </w:r>
    </w:p>
    <w:p>
      <w:pPr>
        <w:pStyle w:val="4"/>
        <w:spacing w:before="0" w:after="0" w:line="560" w:lineRule="exact"/>
        <w:rPr>
          <w:rFonts w:hint="eastAsia" w:ascii="仿宋_GB2312" w:hAnsi="仿宋_GB2312" w:eastAsia="仿宋_GB2312" w:cs="仿宋_GB2312"/>
          <w:color w:val="000000"/>
        </w:rPr>
      </w:pPr>
      <w:bookmarkStart w:id="39" w:name="_Toc198702472"/>
      <w:bookmarkStart w:id="40" w:name="_Toc27199"/>
      <w:bookmarkStart w:id="41" w:name="_Toc293308322"/>
      <w:bookmarkStart w:id="42" w:name="_Toc413948015"/>
      <w:bookmarkStart w:id="43" w:name="_Toc296516208"/>
      <w:r>
        <w:rPr>
          <w:rFonts w:hint="eastAsia" w:ascii="仿宋_GB2312" w:hAnsi="仿宋_GB2312" w:eastAsia="仿宋_GB2312" w:cs="仿宋_GB2312"/>
          <w:color w:val="000000"/>
        </w:rPr>
        <w:t>项目实施要求</w:t>
      </w:r>
      <w:bookmarkEnd w:id="39"/>
      <w:bookmarkEnd w:id="40"/>
      <w:bookmarkEnd w:id="41"/>
      <w:bookmarkEnd w:id="42"/>
      <w:bookmarkEnd w:id="43"/>
      <w:bookmarkStart w:id="44" w:name="_Toc296516016"/>
      <w:bookmarkEnd w:id="44"/>
      <w:bookmarkStart w:id="45" w:name="_Toc296516210"/>
      <w:bookmarkEnd w:id="45"/>
      <w:bookmarkStart w:id="46" w:name="_Toc296524383"/>
      <w:bookmarkEnd w:id="46"/>
      <w:bookmarkStart w:id="47" w:name="_Toc296516211"/>
      <w:bookmarkEnd w:id="47"/>
      <w:bookmarkStart w:id="48" w:name="_Toc296524386"/>
      <w:bookmarkEnd w:id="48"/>
      <w:bookmarkStart w:id="49" w:name="_Toc296516018"/>
      <w:bookmarkEnd w:id="49"/>
      <w:bookmarkStart w:id="50" w:name="_Toc297161655"/>
      <w:bookmarkEnd w:id="50"/>
      <w:bookmarkStart w:id="51" w:name="_Toc297161656"/>
      <w:bookmarkEnd w:id="51"/>
      <w:bookmarkStart w:id="52" w:name="_Toc297161654"/>
      <w:bookmarkEnd w:id="52"/>
      <w:bookmarkStart w:id="53" w:name="_Toc296524385"/>
      <w:bookmarkEnd w:id="53"/>
      <w:bookmarkStart w:id="54" w:name="_Toc297161653"/>
      <w:bookmarkEnd w:id="54"/>
      <w:bookmarkStart w:id="55" w:name="_Toc296516213"/>
      <w:bookmarkEnd w:id="55"/>
      <w:bookmarkStart w:id="56" w:name="_Toc297161657"/>
      <w:bookmarkEnd w:id="56"/>
      <w:bookmarkStart w:id="57" w:name="_Toc296516014"/>
      <w:bookmarkEnd w:id="57"/>
      <w:bookmarkStart w:id="58" w:name="_Toc296524384"/>
      <w:bookmarkEnd w:id="58"/>
      <w:bookmarkStart w:id="59" w:name="_Toc296524382"/>
      <w:bookmarkEnd w:id="59"/>
      <w:bookmarkStart w:id="60" w:name="_Toc296516017"/>
      <w:bookmarkEnd w:id="60"/>
      <w:bookmarkStart w:id="61" w:name="_Toc296516209"/>
      <w:bookmarkEnd w:id="61"/>
      <w:bookmarkStart w:id="62" w:name="_Toc295228683"/>
      <w:bookmarkEnd w:id="62"/>
      <w:bookmarkStart w:id="63" w:name="_Toc295225248"/>
      <w:bookmarkEnd w:id="63"/>
      <w:bookmarkStart w:id="64" w:name="_Toc296516015"/>
      <w:bookmarkEnd w:id="64"/>
      <w:bookmarkStart w:id="65" w:name="_Toc296516212"/>
      <w:bookmarkEnd w:id="65"/>
      <w:bookmarkStart w:id="66" w:name="_Toc293308323"/>
      <w:bookmarkStart w:id="67" w:name="_Toc198702473"/>
    </w:p>
    <w:bookmarkEnd w:id="66"/>
    <w:bookmarkEnd w:id="67"/>
    <w:p>
      <w:pPr>
        <w:pStyle w:val="5"/>
        <w:numPr>
          <w:ilvl w:val="0"/>
          <w:numId w:val="0"/>
        </w:numPr>
        <w:spacing w:before="0" w:after="0" w:line="560" w:lineRule="exact"/>
        <w:ind w:firstLine="281" w:firstLineChars="100"/>
        <w:rPr>
          <w:rFonts w:hint="eastAsia" w:ascii="仿宋_GB2312" w:hAnsi="仿宋_GB2312" w:eastAsia="仿宋_GB2312" w:cs="仿宋_GB2312"/>
          <w:color w:val="000000"/>
        </w:rPr>
      </w:pPr>
      <w:bookmarkStart w:id="68" w:name="_Toc168479656"/>
      <w:bookmarkEnd w:id="68"/>
      <w:bookmarkStart w:id="69" w:name="_Toc15773"/>
      <w:bookmarkStart w:id="70" w:name="_Toc413948016"/>
      <w:r>
        <w:rPr>
          <w:rFonts w:hint="eastAsia" w:ascii="仿宋_GB2312" w:hAnsi="仿宋_GB2312" w:eastAsia="仿宋_GB2312" w:cs="仿宋_GB2312"/>
          <w:color w:val="000000"/>
        </w:rPr>
        <w:t>3.1中标人的一般责任</w:t>
      </w:r>
      <w:bookmarkEnd w:id="69"/>
      <w:bookmarkEnd w:id="70"/>
    </w:p>
    <w:p>
      <w:pPr>
        <w:pStyle w:val="7"/>
        <w:numPr>
          <w:ilvl w:val="0"/>
          <w:numId w:val="7"/>
        </w:numPr>
        <w:spacing w:line="560" w:lineRule="exact"/>
        <w:ind w:left="0" w:firstLine="560" w:firstLineChars="200"/>
        <w:rPr>
          <w:rFonts w:hint="eastAsia" w:ascii="仿宋_GB2312" w:hAnsi="仿宋_GB2312" w:eastAsia="仿宋_GB2312" w:cs="仿宋_GB2312"/>
          <w:color w:val="000000"/>
          <w:sz w:val="28"/>
          <w:szCs w:val="28"/>
          <w:highlight w:val="none"/>
        </w:rPr>
      </w:pPr>
      <w:bookmarkStart w:id="71" w:name="_Toc32109"/>
      <w:bookmarkStart w:id="72" w:name="_Toc413948017"/>
      <w:r>
        <w:rPr>
          <w:rFonts w:hint="eastAsia" w:ascii="仿宋_GB2312" w:hAnsi="仿宋_GB2312" w:eastAsia="仿宋_GB2312" w:cs="仿宋_GB2312"/>
          <w:color w:val="000000"/>
          <w:sz w:val="28"/>
          <w:szCs w:val="28"/>
        </w:rPr>
        <w:t>中标人应根据</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的要求及安排，根据需要派遣相关人员至地</w:t>
      </w:r>
      <w:r>
        <w:rPr>
          <w:rFonts w:hint="eastAsia" w:ascii="仿宋_GB2312" w:hAnsi="仿宋_GB2312" w:eastAsia="仿宋_GB2312" w:cs="仿宋_GB2312"/>
          <w:color w:val="000000"/>
          <w:sz w:val="28"/>
          <w:szCs w:val="28"/>
          <w:highlight w:val="none"/>
        </w:rPr>
        <w:t>点</w:t>
      </w:r>
      <w:r>
        <w:rPr>
          <w:rFonts w:hint="eastAsia" w:ascii="仿宋_GB2312" w:hAnsi="仿宋_GB2312" w:eastAsia="仿宋_GB2312" w:cs="仿宋_GB2312"/>
          <w:color w:val="000000"/>
          <w:sz w:val="28"/>
          <w:szCs w:val="28"/>
          <w:highlight w:val="none"/>
          <w:u w:val="single"/>
          <w:lang w:val="en-US" w:eastAsia="zh-CN"/>
        </w:rPr>
        <w:t>广州</w:t>
      </w:r>
      <w:r>
        <w:rPr>
          <w:rFonts w:hint="eastAsia" w:ascii="仿宋_GB2312" w:hAnsi="仿宋_GB2312" w:eastAsia="仿宋_GB2312" w:cs="仿宋_GB2312"/>
          <w:color w:val="000000"/>
          <w:sz w:val="28"/>
          <w:szCs w:val="28"/>
          <w:highlight w:val="none"/>
        </w:rPr>
        <w:t>参与项目研究工作。本项目预计将在地点</w:t>
      </w:r>
      <w:r>
        <w:rPr>
          <w:rFonts w:hint="eastAsia" w:ascii="仿宋_GB2312" w:hAnsi="仿宋_GB2312" w:eastAsia="仿宋_GB2312" w:cs="仿宋_GB2312"/>
          <w:color w:val="000000"/>
          <w:sz w:val="28"/>
          <w:szCs w:val="28"/>
          <w:highlight w:val="none"/>
          <w:u w:val="single"/>
          <w:lang w:val="en-US" w:eastAsia="zh-CN"/>
        </w:rPr>
        <w:t>广州</w:t>
      </w:r>
      <w:r>
        <w:rPr>
          <w:rFonts w:hint="eastAsia" w:ascii="仿宋_GB2312" w:hAnsi="仿宋_GB2312" w:eastAsia="仿宋_GB2312" w:cs="仿宋_GB2312"/>
          <w:color w:val="000000"/>
          <w:sz w:val="28"/>
          <w:szCs w:val="28"/>
          <w:highlight w:val="none"/>
        </w:rPr>
        <w:t>至少进行</w:t>
      </w:r>
      <w:r>
        <w:rPr>
          <w:rFonts w:hint="eastAsia" w:ascii="仿宋_GB2312" w:hAnsi="仿宋_GB2312" w:eastAsia="仿宋_GB2312" w:cs="仿宋_GB2312"/>
          <w:color w:val="000000"/>
          <w:sz w:val="28"/>
          <w:szCs w:val="28"/>
          <w:highlight w:val="none"/>
          <w:u w:val="single"/>
          <w:lang w:val="en-US" w:eastAsia="zh-CN"/>
        </w:rPr>
        <w:t>2</w:t>
      </w:r>
      <w:r>
        <w:rPr>
          <w:rFonts w:hint="eastAsia" w:ascii="仿宋_GB2312" w:hAnsi="仿宋_GB2312" w:eastAsia="仿宋_GB2312" w:cs="仿宋_GB2312"/>
          <w:color w:val="000000"/>
          <w:sz w:val="28"/>
          <w:szCs w:val="28"/>
          <w:highlight w:val="none"/>
        </w:rPr>
        <w:t>次集中工作，每次集中工作大概持续</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u w:val="single"/>
          <w:lang w:val="en-US" w:eastAsia="zh-CN"/>
        </w:rPr>
        <w:t>5</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rPr>
        <w:t>天，要求中标人每次集中工作至少派遣</w:t>
      </w:r>
      <w:r>
        <w:rPr>
          <w:rFonts w:hint="eastAsia" w:ascii="仿宋_GB2312" w:hAnsi="仿宋_GB2312" w:eastAsia="仿宋_GB2312" w:cs="仿宋_GB2312"/>
          <w:color w:val="000000"/>
          <w:sz w:val="28"/>
          <w:szCs w:val="28"/>
          <w:highlight w:val="none"/>
          <w:u w:val="single"/>
          <w:lang w:val="en-US" w:eastAsia="zh-CN"/>
        </w:rPr>
        <w:t>2</w:t>
      </w:r>
      <w:r>
        <w:rPr>
          <w:rFonts w:hint="eastAsia" w:ascii="仿宋_GB2312" w:hAnsi="仿宋_GB2312" w:eastAsia="仿宋_GB2312" w:cs="仿宋_GB2312"/>
          <w:color w:val="000000"/>
          <w:sz w:val="28"/>
          <w:szCs w:val="28"/>
          <w:highlight w:val="none"/>
        </w:rPr>
        <w:t>人全程参加。</w:t>
      </w:r>
    </w:p>
    <w:p>
      <w:pPr>
        <w:pStyle w:val="7"/>
        <w:numPr>
          <w:ilvl w:val="0"/>
          <w:numId w:val="7"/>
        </w:numPr>
        <w:spacing w:line="560" w:lineRule="exact"/>
        <w:ind w:left="0"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rPr>
        <w:t>中标人应根据</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的要求及安排，根据需要派遣相关人员</w:t>
      </w:r>
      <w:r>
        <w:rPr>
          <w:rFonts w:hint="eastAsia" w:ascii="仿宋_GB2312" w:hAnsi="仿宋_GB2312" w:eastAsia="仿宋_GB2312" w:cs="仿宋_GB2312"/>
          <w:color w:val="000000"/>
          <w:sz w:val="28"/>
          <w:szCs w:val="28"/>
          <w:lang w:val="en-US" w:eastAsia="zh-CN"/>
        </w:rPr>
        <w:t>全程参与并配合采购人进行书稿撰写，直至书稿完成</w:t>
      </w:r>
      <w:r>
        <w:rPr>
          <w:rFonts w:hint="eastAsia" w:ascii="仿宋_GB2312" w:hAnsi="仿宋_GB2312" w:eastAsia="仿宋_GB2312" w:cs="仿宋_GB2312"/>
          <w:color w:val="000000"/>
          <w:sz w:val="28"/>
          <w:szCs w:val="28"/>
          <w:highlight w:val="none"/>
        </w:rPr>
        <w:t>。</w:t>
      </w:r>
    </w:p>
    <w:p>
      <w:pPr>
        <w:pStyle w:val="7"/>
        <w:numPr>
          <w:ilvl w:val="0"/>
          <w:numId w:val="7"/>
        </w:numPr>
        <w:spacing w:line="560" w:lineRule="exact"/>
        <w:ind w:left="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highlight w:val="none"/>
        </w:rPr>
        <w:t>按照合同约</w:t>
      </w:r>
      <w:r>
        <w:rPr>
          <w:rFonts w:hint="eastAsia" w:ascii="仿宋_GB2312" w:hAnsi="仿宋_GB2312" w:eastAsia="仿宋_GB2312" w:cs="仿宋_GB2312"/>
          <w:color w:val="000000"/>
          <w:sz w:val="28"/>
          <w:szCs w:val="28"/>
        </w:rPr>
        <w:t>定，完成招标工作范围内的全部工作。</w:t>
      </w:r>
    </w:p>
    <w:p>
      <w:pPr>
        <w:pStyle w:val="7"/>
        <w:numPr>
          <w:ilvl w:val="0"/>
          <w:numId w:val="7"/>
        </w:numPr>
        <w:spacing w:line="560" w:lineRule="exact"/>
        <w:ind w:left="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若需向地方有关部门交纳有关的费用，由中标人自行承担。</w:t>
      </w:r>
    </w:p>
    <w:p>
      <w:pPr>
        <w:pStyle w:val="7"/>
        <w:numPr>
          <w:ilvl w:val="0"/>
          <w:numId w:val="7"/>
        </w:numPr>
        <w:spacing w:line="560" w:lineRule="exact"/>
        <w:ind w:left="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本项目不得转让或分包。</w:t>
      </w:r>
    </w:p>
    <w:p>
      <w:pPr>
        <w:pStyle w:val="5"/>
        <w:numPr>
          <w:ilvl w:val="0"/>
          <w:numId w:val="0"/>
        </w:numPr>
        <w:spacing w:before="0" w:after="0" w:line="560" w:lineRule="exact"/>
        <w:ind w:left="284"/>
        <w:rPr>
          <w:rFonts w:hint="eastAsia" w:ascii="仿宋_GB2312" w:hAnsi="仿宋_GB2312" w:eastAsia="仿宋_GB2312" w:cs="仿宋_GB2312"/>
          <w:b w:val="0"/>
          <w:i w:val="0"/>
          <w:color w:val="000000"/>
          <w:kern w:val="2"/>
          <w:sz w:val="28"/>
          <w:szCs w:val="28"/>
          <w:lang w:val="en-US" w:eastAsia="zh-CN" w:bidi="ar-SA"/>
        </w:rPr>
      </w:pPr>
      <w:r>
        <w:rPr>
          <w:rFonts w:hint="eastAsia" w:ascii="仿宋_GB2312" w:hAnsi="仿宋_GB2312" w:eastAsia="仿宋_GB2312" w:cs="仿宋_GB2312"/>
          <w:color w:val="000000"/>
        </w:rPr>
        <w:t>3.2</w:t>
      </w:r>
      <w:r>
        <w:rPr>
          <w:rFonts w:hint="eastAsia" w:ascii="仿宋_GB2312" w:hAnsi="仿宋_GB2312" w:eastAsia="仿宋_GB2312" w:cs="仿宋_GB2312"/>
          <w:color w:val="000000"/>
          <w:highlight w:val="none"/>
        </w:rPr>
        <w:t>研究进度计划的编制及分段考核</w:t>
      </w:r>
      <w:bookmarkEnd w:id="71"/>
      <w:bookmarkEnd w:id="72"/>
    </w:p>
    <w:tbl>
      <w:tblPr>
        <w:tblStyle w:val="17"/>
        <w:tblpPr w:leftFromText="180" w:rightFromText="180" w:vertAnchor="text" w:horzAnchor="margin" w:tblpXSpec="center" w:tblpY="173"/>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00"/>
        <w:gridCol w:w="2200"/>
        <w:gridCol w:w="572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3" w:hRule="atLeast"/>
        </w:trPr>
        <w:tc>
          <w:tcPr>
            <w:tcW w:w="800" w:type="dxa"/>
            <w:noWrap w:val="0"/>
            <w:vAlign w:val="center"/>
          </w:tcPr>
          <w:p>
            <w:pPr>
              <w:adjustRightInd w:val="0"/>
              <w:snapToGrid w:val="0"/>
              <w:jc w:val="center"/>
              <w:rPr>
                <w:rFonts w:hint="eastAsia" w:ascii="仿宋_GB2312" w:hAnsi="仿宋_GB2312" w:eastAsia="仿宋_GB2312" w:cs="仿宋_GB2312"/>
                <w:b/>
                <w:color w:val="000000"/>
                <w:sz w:val="24"/>
                <w:szCs w:val="24"/>
              </w:rPr>
            </w:pPr>
            <w:bookmarkStart w:id="73" w:name="_Hlk129008116"/>
            <w:r>
              <w:rPr>
                <w:rFonts w:hint="eastAsia" w:ascii="仿宋_GB2312" w:hAnsi="仿宋_GB2312" w:eastAsia="仿宋_GB2312" w:cs="仿宋_GB2312"/>
                <w:b/>
                <w:color w:val="000000"/>
                <w:sz w:val="24"/>
                <w:szCs w:val="24"/>
              </w:rPr>
              <w:t>序号</w:t>
            </w:r>
          </w:p>
        </w:tc>
        <w:tc>
          <w:tcPr>
            <w:tcW w:w="2200" w:type="dxa"/>
            <w:noWrap w:val="0"/>
            <w:vAlign w:val="center"/>
          </w:tcPr>
          <w:p>
            <w:pPr>
              <w:adjustRightInd w:val="0"/>
              <w:snapToGrid w:val="0"/>
              <w:jc w:val="center"/>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时间</w:t>
            </w:r>
          </w:p>
        </w:tc>
        <w:tc>
          <w:tcPr>
            <w:tcW w:w="5720" w:type="dxa"/>
            <w:noWrap w:val="0"/>
            <w:vAlign w:val="center"/>
          </w:tcPr>
          <w:p>
            <w:pPr>
              <w:adjustRightInd w:val="0"/>
              <w:snapToGrid w:val="0"/>
              <w:ind w:right="249"/>
              <w:jc w:val="center"/>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主要内容及交付项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3" w:hRule="atLeast"/>
        </w:trPr>
        <w:tc>
          <w:tcPr>
            <w:tcW w:w="800" w:type="dxa"/>
            <w:noWrap w:val="0"/>
            <w:vAlign w:val="center"/>
          </w:tcPr>
          <w:p>
            <w:pPr>
              <w:adjustRightInd w:val="0"/>
              <w:snapToGrid w:val="0"/>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p>
        </w:tc>
        <w:tc>
          <w:tcPr>
            <w:tcW w:w="2200" w:type="dxa"/>
            <w:noWrap w:val="0"/>
            <w:vAlign w:val="center"/>
          </w:tcPr>
          <w:p>
            <w:pPr>
              <w:adjustRightInd w:val="0"/>
              <w:snapToGrid w:val="0"/>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合同生效之日</w:t>
            </w:r>
          </w:p>
        </w:tc>
        <w:tc>
          <w:tcPr>
            <w:tcW w:w="5720" w:type="dxa"/>
            <w:noWrap w:val="0"/>
            <w:vAlign w:val="center"/>
          </w:tcPr>
          <w:p>
            <w:pPr>
              <w:adjustRightInd w:val="0"/>
              <w:snapToGrid w:val="0"/>
              <w:ind w:right="72"/>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完成项目开发计划，交付《</w:t>
            </w:r>
            <w:r>
              <w:rPr>
                <w:rFonts w:hint="eastAsia" w:ascii="仿宋_GB2312" w:hAnsi="仿宋_GB2312" w:eastAsia="仿宋_GB2312" w:cs="仿宋_GB2312"/>
                <w:color w:val="000000"/>
                <w:sz w:val="24"/>
                <w:szCs w:val="24"/>
                <w:lang w:val="en-US" w:eastAsia="zh-CN"/>
              </w:rPr>
              <w:t>研究开发计划书</w:t>
            </w:r>
            <w:r>
              <w:rPr>
                <w:rFonts w:hint="eastAsia" w:ascii="仿宋_GB2312" w:hAnsi="仿宋_GB2312" w:eastAsia="仿宋_GB2312" w:cs="仿宋_GB2312"/>
                <w:color w:val="000000"/>
                <w:sz w:val="24"/>
                <w:szCs w:val="24"/>
              </w:rPr>
              <w:t>》1份。</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3" w:hRule="atLeast"/>
        </w:trPr>
        <w:tc>
          <w:tcPr>
            <w:tcW w:w="800" w:type="dxa"/>
            <w:noWrap w:val="0"/>
            <w:vAlign w:val="center"/>
          </w:tcPr>
          <w:p>
            <w:pPr>
              <w:adjustRightInd w:val="0"/>
              <w:snapToGrid w:val="0"/>
              <w:jc w:val="center"/>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2</w:t>
            </w:r>
          </w:p>
        </w:tc>
        <w:tc>
          <w:tcPr>
            <w:tcW w:w="2200" w:type="dxa"/>
            <w:noWrap w:val="0"/>
            <w:vAlign w:val="center"/>
          </w:tcPr>
          <w:p>
            <w:pPr>
              <w:adjustRightInd w:val="0"/>
              <w:snapToGrid w:val="0"/>
              <w:jc w:val="center"/>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2027年6月</w:t>
            </w:r>
          </w:p>
        </w:tc>
        <w:tc>
          <w:tcPr>
            <w:tcW w:w="5720" w:type="dxa"/>
            <w:noWrap w:val="0"/>
            <w:vAlign w:val="center"/>
          </w:tcPr>
          <w:p>
            <w:pPr>
              <w:adjustRightInd w:val="0"/>
              <w:snapToGrid w:val="0"/>
              <w:jc w:val="center"/>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交付累计论文底稿4篇，累计</w:t>
            </w:r>
            <w:r>
              <w:rPr>
                <w:rFonts w:hint="eastAsia" w:ascii="仿宋_GB2312" w:eastAsia="仿宋_GB2312"/>
                <w:i w:val="0"/>
                <w:iCs w:val="0"/>
                <w:sz w:val="24"/>
                <w:highlight w:val="none"/>
                <w:lang w:val="en-US" w:eastAsia="zh-CN"/>
              </w:rPr>
              <w:t>专利底稿4项，交付</w:t>
            </w:r>
            <w:r>
              <w:rPr>
                <w:rFonts w:hint="eastAsia" w:ascii="Times New Roman" w:hAnsi="Times New Roman" w:eastAsia="仿宋_GB2312" w:cs="Times New Roman"/>
                <w:sz w:val="24"/>
                <w:lang w:val="en-US" w:eastAsia="zh-CN"/>
              </w:rPr>
              <w:t>《</w:t>
            </w:r>
            <w:r>
              <w:rPr>
                <w:rFonts w:hint="eastAsia" w:ascii="Times New Roman" w:hAnsi="Times New Roman" w:eastAsia="仿宋_GB2312" w:cs="Times New Roman"/>
                <w:sz w:val="24"/>
              </w:rPr>
              <w:t>构网型储能变流器涉网性能测试评价理论体系研究</w:t>
            </w:r>
            <w:r>
              <w:rPr>
                <w:rFonts w:hint="eastAsia" w:ascii="Times New Roman" w:hAnsi="Times New Roman" w:eastAsia="仿宋_GB2312" w:cs="Times New Roman"/>
                <w:sz w:val="24"/>
                <w:lang w:val="en-US" w:eastAsia="zh-CN"/>
              </w:rPr>
              <w:t>》</w:t>
            </w:r>
            <w:r>
              <w:rPr>
                <w:rFonts w:hint="eastAsia" w:eastAsia="仿宋_GB2312" w:cs="Times New Roman"/>
                <w:sz w:val="24"/>
                <w:lang w:val="en-US" w:eastAsia="zh-CN"/>
              </w:rPr>
              <w:t>初版报告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3" w:hRule="atLeast"/>
        </w:trPr>
        <w:tc>
          <w:tcPr>
            <w:tcW w:w="800" w:type="dxa"/>
            <w:noWrap w:val="0"/>
            <w:vAlign w:val="center"/>
          </w:tcPr>
          <w:p>
            <w:pPr>
              <w:adjustRightInd w:val="0"/>
              <w:snapToGrid w:val="0"/>
              <w:jc w:val="center"/>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3</w:t>
            </w:r>
          </w:p>
        </w:tc>
        <w:tc>
          <w:tcPr>
            <w:tcW w:w="2200" w:type="dxa"/>
            <w:noWrap w:val="0"/>
            <w:vAlign w:val="center"/>
          </w:tcPr>
          <w:p>
            <w:pPr>
              <w:adjustRightInd w:val="0"/>
              <w:snapToGrid w:val="0"/>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2027</w:t>
            </w:r>
            <w:r>
              <w:rPr>
                <w:rFonts w:hint="eastAsia" w:ascii="仿宋_GB2312" w:hAnsi="仿宋_GB2312" w:eastAsia="仿宋_GB2312" w:cs="仿宋_GB2312"/>
                <w:color w:val="000000"/>
                <w:sz w:val="24"/>
                <w:szCs w:val="24"/>
              </w:rPr>
              <w:t>年</w:t>
            </w:r>
            <w:r>
              <w:rPr>
                <w:rFonts w:hint="eastAsia" w:ascii="仿宋_GB2312" w:hAnsi="仿宋_GB2312" w:eastAsia="仿宋_GB2312" w:cs="仿宋_GB2312"/>
                <w:color w:val="000000"/>
                <w:sz w:val="24"/>
                <w:szCs w:val="24"/>
                <w:lang w:val="en-US" w:eastAsia="zh-CN"/>
              </w:rPr>
              <w:t>11</w:t>
            </w:r>
            <w:r>
              <w:rPr>
                <w:rFonts w:hint="eastAsia" w:ascii="仿宋_GB2312" w:hAnsi="仿宋_GB2312" w:eastAsia="仿宋_GB2312" w:cs="仿宋_GB2312"/>
                <w:color w:val="000000"/>
                <w:sz w:val="24"/>
                <w:szCs w:val="24"/>
              </w:rPr>
              <w:t>月</w:t>
            </w:r>
          </w:p>
        </w:tc>
        <w:tc>
          <w:tcPr>
            <w:tcW w:w="5720" w:type="dxa"/>
            <w:shd w:val="clear" w:color="auto" w:fill="auto"/>
            <w:noWrap w:val="0"/>
            <w:vAlign w:val="center"/>
          </w:tcPr>
          <w:p>
            <w:pPr>
              <w:jc w:val="center"/>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szCs w:val="24"/>
              </w:rPr>
              <w:t>完成</w:t>
            </w:r>
            <w:r>
              <w:rPr>
                <w:rFonts w:hint="eastAsia" w:ascii="仿宋_GB2312" w:hAnsi="仿宋_GB2312" w:eastAsia="仿宋_GB2312" w:cs="仿宋_GB2312"/>
                <w:color w:val="000000"/>
                <w:sz w:val="24"/>
                <w:szCs w:val="24"/>
                <w:lang w:val="en-US" w:eastAsia="zh-CN"/>
              </w:rPr>
              <w:t>项目所有</w:t>
            </w:r>
            <w:r>
              <w:rPr>
                <w:rFonts w:hint="eastAsia" w:ascii="仿宋_GB2312" w:hAnsi="仿宋_GB2312" w:eastAsia="仿宋_GB2312" w:cs="仿宋_GB2312"/>
                <w:color w:val="000000"/>
                <w:sz w:val="24"/>
                <w:szCs w:val="24"/>
              </w:rPr>
              <w:t>研究内容，</w:t>
            </w:r>
            <w:r>
              <w:rPr>
                <w:rFonts w:hint="eastAsia" w:ascii="仿宋_GB2312" w:hAnsi="仿宋_GB2312" w:eastAsia="仿宋_GB2312" w:cs="仿宋_GB2312"/>
                <w:color w:val="000000"/>
                <w:sz w:val="24"/>
                <w:szCs w:val="24"/>
                <w:lang w:val="en-US" w:eastAsia="zh-CN"/>
              </w:rPr>
              <w:t>开展项目验收工作</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US" w:eastAsia="zh-CN"/>
              </w:rPr>
              <w:t>交</w:t>
            </w:r>
            <w:r>
              <w:rPr>
                <w:rFonts w:hint="eastAsia" w:ascii="Times New Roman" w:hAnsi="Times New Roman" w:eastAsia="仿宋_GB2312" w:cs="Times New Roman"/>
                <w:sz w:val="24"/>
                <w:lang w:val="en-US" w:eastAsia="zh-CN"/>
              </w:rPr>
              <w:t>付《</w:t>
            </w:r>
            <w:r>
              <w:rPr>
                <w:rFonts w:hint="eastAsia" w:ascii="Times New Roman" w:hAnsi="Times New Roman" w:eastAsia="仿宋_GB2312" w:cs="Times New Roman"/>
                <w:sz w:val="24"/>
              </w:rPr>
              <w:t>构网型储能变流器涉网性能测试评价理论体系研究</w:t>
            </w:r>
            <w:r>
              <w:rPr>
                <w:rFonts w:hint="eastAsia" w:ascii="Times New Roman" w:hAnsi="Times New Roman" w:eastAsia="仿宋_GB2312" w:cs="Times New Roman"/>
                <w:sz w:val="24"/>
                <w:lang w:val="en-US" w:eastAsia="zh-CN"/>
              </w:rPr>
              <w:t>》研究报告1份，</w:t>
            </w:r>
            <w:r>
              <w:rPr>
                <w:rFonts w:hint="eastAsia" w:ascii="仿宋_GB2312" w:hAnsi="仿宋_GB2312" w:eastAsia="仿宋_GB2312" w:cs="仿宋_GB2312"/>
                <w:color w:val="000000"/>
                <w:sz w:val="24"/>
                <w:szCs w:val="24"/>
                <w:lang w:val="en-US" w:eastAsia="zh-CN"/>
              </w:rPr>
              <w:t>交付累计论文底稿4篇，累计</w:t>
            </w:r>
            <w:r>
              <w:rPr>
                <w:rFonts w:hint="eastAsia" w:ascii="仿宋_GB2312" w:eastAsia="仿宋_GB2312"/>
                <w:i w:val="0"/>
                <w:iCs w:val="0"/>
                <w:sz w:val="24"/>
                <w:highlight w:val="none"/>
                <w:lang w:val="en-US" w:eastAsia="zh-CN"/>
              </w:rPr>
              <w:t>专利底稿4项，</w:t>
            </w:r>
            <w:r>
              <w:rPr>
                <w:rFonts w:hint="eastAsia" w:ascii="Times New Roman" w:hAnsi="Times New Roman" w:eastAsia="仿宋_GB2312" w:cs="Times New Roman"/>
                <w:sz w:val="24"/>
                <w:lang w:val="en-US" w:eastAsia="zh-CN"/>
              </w:rPr>
              <w:t>构网型储能系统的单机及场站级电磁暂态仿真模型1套。</w:t>
            </w:r>
          </w:p>
        </w:tc>
      </w:tr>
      <w:bookmarkEnd w:id="73"/>
    </w:tbl>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中标人必须按</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确认的进度计划组织研究，接受</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对研究进度的检查和监督。项目实际进度与经确认的进度计划不符合时，中标人应按</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的要求提出改进措施，经</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确认后执行。因中标人的原因导致项目实际进度与进度计划不符，中标人需实施改进措施且不得追加合同价款。</w:t>
      </w:r>
    </w:p>
    <w:p>
      <w:pPr>
        <w:pStyle w:val="5"/>
        <w:numPr>
          <w:ilvl w:val="0"/>
          <w:numId w:val="0"/>
        </w:numPr>
        <w:spacing w:before="0" w:after="0" w:line="560" w:lineRule="exact"/>
        <w:ind w:left="284"/>
        <w:rPr>
          <w:rFonts w:hint="eastAsia" w:ascii="仿宋_GB2312" w:hAnsi="仿宋_GB2312" w:eastAsia="仿宋_GB2312" w:cs="仿宋_GB2312"/>
          <w:color w:val="000000"/>
        </w:rPr>
      </w:pPr>
      <w:bookmarkStart w:id="74" w:name="_Toc413948018"/>
      <w:bookmarkStart w:id="75" w:name="_Toc2354"/>
      <w:r>
        <w:rPr>
          <w:rFonts w:hint="eastAsia" w:ascii="仿宋_GB2312" w:hAnsi="仿宋_GB2312" w:eastAsia="仿宋_GB2312" w:cs="仿宋_GB2312"/>
          <w:color w:val="000000"/>
        </w:rPr>
        <w:t>3.3项目研究结束</w:t>
      </w:r>
      <w:bookmarkEnd w:id="74"/>
      <w:bookmarkEnd w:id="75"/>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1)中标人必须按照本规范书约定的结束日期或经</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同意顺延的计划完成项目。</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2)因中标人原因不能按照本规范书约定的完成日期或</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同意顺延的工期完成的，中标人承担违约责任。</w:t>
      </w:r>
    </w:p>
    <w:p>
      <w:pPr>
        <w:pStyle w:val="5"/>
        <w:numPr>
          <w:ilvl w:val="0"/>
          <w:numId w:val="0"/>
        </w:numPr>
        <w:spacing w:before="0" w:after="0" w:line="560" w:lineRule="exact"/>
        <w:ind w:left="284"/>
        <w:rPr>
          <w:rFonts w:hint="eastAsia" w:ascii="仿宋_GB2312" w:hAnsi="仿宋_GB2312" w:eastAsia="仿宋_GB2312" w:cs="仿宋_GB2312"/>
          <w:color w:val="000000"/>
        </w:rPr>
      </w:pPr>
      <w:bookmarkStart w:id="76" w:name="_Toc413948019"/>
      <w:bookmarkStart w:id="77" w:name="_Toc22902"/>
      <w:r>
        <w:rPr>
          <w:rFonts w:hint="eastAsia" w:ascii="仿宋_GB2312" w:hAnsi="仿宋_GB2312" w:eastAsia="仿宋_GB2312" w:cs="仿宋_GB2312"/>
          <w:color w:val="000000"/>
        </w:rPr>
        <w:t>3.4项目验收的形式与要求</w:t>
      </w:r>
      <w:bookmarkEnd w:id="76"/>
      <w:bookmarkEnd w:id="77"/>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本项目的具体验收方式及时间安排如下：</w:t>
      </w:r>
    </w:p>
    <w:p>
      <w:pPr>
        <w:numPr>
          <w:ilvl w:val="0"/>
          <w:numId w:val="8"/>
        </w:numPr>
        <w:spacing w:line="56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rPr>
        <w:t>项目需于</w:t>
      </w:r>
      <w:r>
        <w:rPr>
          <w:rFonts w:hint="eastAsia" w:ascii="仿宋_GB2312" w:hAnsi="仿宋_GB2312" w:eastAsia="仿宋_GB2312" w:cs="仿宋_GB2312"/>
          <w:color w:val="000000"/>
          <w:sz w:val="28"/>
          <w:szCs w:val="28"/>
          <w:highlight w:val="none"/>
          <w:u w:val="single"/>
          <w:lang w:val="en-US" w:eastAsia="zh-CN"/>
        </w:rPr>
        <w:t>2027</w:t>
      </w:r>
      <w:r>
        <w:rPr>
          <w:rFonts w:hint="eastAsia" w:ascii="仿宋_GB2312" w:hAnsi="仿宋_GB2312" w:eastAsia="仿宋_GB2312" w:cs="仿宋_GB2312"/>
          <w:color w:val="000000"/>
          <w:sz w:val="28"/>
          <w:szCs w:val="28"/>
          <w:highlight w:val="none"/>
          <w:u w:val="single"/>
        </w:rPr>
        <w:t>年</w:t>
      </w:r>
      <w:r>
        <w:rPr>
          <w:rFonts w:hint="eastAsia" w:ascii="仿宋_GB2312" w:hAnsi="仿宋_GB2312" w:eastAsia="仿宋_GB2312" w:cs="仿宋_GB2312"/>
          <w:color w:val="000000"/>
          <w:sz w:val="28"/>
          <w:szCs w:val="28"/>
          <w:highlight w:val="none"/>
          <w:u w:val="single"/>
          <w:lang w:val="en-US" w:eastAsia="zh-CN"/>
        </w:rPr>
        <w:t>11</w:t>
      </w:r>
      <w:r>
        <w:rPr>
          <w:rFonts w:hint="eastAsia" w:ascii="仿宋_GB2312" w:hAnsi="仿宋_GB2312" w:eastAsia="仿宋_GB2312" w:cs="仿宋_GB2312"/>
          <w:color w:val="000000"/>
          <w:sz w:val="28"/>
          <w:szCs w:val="28"/>
          <w:highlight w:val="none"/>
          <w:u w:val="single"/>
        </w:rPr>
        <w:t>月</w:t>
      </w:r>
      <w:r>
        <w:rPr>
          <w:rFonts w:hint="eastAsia" w:ascii="仿宋_GB2312" w:hAnsi="仿宋_GB2312" w:eastAsia="仿宋_GB2312" w:cs="仿宋_GB2312"/>
          <w:color w:val="000000"/>
          <w:sz w:val="28"/>
          <w:szCs w:val="28"/>
          <w:highlight w:val="none"/>
          <w:u w:val="single"/>
          <w:lang w:val="en-US" w:eastAsia="zh-CN"/>
        </w:rPr>
        <w:t>30</w:t>
      </w:r>
      <w:r>
        <w:rPr>
          <w:rFonts w:hint="eastAsia" w:ascii="仿宋_GB2312" w:hAnsi="仿宋_GB2312" w:eastAsia="仿宋_GB2312" w:cs="仿宋_GB2312"/>
          <w:color w:val="000000"/>
          <w:sz w:val="28"/>
          <w:szCs w:val="28"/>
          <w:highlight w:val="none"/>
          <w:u w:val="single"/>
        </w:rPr>
        <w:t>日</w:t>
      </w:r>
      <w:r>
        <w:rPr>
          <w:rFonts w:hint="eastAsia" w:ascii="仿宋_GB2312" w:hAnsi="仿宋_GB2312" w:eastAsia="仿宋_GB2312" w:cs="仿宋_GB2312"/>
          <w:color w:val="000000"/>
          <w:sz w:val="28"/>
          <w:szCs w:val="28"/>
          <w:highlight w:val="none"/>
        </w:rPr>
        <w:t>前完成“2.3 研究成果/交付物的技术指标要求”交付的全部内容，并提交验收报告</w:t>
      </w:r>
      <w:r>
        <w:rPr>
          <w:rFonts w:hint="eastAsia" w:ascii="仿宋_GB2312" w:hAnsi="仿宋_GB2312" w:eastAsia="仿宋_GB2312" w:cs="仿宋_GB2312"/>
          <w:color w:val="000000"/>
          <w:sz w:val="28"/>
          <w:szCs w:val="28"/>
          <w:highlight w:val="none"/>
          <w:lang w:eastAsia="zh-CN"/>
        </w:rPr>
        <w:t>。</w:t>
      </w:r>
    </w:p>
    <w:p>
      <w:pPr>
        <w:spacing w:line="560" w:lineRule="exact"/>
        <w:ind w:firstLine="560" w:firstLineChars="200"/>
        <w:rPr>
          <w:rFonts w:hint="eastAsia" w:ascii="仿宋_GB2312" w:hAnsi="仿宋_GB2312" w:eastAsia="仿宋_GB2312" w:cs="仿宋_GB2312"/>
          <w:color w:val="000000"/>
          <w:sz w:val="28"/>
          <w:szCs w:val="28"/>
          <w:highlight w:val="none"/>
          <w:u w:val="single"/>
        </w:rPr>
      </w:pPr>
      <w:r>
        <w:rPr>
          <w:rFonts w:hint="eastAsia" w:ascii="仿宋_GB2312" w:hAnsi="仿宋_GB2312" w:eastAsia="仿宋_GB2312" w:cs="仿宋_GB2312"/>
          <w:color w:val="000000"/>
          <w:sz w:val="28"/>
          <w:szCs w:val="28"/>
          <w:highlight w:val="none"/>
        </w:rPr>
        <w:t>2）项目交付地址：</w:t>
      </w:r>
      <w:r>
        <w:rPr>
          <w:rFonts w:hint="eastAsia" w:ascii="仿宋_GB2312" w:hAnsi="仿宋_GB2312" w:eastAsia="仿宋_GB2312" w:cs="仿宋_GB2312"/>
          <w:color w:val="000000"/>
          <w:sz w:val="28"/>
          <w:szCs w:val="28"/>
          <w:highlight w:val="none"/>
          <w:u w:val="single"/>
        </w:rPr>
        <w:t xml:space="preserve">  </w:t>
      </w:r>
      <w:r>
        <w:rPr>
          <w:rFonts w:hint="eastAsia" w:ascii="仿宋_GB2312" w:hAnsi="仿宋_GB2312" w:eastAsia="仿宋_GB2312" w:cs="仿宋_GB2312"/>
          <w:color w:val="000000"/>
          <w:sz w:val="28"/>
          <w:szCs w:val="28"/>
          <w:highlight w:val="none"/>
          <w:u w:val="single"/>
          <w:lang w:val="en-US" w:eastAsia="zh-CN"/>
        </w:rPr>
        <w:t>广州</w:t>
      </w:r>
      <w:r>
        <w:rPr>
          <w:rFonts w:hint="eastAsia" w:ascii="仿宋_GB2312" w:hAnsi="仿宋_GB2312" w:eastAsia="仿宋_GB2312" w:cs="仿宋_GB2312"/>
          <w:color w:val="000000"/>
          <w:sz w:val="28"/>
          <w:szCs w:val="28"/>
          <w:highlight w:val="none"/>
          <w:u w:val="single"/>
        </w:rPr>
        <w:t xml:space="preserve">   </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highlight w:val="none"/>
        </w:rPr>
        <w:t>3）满足验收条件时，中标人</w:t>
      </w:r>
      <w:r>
        <w:rPr>
          <w:rFonts w:hint="eastAsia" w:ascii="仿宋_GB2312" w:hAnsi="仿宋_GB2312" w:eastAsia="仿宋_GB2312" w:cs="仿宋_GB2312"/>
          <w:color w:val="000000"/>
          <w:sz w:val="28"/>
          <w:szCs w:val="28"/>
        </w:rPr>
        <w:t>应首先进行认真的自检，并在验收前七日以书面形式通知</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组织验收，通知包括验收的内容、验收时间和地点。中标人准备验收材料。</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4）由于非中标人原因项目验收达不到验收标准及约定要求，</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应要求有关单位修改，中标人按修改意见处理。</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5）由于中标人原因项目验收达不到验收标准及约定要求，中标人应按采购人的要求进行补救或返工，并承担重新验收和返工的费用。</w:t>
      </w:r>
    </w:p>
    <w:p>
      <w:pPr>
        <w:pStyle w:val="5"/>
        <w:numPr>
          <w:ilvl w:val="0"/>
          <w:numId w:val="0"/>
        </w:numPr>
        <w:spacing w:before="0" w:after="0" w:line="560" w:lineRule="exact"/>
        <w:ind w:left="284"/>
        <w:rPr>
          <w:rFonts w:hint="eastAsia" w:ascii="仿宋_GB2312" w:hAnsi="仿宋_GB2312" w:eastAsia="仿宋_GB2312" w:cs="仿宋_GB2312"/>
          <w:color w:val="000000"/>
        </w:rPr>
      </w:pPr>
      <w:bookmarkStart w:id="78" w:name="_Toc20058"/>
      <w:bookmarkStart w:id="79" w:name="_Toc413948020"/>
      <w:r>
        <w:rPr>
          <w:rFonts w:hint="eastAsia" w:ascii="仿宋_GB2312" w:hAnsi="仿宋_GB2312" w:eastAsia="仿宋_GB2312" w:cs="仿宋_GB2312"/>
          <w:color w:val="000000"/>
        </w:rPr>
        <w:t>3.5项目质量安全保障</w:t>
      </w:r>
      <w:bookmarkEnd w:id="78"/>
      <w:bookmarkEnd w:id="79"/>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1）中标人应严格遵守本规范书关于项目的若干技术质量规定，制定严格的质量安全措施。中标人负责在整个项目过程中保证项目的质量和试验数据的可靠性。</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2）由于中标人质量安全措施不力造成研究质量安全事故的责任，以及由此发生的费用和损失，由中标人承担。</w:t>
      </w:r>
    </w:p>
    <w:p>
      <w:pPr>
        <w:pStyle w:val="4"/>
        <w:spacing w:before="0" w:after="0" w:line="560" w:lineRule="exact"/>
        <w:rPr>
          <w:rFonts w:hint="eastAsia" w:ascii="仿宋_GB2312" w:hAnsi="仿宋_GB2312" w:eastAsia="仿宋_GB2312" w:cs="仿宋_GB2312"/>
          <w:color w:val="000000"/>
        </w:rPr>
      </w:pPr>
      <w:r>
        <w:rPr>
          <w:rFonts w:hint="eastAsia" w:ascii="仿宋_GB2312" w:hAnsi="仿宋_GB2312" w:eastAsia="仿宋_GB2312" w:cs="仿宋_GB2312"/>
          <w:color w:val="000000"/>
        </w:rPr>
        <w:t>其它相关要求</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本技术规范书的最终解释权归</w:t>
      </w:r>
      <w:r>
        <w:rPr>
          <w:rFonts w:hint="eastAsia" w:ascii="仿宋_GB2312" w:hAnsi="仿宋_GB2312" w:eastAsia="仿宋_GB2312" w:cs="仿宋_GB2312"/>
          <w:color w:val="000000"/>
          <w:sz w:val="28"/>
          <w:szCs w:val="28"/>
          <w:lang w:val="en-US" w:eastAsia="zh-CN"/>
        </w:rPr>
        <w:t>采购人</w:t>
      </w:r>
      <w:r>
        <w:rPr>
          <w:rFonts w:hint="eastAsia" w:ascii="仿宋_GB2312" w:hAnsi="仿宋_GB2312" w:eastAsia="仿宋_GB2312" w:cs="仿宋_GB2312"/>
          <w:color w:val="000000"/>
          <w:sz w:val="28"/>
          <w:szCs w:val="28"/>
        </w:rPr>
        <w:t>。</w:t>
      </w:r>
    </w:p>
    <w:p>
      <w:pPr>
        <w:spacing w:line="560" w:lineRule="exact"/>
        <w:rPr>
          <w:rFonts w:hint="eastAsia" w:ascii="仿宋_GB2312" w:hAnsi="仿宋_GB2312" w:eastAsia="仿宋_GB2312" w:cs="仿宋_GB2312"/>
          <w:color w:val="000000"/>
        </w:rPr>
      </w:pPr>
    </w:p>
    <w:p>
      <w:pPr>
        <w:pStyle w:val="4"/>
        <w:numPr>
          <w:ilvl w:val="0"/>
          <w:numId w:val="0"/>
        </w:numPr>
        <w:spacing w:before="0" w:line="560" w:lineRule="exact"/>
        <w:ind w:left="420" w:hanging="420"/>
        <w:rPr>
          <w:rFonts w:hint="eastAsia" w:ascii="仿宋_GB2312" w:hAnsi="仿宋_GB2312" w:eastAsia="仿宋_GB2312" w:cs="仿宋_GB2312"/>
          <w:color w:val="000000"/>
        </w:rPr>
      </w:pPr>
      <w:bookmarkStart w:id="80" w:name="_Toc413948021"/>
      <w:bookmarkEnd w:id="80"/>
      <w:bookmarkStart w:id="81" w:name="_Toc15695"/>
      <w:bookmarkStart w:id="82" w:name="_Toc413948022"/>
      <w:r>
        <w:rPr>
          <w:rFonts w:hint="eastAsia" w:ascii="仿宋_GB2312" w:hAnsi="仿宋_GB2312" w:eastAsia="仿宋_GB2312" w:cs="仿宋_GB2312"/>
          <w:color w:val="000000"/>
        </w:rPr>
        <w:br w:type="page"/>
      </w:r>
      <w:r>
        <w:rPr>
          <w:rFonts w:hint="eastAsia" w:ascii="仿宋_GB2312" w:hAnsi="仿宋_GB2312" w:eastAsia="仿宋_GB2312" w:cs="仿宋_GB2312"/>
          <w:color w:val="000000"/>
        </w:rPr>
        <w:t>附件一：技术差异表</w:t>
      </w:r>
      <w:bookmarkEnd w:id="81"/>
      <w:bookmarkEnd w:id="82"/>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5"/>
        <w:gridCol w:w="2128"/>
        <w:gridCol w:w="1696"/>
        <w:gridCol w:w="2074"/>
        <w:gridCol w:w="12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exact"/>
        </w:trPr>
        <w:tc>
          <w:tcPr>
            <w:tcW w:w="1575" w:type="dxa"/>
            <w:noWrap w:val="0"/>
            <w:vAlign w:val="center"/>
          </w:tcPr>
          <w:p>
            <w:pPr>
              <w:jc w:val="center"/>
              <w:rPr>
                <w:rFonts w:hint="eastAsia" w:ascii="仿宋_GB2312" w:hAnsi="仿宋_GB2312" w:eastAsia="仿宋_GB2312" w:cs="仿宋_GB2312"/>
                <w:b/>
                <w:color w:val="000000"/>
              </w:rPr>
            </w:pPr>
            <w:r>
              <w:rPr>
                <w:rFonts w:hint="eastAsia" w:ascii="仿宋_GB2312" w:hAnsi="仿宋_GB2312" w:eastAsia="仿宋_GB2312" w:cs="仿宋_GB2312"/>
                <w:b/>
                <w:color w:val="000000"/>
              </w:rPr>
              <w:t>规范书条目</w:t>
            </w:r>
          </w:p>
        </w:tc>
        <w:tc>
          <w:tcPr>
            <w:tcW w:w="2128" w:type="dxa"/>
            <w:noWrap w:val="0"/>
            <w:vAlign w:val="center"/>
          </w:tcPr>
          <w:p>
            <w:pPr>
              <w:jc w:val="center"/>
              <w:rPr>
                <w:rFonts w:hint="eastAsia" w:ascii="仿宋_GB2312" w:hAnsi="仿宋_GB2312" w:eastAsia="仿宋_GB2312" w:cs="仿宋_GB2312"/>
                <w:b/>
                <w:color w:val="000000"/>
              </w:rPr>
            </w:pPr>
            <w:r>
              <w:rPr>
                <w:rFonts w:hint="eastAsia" w:ascii="仿宋_GB2312" w:hAnsi="仿宋_GB2312" w:eastAsia="仿宋_GB2312" w:cs="仿宋_GB2312"/>
                <w:b/>
                <w:color w:val="000000"/>
              </w:rPr>
              <w:t>技术规范书要求</w:t>
            </w:r>
          </w:p>
        </w:tc>
        <w:tc>
          <w:tcPr>
            <w:tcW w:w="1696" w:type="dxa"/>
            <w:noWrap w:val="0"/>
            <w:vAlign w:val="center"/>
          </w:tcPr>
          <w:p>
            <w:pPr>
              <w:jc w:val="center"/>
              <w:rPr>
                <w:rFonts w:hint="eastAsia" w:ascii="仿宋_GB2312" w:hAnsi="仿宋_GB2312" w:eastAsia="仿宋_GB2312" w:cs="仿宋_GB2312"/>
                <w:b/>
                <w:color w:val="000000"/>
              </w:rPr>
            </w:pPr>
            <w:r>
              <w:rPr>
                <w:rFonts w:hint="eastAsia" w:ascii="仿宋_GB2312" w:hAnsi="仿宋_GB2312" w:eastAsia="仿宋_GB2312" w:cs="仿宋_GB2312"/>
                <w:b/>
                <w:color w:val="000000"/>
              </w:rPr>
              <w:t>技术偏差</w:t>
            </w:r>
          </w:p>
        </w:tc>
        <w:tc>
          <w:tcPr>
            <w:tcW w:w="2074" w:type="dxa"/>
            <w:noWrap w:val="0"/>
            <w:vAlign w:val="center"/>
          </w:tcPr>
          <w:p>
            <w:pPr>
              <w:jc w:val="center"/>
              <w:rPr>
                <w:rFonts w:hint="eastAsia" w:ascii="仿宋_GB2312" w:hAnsi="仿宋_GB2312" w:eastAsia="仿宋_GB2312" w:cs="仿宋_GB2312"/>
                <w:b/>
                <w:color w:val="000000"/>
              </w:rPr>
            </w:pPr>
            <w:r>
              <w:rPr>
                <w:rFonts w:hint="eastAsia" w:ascii="仿宋_GB2312" w:hAnsi="仿宋_GB2312" w:eastAsia="仿宋_GB2312" w:cs="仿宋_GB2312"/>
                <w:b/>
                <w:color w:val="000000"/>
              </w:rPr>
              <w:t>详细说明</w:t>
            </w:r>
          </w:p>
        </w:tc>
        <w:tc>
          <w:tcPr>
            <w:tcW w:w="1247" w:type="dxa"/>
            <w:noWrap w:val="0"/>
            <w:vAlign w:val="center"/>
          </w:tcPr>
          <w:p>
            <w:pPr>
              <w:jc w:val="center"/>
              <w:rPr>
                <w:rFonts w:hint="eastAsia" w:ascii="仿宋_GB2312" w:hAnsi="仿宋_GB2312" w:eastAsia="仿宋_GB2312" w:cs="仿宋_GB2312"/>
                <w:b/>
                <w:color w:val="000000"/>
              </w:rPr>
            </w:pPr>
            <w:r>
              <w:rPr>
                <w:rFonts w:hint="eastAsia" w:ascii="仿宋_GB2312" w:hAnsi="仿宋_GB2312" w:eastAsia="仿宋_GB2312" w:cs="仿宋_GB2312"/>
                <w:b/>
                <w:color w:val="000000"/>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75" w:type="dxa"/>
            <w:noWrap w:val="0"/>
            <w:vAlign w:val="top"/>
          </w:tcPr>
          <w:p>
            <w:pPr>
              <w:pStyle w:val="8"/>
              <w:ind w:left="960"/>
              <w:rPr>
                <w:rFonts w:hint="eastAsia" w:ascii="仿宋_GB2312" w:hAnsi="仿宋_GB2312" w:eastAsia="仿宋_GB2312" w:cs="仿宋_GB2312"/>
                <w:b/>
                <w:color w:val="000000"/>
                <w:sz w:val="30"/>
              </w:rPr>
            </w:pPr>
          </w:p>
        </w:tc>
        <w:tc>
          <w:tcPr>
            <w:tcW w:w="2128" w:type="dxa"/>
            <w:noWrap w:val="0"/>
            <w:vAlign w:val="top"/>
          </w:tcPr>
          <w:p>
            <w:pPr>
              <w:pStyle w:val="8"/>
              <w:ind w:left="960"/>
              <w:rPr>
                <w:rFonts w:hint="eastAsia" w:ascii="仿宋_GB2312" w:hAnsi="仿宋_GB2312" w:eastAsia="仿宋_GB2312" w:cs="仿宋_GB2312"/>
                <w:b/>
                <w:color w:val="000000"/>
                <w:sz w:val="30"/>
              </w:rPr>
            </w:pPr>
          </w:p>
        </w:tc>
        <w:tc>
          <w:tcPr>
            <w:tcW w:w="1696" w:type="dxa"/>
            <w:noWrap w:val="0"/>
            <w:vAlign w:val="top"/>
          </w:tcPr>
          <w:p>
            <w:pPr>
              <w:pStyle w:val="8"/>
              <w:ind w:left="960"/>
              <w:rPr>
                <w:rFonts w:hint="eastAsia" w:ascii="仿宋_GB2312" w:hAnsi="仿宋_GB2312" w:eastAsia="仿宋_GB2312" w:cs="仿宋_GB2312"/>
                <w:b/>
                <w:color w:val="000000"/>
                <w:sz w:val="30"/>
              </w:rPr>
            </w:pPr>
          </w:p>
        </w:tc>
        <w:tc>
          <w:tcPr>
            <w:tcW w:w="2074" w:type="dxa"/>
            <w:noWrap w:val="0"/>
            <w:vAlign w:val="top"/>
          </w:tcPr>
          <w:p>
            <w:pPr>
              <w:pStyle w:val="8"/>
              <w:ind w:left="960"/>
              <w:rPr>
                <w:rFonts w:hint="eastAsia" w:ascii="仿宋_GB2312" w:hAnsi="仿宋_GB2312" w:eastAsia="仿宋_GB2312" w:cs="仿宋_GB2312"/>
                <w:b/>
                <w:color w:val="000000"/>
                <w:sz w:val="30"/>
              </w:rPr>
            </w:pPr>
          </w:p>
        </w:tc>
        <w:tc>
          <w:tcPr>
            <w:tcW w:w="1247" w:type="dxa"/>
            <w:noWrap w:val="0"/>
            <w:vAlign w:val="top"/>
          </w:tcPr>
          <w:p>
            <w:pPr>
              <w:pStyle w:val="8"/>
              <w:ind w:left="960"/>
              <w:rPr>
                <w:rFonts w:hint="eastAsia" w:ascii="仿宋_GB2312" w:hAnsi="仿宋_GB2312" w:eastAsia="仿宋_GB2312" w:cs="仿宋_GB2312"/>
                <w:b/>
                <w:color w:val="000000"/>
                <w:sz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75" w:type="dxa"/>
            <w:noWrap w:val="0"/>
            <w:vAlign w:val="top"/>
          </w:tcPr>
          <w:p>
            <w:pPr>
              <w:pStyle w:val="8"/>
              <w:ind w:left="960"/>
              <w:rPr>
                <w:rFonts w:hint="eastAsia" w:ascii="仿宋_GB2312" w:hAnsi="仿宋_GB2312" w:eastAsia="仿宋_GB2312" w:cs="仿宋_GB2312"/>
                <w:b/>
                <w:color w:val="000000"/>
                <w:sz w:val="30"/>
              </w:rPr>
            </w:pPr>
          </w:p>
        </w:tc>
        <w:tc>
          <w:tcPr>
            <w:tcW w:w="2128" w:type="dxa"/>
            <w:noWrap w:val="0"/>
            <w:vAlign w:val="top"/>
          </w:tcPr>
          <w:p>
            <w:pPr>
              <w:pStyle w:val="8"/>
              <w:ind w:left="960"/>
              <w:rPr>
                <w:rFonts w:hint="eastAsia" w:ascii="仿宋_GB2312" w:hAnsi="仿宋_GB2312" w:eastAsia="仿宋_GB2312" w:cs="仿宋_GB2312"/>
                <w:b/>
                <w:color w:val="000000"/>
                <w:sz w:val="30"/>
              </w:rPr>
            </w:pPr>
          </w:p>
        </w:tc>
        <w:tc>
          <w:tcPr>
            <w:tcW w:w="1696" w:type="dxa"/>
            <w:noWrap w:val="0"/>
            <w:vAlign w:val="top"/>
          </w:tcPr>
          <w:p>
            <w:pPr>
              <w:pStyle w:val="8"/>
              <w:ind w:left="960"/>
              <w:rPr>
                <w:rFonts w:hint="eastAsia" w:ascii="仿宋_GB2312" w:hAnsi="仿宋_GB2312" w:eastAsia="仿宋_GB2312" w:cs="仿宋_GB2312"/>
                <w:b/>
                <w:color w:val="000000"/>
                <w:sz w:val="30"/>
              </w:rPr>
            </w:pPr>
          </w:p>
        </w:tc>
        <w:tc>
          <w:tcPr>
            <w:tcW w:w="2074" w:type="dxa"/>
            <w:noWrap w:val="0"/>
            <w:vAlign w:val="top"/>
          </w:tcPr>
          <w:p>
            <w:pPr>
              <w:pStyle w:val="8"/>
              <w:ind w:left="960"/>
              <w:rPr>
                <w:rFonts w:hint="eastAsia" w:ascii="仿宋_GB2312" w:hAnsi="仿宋_GB2312" w:eastAsia="仿宋_GB2312" w:cs="仿宋_GB2312"/>
                <w:b/>
                <w:color w:val="000000"/>
                <w:sz w:val="30"/>
              </w:rPr>
            </w:pPr>
          </w:p>
        </w:tc>
        <w:tc>
          <w:tcPr>
            <w:tcW w:w="1247" w:type="dxa"/>
            <w:noWrap w:val="0"/>
            <w:vAlign w:val="top"/>
          </w:tcPr>
          <w:p>
            <w:pPr>
              <w:pStyle w:val="8"/>
              <w:ind w:left="960"/>
              <w:rPr>
                <w:rFonts w:hint="eastAsia" w:ascii="仿宋_GB2312" w:hAnsi="仿宋_GB2312" w:eastAsia="仿宋_GB2312" w:cs="仿宋_GB2312"/>
                <w:b/>
                <w:color w:val="000000"/>
                <w:sz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75" w:type="dxa"/>
            <w:noWrap w:val="0"/>
            <w:vAlign w:val="top"/>
          </w:tcPr>
          <w:p>
            <w:pPr>
              <w:pStyle w:val="8"/>
              <w:ind w:left="960"/>
              <w:rPr>
                <w:rFonts w:hint="eastAsia" w:ascii="仿宋_GB2312" w:hAnsi="仿宋_GB2312" w:eastAsia="仿宋_GB2312" w:cs="仿宋_GB2312"/>
                <w:b/>
                <w:color w:val="000000"/>
                <w:sz w:val="30"/>
              </w:rPr>
            </w:pPr>
          </w:p>
        </w:tc>
        <w:tc>
          <w:tcPr>
            <w:tcW w:w="2128" w:type="dxa"/>
            <w:noWrap w:val="0"/>
            <w:vAlign w:val="top"/>
          </w:tcPr>
          <w:p>
            <w:pPr>
              <w:pStyle w:val="8"/>
              <w:ind w:left="960"/>
              <w:rPr>
                <w:rFonts w:hint="eastAsia" w:ascii="仿宋_GB2312" w:hAnsi="仿宋_GB2312" w:eastAsia="仿宋_GB2312" w:cs="仿宋_GB2312"/>
                <w:b/>
                <w:color w:val="000000"/>
                <w:sz w:val="30"/>
              </w:rPr>
            </w:pPr>
          </w:p>
        </w:tc>
        <w:tc>
          <w:tcPr>
            <w:tcW w:w="1696" w:type="dxa"/>
            <w:noWrap w:val="0"/>
            <w:vAlign w:val="top"/>
          </w:tcPr>
          <w:p>
            <w:pPr>
              <w:pStyle w:val="8"/>
              <w:ind w:left="960"/>
              <w:rPr>
                <w:rFonts w:hint="eastAsia" w:ascii="仿宋_GB2312" w:hAnsi="仿宋_GB2312" w:eastAsia="仿宋_GB2312" w:cs="仿宋_GB2312"/>
                <w:b/>
                <w:color w:val="000000"/>
                <w:sz w:val="30"/>
              </w:rPr>
            </w:pPr>
          </w:p>
        </w:tc>
        <w:tc>
          <w:tcPr>
            <w:tcW w:w="2074" w:type="dxa"/>
            <w:noWrap w:val="0"/>
            <w:vAlign w:val="top"/>
          </w:tcPr>
          <w:p>
            <w:pPr>
              <w:pStyle w:val="8"/>
              <w:ind w:left="960"/>
              <w:rPr>
                <w:rFonts w:hint="eastAsia" w:ascii="仿宋_GB2312" w:hAnsi="仿宋_GB2312" w:eastAsia="仿宋_GB2312" w:cs="仿宋_GB2312"/>
                <w:b/>
                <w:color w:val="000000"/>
                <w:sz w:val="30"/>
              </w:rPr>
            </w:pPr>
          </w:p>
        </w:tc>
        <w:tc>
          <w:tcPr>
            <w:tcW w:w="1247" w:type="dxa"/>
            <w:noWrap w:val="0"/>
            <w:vAlign w:val="top"/>
          </w:tcPr>
          <w:p>
            <w:pPr>
              <w:pStyle w:val="8"/>
              <w:ind w:left="960"/>
              <w:rPr>
                <w:rFonts w:hint="eastAsia" w:ascii="仿宋_GB2312" w:hAnsi="仿宋_GB2312" w:eastAsia="仿宋_GB2312" w:cs="仿宋_GB2312"/>
                <w:b/>
                <w:color w:val="000000"/>
                <w:sz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75" w:type="dxa"/>
            <w:noWrap w:val="0"/>
            <w:vAlign w:val="top"/>
          </w:tcPr>
          <w:p>
            <w:pPr>
              <w:pStyle w:val="8"/>
              <w:ind w:left="960"/>
              <w:rPr>
                <w:rFonts w:hint="eastAsia" w:ascii="仿宋_GB2312" w:hAnsi="仿宋_GB2312" w:eastAsia="仿宋_GB2312" w:cs="仿宋_GB2312"/>
                <w:b/>
                <w:color w:val="000000"/>
                <w:sz w:val="30"/>
              </w:rPr>
            </w:pPr>
          </w:p>
        </w:tc>
        <w:tc>
          <w:tcPr>
            <w:tcW w:w="2128" w:type="dxa"/>
            <w:noWrap w:val="0"/>
            <w:vAlign w:val="top"/>
          </w:tcPr>
          <w:p>
            <w:pPr>
              <w:pStyle w:val="8"/>
              <w:ind w:left="960"/>
              <w:rPr>
                <w:rFonts w:hint="eastAsia" w:ascii="仿宋_GB2312" w:hAnsi="仿宋_GB2312" w:eastAsia="仿宋_GB2312" w:cs="仿宋_GB2312"/>
                <w:b/>
                <w:color w:val="000000"/>
                <w:sz w:val="30"/>
              </w:rPr>
            </w:pPr>
          </w:p>
        </w:tc>
        <w:tc>
          <w:tcPr>
            <w:tcW w:w="1696" w:type="dxa"/>
            <w:noWrap w:val="0"/>
            <w:vAlign w:val="top"/>
          </w:tcPr>
          <w:p>
            <w:pPr>
              <w:pStyle w:val="8"/>
              <w:ind w:left="960"/>
              <w:rPr>
                <w:rFonts w:hint="eastAsia" w:ascii="仿宋_GB2312" w:hAnsi="仿宋_GB2312" w:eastAsia="仿宋_GB2312" w:cs="仿宋_GB2312"/>
                <w:b/>
                <w:color w:val="000000"/>
                <w:sz w:val="30"/>
              </w:rPr>
            </w:pPr>
          </w:p>
        </w:tc>
        <w:tc>
          <w:tcPr>
            <w:tcW w:w="2074" w:type="dxa"/>
            <w:noWrap w:val="0"/>
            <w:vAlign w:val="top"/>
          </w:tcPr>
          <w:p>
            <w:pPr>
              <w:pStyle w:val="8"/>
              <w:ind w:left="960"/>
              <w:rPr>
                <w:rFonts w:hint="eastAsia" w:ascii="仿宋_GB2312" w:hAnsi="仿宋_GB2312" w:eastAsia="仿宋_GB2312" w:cs="仿宋_GB2312"/>
                <w:b/>
                <w:color w:val="000000"/>
                <w:sz w:val="30"/>
              </w:rPr>
            </w:pPr>
          </w:p>
        </w:tc>
        <w:tc>
          <w:tcPr>
            <w:tcW w:w="1247" w:type="dxa"/>
            <w:noWrap w:val="0"/>
            <w:vAlign w:val="top"/>
          </w:tcPr>
          <w:p>
            <w:pPr>
              <w:pStyle w:val="8"/>
              <w:ind w:left="960"/>
              <w:rPr>
                <w:rFonts w:hint="eastAsia" w:ascii="仿宋_GB2312" w:hAnsi="仿宋_GB2312" w:eastAsia="仿宋_GB2312" w:cs="仿宋_GB2312"/>
                <w:b/>
                <w:color w:val="000000"/>
                <w:sz w:val="30"/>
              </w:rPr>
            </w:pPr>
          </w:p>
        </w:tc>
      </w:tr>
      <w:bookmarkEnd w:id="35"/>
      <w:bookmarkEnd w:id="36"/>
    </w:tbl>
    <w:p>
      <w:pPr>
        <w:adjustRightInd w:val="0"/>
        <w:snapToGrid w:val="0"/>
        <w:spacing w:line="560" w:lineRule="exact"/>
        <w:rPr>
          <w:rFonts w:hint="eastAsia" w:ascii="仿宋_GB2312" w:hAnsi="仿宋_GB2312" w:eastAsia="仿宋_GB2312" w:cs="仿宋_GB2312"/>
          <w:color w:val="000000"/>
          <w:kern w:val="0"/>
          <w:sz w:val="28"/>
          <w:szCs w:val="28"/>
        </w:rPr>
      </w:pPr>
    </w:p>
    <w:sectPr>
      <w:headerReference r:id="rId3" w:type="default"/>
      <w:footerReference r:id="rId4" w:type="default"/>
      <w:pgSz w:w="11906" w:h="16838"/>
      <w:pgMar w:top="1418" w:right="1701" w:bottom="1418" w:left="170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pPr>
                          <w:r>
                            <w:rPr>
                              <w:rStyle w:val="20"/>
                              <w:rFonts w:hint="eastAsia"/>
                            </w:rPr>
                            <w:t xml:space="preserve">－ </w:t>
                          </w:r>
                          <w:r>
                            <w:fldChar w:fldCharType="begin"/>
                          </w:r>
                          <w:r>
                            <w:rPr>
                              <w:rStyle w:val="20"/>
                            </w:rPr>
                            <w:instrText xml:space="preserve"> PAGE </w:instrText>
                          </w:r>
                          <w:r>
                            <w:fldChar w:fldCharType="separate"/>
                          </w:r>
                          <w:r>
                            <w:rPr>
                              <w:rStyle w:val="20"/>
                            </w:rPr>
                            <w:t>1</w:t>
                          </w:r>
                          <w:r>
                            <w:fldChar w:fldCharType="end"/>
                          </w:r>
                          <w:r>
                            <w:rPr>
                              <w:rStyle w:val="20"/>
                              <w:rFonts w:hint="eastAsia"/>
                            </w:rPr>
                            <w:t xml:space="preserve"> －</w:t>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pfMzMkBAACZ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yl8zMyQEAAJkDAAAOAAAAAAAAAAEAIAAAAB4BAABkcnMvZTJvRG9j&#10;LnhtbFBLBQYAAAAABgAGAFkBAABZBQAAAAA=&#10;">
              <v:fill on="f" focussize="0,0"/>
              <v:stroke on="f"/>
              <v:imagedata o:title=""/>
              <o:lock v:ext="edit" aspectratio="f"/>
              <v:textbox inset="0mm,0mm,0mm,0mm" style="mso-fit-shape-to-text:t;">
                <w:txbxContent>
                  <w:p>
                    <w:pPr>
                      <w:pStyle w:val="11"/>
                      <w:jc w:val="center"/>
                    </w:pPr>
                    <w:r>
                      <w:rPr>
                        <w:rStyle w:val="20"/>
                        <w:rFonts w:hint="eastAsia"/>
                      </w:rPr>
                      <w:t xml:space="preserve">－ </w:t>
                    </w:r>
                    <w:r>
                      <w:fldChar w:fldCharType="begin"/>
                    </w:r>
                    <w:r>
                      <w:rPr>
                        <w:rStyle w:val="20"/>
                      </w:rPr>
                      <w:instrText xml:space="preserve"> PAGE </w:instrText>
                    </w:r>
                    <w:r>
                      <w:fldChar w:fldCharType="separate"/>
                    </w:r>
                    <w:r>
                      <w:rPr>
                        <w:rStyle w:val="20"/>
                      </w:rPr>
                      <w:t>1</w:t>
                    </w:r>
                    <w:r>
                      <w:fldChar w:fldCharType="end"/>
                    </w:r>
                    <w:r>
                      <w:rPr>
                        <w:rStyle w:val="20"/>
                        <w:rFonts w:hint="eastAsia"/>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wordWrap w:val="0"/>
      <w:jc w:val="right"/>
      <w:rPr>
        <w:rFonts w:ascii="宋体" w:hAnsi="宋体"/>
      </w:rPr>
    </w:pPr>
    <w:r>
      <w:rPr>
        <w:rFonts w:ascii="宋体" w:hAnsi="宋体"/>
      </w:rPr>
      <w:drawing>
        <wp:anchor distT="0" distB="0" distL="114300" distR="114300" simplePos="0" relativeHeight="251659264" behindDoc="0" locked="0" layoutInCell="1" allowOverlap="1">
          <wp:simplePos x="0" y="0"/>
          <wp:positionH relativeFrom="column">
            <wp:posOffset>-1905</wp:posOffset>
          </wp:positionH>
          <wp:positionV relativeFrom="paragraph">
            <wp:posOffset>-22225</wp:posOffset>
          </wp:positionV>
          <wp:extent cx="914400" cy="179070"/>
          <wp:effectExtent l="0" t="0" r="3175" b="4445"/>
          <wp:wrapSquare wrapText="right"/>
          <wp:docPr id="1" name="Picture 2" descr="http://www.csg.net.cn/images/sy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http://www.csg.net.cn/images/sy_logo.gif"/>
                  <pic:cNvPicPr>
                    <a:picLocks noChangeAspect="1"/>
                  </pic:cNvPicPr>
                </pic:nvPicPr>
                <pic:blipFill>
                  <a:blip r:embed="rId1" r:link="rId2"/>
                  <a:srcRect l="5882" t="14223" r="5882" b="27449"/>
                  <a:stretch>
                    <a:fillRect/>
                  </a:stretch>
                </pic:blipFill>
                <pic:spPr>
                  <a:xfrm>
                    <a:off x="0" y="0"/>
                    <a:ext cx="914400" cy="179070"/>
                  </a:xfrm>
                  <a:prstGeom prst="rect">
                    <a:avLst/>
                  </a:prstGeom>
                  <a:noFill/>
                  <a:ln>
                    <a:noFill/>
                  </a:ln>
                </pic:spPr>
              </pic:pic>
            </a:graphicData>
          </a:graphic>
        </wp:anchor>
      </w:drawing>
    </w:r>
    <w:r>
      <w:rPr>
        <w:rFonts w:hint="eastAsia" w:ascii="宋体" w:hAnsi="宋体"/>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0DED69"/>
    <w:multiLevelType w:val="singleLevel"/>
    <w:tmpl w:val="850DED69"/>
    <w:lvl w:ilvl="0" w:tentative="0">
      <w:start w:val="1"/>
      <w:numFmt w:val="decimal"/>
      <w:suff w:val="nothing"/>
      <w:lvlText w:val="%1）"/>
      <w:lvlJc w:val="left"/>
    </w:lvl>
  </w:abstractNum>
  <w:abstractNum w:abstractNumId="1">
    <w:nsid w:val="AB631B1A"/>
    <w:multiLevelType w:val="singleLevel"/>
    <w:tmpl w:val="AB631B1A"/>
    <w:lvl w:ilvl="0" w:tentative="0">
      <w:start w:val="2"/>
      <w:numFmt w:val="decimal"/>
      <w:suff w:val="nothing"/>
      <w:lvlText w:val="（%1）"/>
      <w:lvlJc w:val="left"/>
    </w:lvl>
  </w:abstractNum>
  <w:abstractNum w:abstractNumId="2">
    <w:nsid w:val="0BE171F8"/>
    <w:multiLevelType w:val="multilevel"/>
    <w:tmpl w:val="0BE171F8"/>
    <w:lvl w:ilvl="0" w:tentative="0">
      <w:start w:val="1"/>
      <w:numFmt w:val="decimal"/>
      <w:suff w:val="nothing"/>
      <w:lvlText w:val="%1）"/>
      <w:lvlJc w:val="left"/>
      <w:pPr>
        <w:ind w:left="900" w:hanging="420"/>
      </w:pPr>
      <w:rPr>
        <w:rFonts w:hint="eastAsia" w:ascii="Times New Roman" w:hAnsi="Times New Roman" w:eastAsia="宋体" w:cs="Times New Roman"/>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3">
    <w:nsid w:val="197B2D60"/>
    <w:multiLevelType w:val="multilevel"/>
    <w:tmpl w:val="197B2D60"/>
    <w:lvl w:ilvl="0" w:tentative="0">
      <w:start w:val="1"/>
      <w:numFmt w:val="decimal"/>
      <w:suff w:val="nothing"/>
      <w:lvlText w:val="%1）"/>
      <w:lvlJc w:val="left"/>
      <w:pPr>
        <w:ind w:left="900" w:hanging="420"/>
      </w:pPr>
      <w:rPr>
        <w:rFonts w:hint="eastAsia" w:ascii="Times New Roman" w:hAnsi="Times New Roman" w:eastAsia="宋体" w:cs="Times New Roman"/>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4">
    <w:nsid w:val="274127D9"/>
    <w:multiLevelType w:val="multilevel"/>
    <w:tmpl w:val="274127D9"/>
    <w:lvl w:ilvl="0" w:tentative="0">
      <w:start w:val="1"/>
      <w:numFmt w:val="decimal"/>
      <w:pStyle w:val="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55B1937"/>
    <w:multiLevelType w:val="multilevel"/>
    <w:tmpl w:val="355B1937"/>
    <w:lvl w:ilvl="0" w:tentative="0">
      <w:start w:val="1"/>
      <w:numFmt w:val="decimal"/>
      <w:suff w:val="nothing"/>
      <w:lvlText w:val="%1）"/>
      <w:lvlJc w:val="left"/>
      <w:pPr>
        <w:ind w:left="900" w:hanging="420"/>
      </w:pPr>
      <w:rPr>
        <w:rFonts w:hint="eastAsia" w:ascii="Times New Roman" w:hAnsi="Times New Roman" w:eastAsia="宋体" w:cs="Times New Roman"/>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6">
    <w:nsid w:val="756D29A0"/>
    <w:multiLevelType w:val="multilevel"/>
    <w:tmpl w:val="756D29A0"/>
    <w:lvl w:ilvl="0" w:tentative="0">
      <w:start w:val="1"/>
      <w:numFmt w:val="decimal"/>
      <w:lvlText w:val="%1."/>
      <w:lvlJc w:val="left"/>
      <w:pPr>
        <w:tabs>
          <w:tab w:val="left" w:pos="425"/>
        </w:tabs>
        <w:ind w:left="425" w:hanging="425"/>
      </w:pPr>
      <w:rPr>
        <w:rFonts w:hint="default" w:ascii="Times New Roman" w:hAnsi="Times New Roman" w:eastAsia="宋体"/>
        <w:b w:val="0"/>
        <w:i w:val="0"/>
        <w:spacing w:val="-12"/>
        <w:sz w:val="28"/>
        <w:szCs w:val="44"/>
      </w:rPr>
    </w:lvl>
    <w:lvl w:ilvl="1" w:tentative="0">
      <w:start w:val="1"/>
      <w:numFmt w:val="decimal"/>
      <w:lvlText w:val="%1.%2."/>
      <w:lvlJc w:val="left"/>
      <w:pPr>
        <w:tabs>
          <w:tab w:val="left" w:pos="567"/>
        </w:tabs>
        <w:ind w:left="567" w:hanging="567"/>
      </w:pPr>
      <w:rPr>
        <w:rFonts w:hint="default" w:ascii="Times New Roman" w:hAnsi="Times New Roman" w:eastAsia="宋体"/>
        <w:shadow w:val="0"/>
        <w:emboss w:val="0"/>
        <w:imprint w:val="0"/>
        <w:sz w:val="24"/>
        <w:szCs w:val="24"/>
      </w:rPr>
    </w:lvl>
    <w:lvl w:ilvl="2" w:tentative="0">
      <w:start w:val="1"/>
      <w:numFmt w:val="decimal"/>
      <w:pStyle w:val="6"/>
      <w:lvlText w:val="%1.%2.%3."/>
      <w:lvlJc w:val="left"/>
      <w:pPr>
        <w:tabs>
          <w:tab w:val="left" w:pos="709"/>
        </w:tabs>
        <w:ind w:left="709" w:hanging="709"/>
      </w:pPr>
      <w:rPr>
        <w:rFonts w:ascii="黑体" w:hAnsi="黑体" w:eastAsia="黑体"/>
        <w:b w:val="0"/>
        <w:sz w:val="24"/>
        <w:szCs w:val="24"/>
      </w:rPr>
    </w:lvl>
    <w:lvl w:ilvl="3" w:tentative="0">
      <w:start w:val="1"/>
      <w:numFmt w:val="decimal"/>
      <w:lvlText w:val="%1.%2.%3.%4."/>
      <w:lvlJc w:val="left"/>
      <w:pPr>
        <w:tabs>
          <w:tab w:val="left" w:pos="851"/>
        </w:tabs>
        <w:ind w:left="851" w:hanging="851"/>
      </w:pPr>
      <w:rPr>
        <w:rFonts w:hint="eastAsia"/>
        <w:shadow w:val="0"/>
        <w:emboss w:val="0"/>
        <w:imprint w:val="0"/>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D0D363A"/>
    <w:multiLevelType w:val="multilevel"/>
    <w:tmpl w:val="7D0D363A"/>
    <w:lvl w:ilvl="0" w:tentative="0">
      <w:start w:val="1"/>
      <w:numFmt w:val="decimal"/>
      <w:pStyle w:val="5"/>
      <w:lvlText w:val="1.%1"/>
      <w:lvlJc w:val="left"/>
      <w:pPr>
        <w:ind w:left="70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42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7"/>
  </w:num>
  <w:num w:numId="3">
    <w:abstractNumId w:val="6"/>
  </w:num>
  <w:num w:numId="4">
    <w:abstractNumId w:val="2"/>
  </w:num>
  <w:num w:numId="5">
    <w:abstractNumId w:val="3"/>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ZlNDgwMmM5YTcxMmI2MTM4OTEzOWEwNDllYjczZTEifQ=="/>
  </w:docVars>
  <w:rsids>
    <w:rsidRoot w:val="00332E7D"/>
    <w:rsid w:val="000003C2"/>
    <w:rsid w:val="00002ACA"/>
    <w:rsid w:val="000039E3"/>
    <w:rsid w:val="00005321"/>
    <w:rsid w:val="000058A6"/>
    <w:rsid w:val="0000662C"/>
    <w:rsid w:val="0000665A"/>
    <w:rsid w:val="00007A3D"/>
    <w:rsid w:val="0001043E"/>
    <w:rsid w:val="00010FF3"/>
    <w:rsid w:val="000125F2"/>
    <w:rsid w:val="00012FAD"/>
    <w:rsid w:val="00024003"/>
    <w:rsid w:val="00026E42"/>
    <w:rsid w:val="000274A2"/>
    <w:rsid w:val="000321EF"/>
    <w:rsid w:val="00034994"/>
    <w:rsid w:val="00037AAA"/>
    <w:rsid w:val="000407F6"/>
    <w:rsid w:val="000440F0"/>
    <w:rsid w:val="000444EB"/>
    <w:rsid w:val="000462A8"/>
    <w:rsid w:val="00047BB6"/>
    <w:rsid w:val="00060AEE"/>
    <w:rsid w:val="0006251B"/>
    <w:rsid w:val="00063153"/>
    <w:rsid w:val="000639F7"/>
    <w:rsid w:val="00063D48"/>
    <w:rsid w:val="000648EA"/>
    <w:rsid w:val="00065BFA"/>
    <w:rsid w:val="00066813"/>
    <w:rsid w:val="00067DD7"/>
    <w:rsid w:val="00071077"/>
    <w:rsid w:val="000718D3"/>
    <w:rsid w:val="00071C37"/>
    <w:rsid w:val="00072DF5"/>
    <w:rsid w:val="00073533"/>
    <w:rsid w:val="00077FD1"/>
    <w:rsid w:val="00080186"/>
    <w:rsid w:val="00083FF3"/>
    <w:rsid w:val="00085032"/>
    <w:rsid w:val="000861B8"/>
    <w:rsid w:val="000864C8"/>
    <w:rsid w:val="00086F6E"/>
    <w:rsid w:val="00087BFC"/>
    <w:rsid w:val="00091E45"/>
    <w:rsid w:val="0009269B"/>
    <w:rsid w:val="000951C6"/>
    <w:rsid w:val="000A2915"/>
    <w:rsid w:val="000A53FE"/>
    <w:rsid w:val="000A55AB"/>
    <w:rsid w:val="000B0FAF"/>
    <w:rsid w:val="000B2294"/>
    <w:rsid w:val="000B533C"/>
    <w:rsid w:val="000B5A27"/>
    <w:rsid w:val="000B69CD"/>
    <w:rsid w:val="000C6FE3"/>
    <w:rsid w:val="000E5202"/>
    <w:rsid w:val="000E5A40"/>
    <w:rsid w:val="000E683B"/>
    <w:rsid w:val="000F231A"/>
    <w:rsid w:val="000F459A"/>
    <w:rsid w:val="000F49EC"/>
    <w:rsid w:val="000F51F5"/>
    <w:rsid w:val="000F53E2"/>
    <w:rsid w:val="000F623E"/>
    <w:rsid w:val="001045C6"/>
    <w:rsid w:val="00107A91"/>
    <w:rsid w:val="00112429"/>
    <w:rsid w:val="0011259C"/>
    <w:rsid w:val="00113329"/>
    <w:rsid w:val="00114853"/>
    <w:rsid w:val="001149A5"/>
    <w:rsid w:val="00123D8B"/>
    <w:rsid w:val="001245A7"/>
    <w:rsid w:val="00124703"/>
    <w:rsid w:val="001253B9"/>
    <w:rsid w:val="0012566B"/>
    <w:rsid w:val="00127616"/>
    <w:rsid w:val="00145606"/>
    <w:rsid w:val="00151270"/>
    <w:rsid w:val="0015718B"/>
    <w:rsid w:val="001573DD"/>
    <w:rsid w:val="00163A3E"/>
    <w:rsid w:val="001715B8"/>
    <w:rsid w:val="00171A91"/>
    <w:rsid w:val="00172011"/>
    <w:rsid w:val="0017311A"/>
    <w:rsid w:val="00173554"/>
    <w:rsid w:val="00173DBE"/>
    <w:rsid w:val="00181442"/>
    <w:rsid w:val="00190697"/>
    <w:rsid w:val="00191556"/>
    <w:rsid w:val="001925FC"/>
    <w:rsid w:val="00194121"/>
    <w:rsid w:val="001A1880"/>
    <w:rsid w:val="001A37E9"/>
    <w:rsid w:val="001A38C5"/>
    <w:rsid w:val="001A3BAA"/>
    <w:rsid w:val="001A47A2"/>
    <w:rsid w:val="001A50A4"/>
    <w:rsid w:val="001A5BF6"/>
    <w:rsid w:val="001A5C7C"/>
    <w:rsid w:val="001B2B77"/>
    <w:rsid w:val="001B45AD"/>
    <w:rsid w:val="001B5699"/>
    <w:rsid w:val="001B6E7A"/>
    <w:rsid w:val="001B7675"/>
    <w:rsid w:val="001C0B9F"/>
    <w:rsid w:val="001C68DF"/>
    <w:rsid w:val="001C6D84"/>
    <w:rsid w:val="001D16AE"/>
    <w:rsid w:val="001D2CFC"/>
    <w:rsid w:val="001E1C4D"/>
    <w:rsid w:val="001F57B5"/>
    <w:rsid w:val="001F6C67"/>
    <w:rsid w:val="00202CD3"/>
    <w:rsid w:val="00203AD3"/>
    <w:rsid w:val="00203C0E"/>
    <w:rsid w:val="00206228"/>
    <w:rsid w:val="00206801"/>
    <w:rsid w:val="0020735E"/>
    <w:rsid w:val="00220064"/>
    <w:rsid w:val="002215CE"/>
    <w:rsid w:val="00225999"/>
    <w:rsid w:val="00230E4F"/>
    <w:rsid w:val="00231509"/>
    <w:rsid w:val="0023305D"/>
    <w:rsid w:val="00234D4F"/>
    <w:rsid w:val="00240E2D"/>
    <w:rsid w:val="002463E5"/>
    <w:rsid w:val="002507E2"/>
    <w:rsid w:val="00251B6D"/>
    <w:rsid w:val="00253C80"/>
    <w:rsid w:val="00253D91"/>
    <w:rsid w:val="002563B2"/>
    <w:rsid w:val="002601FB"/>
    <w:rsid w:val="00260A44"/>
    <w:rsid w:val="00265441"/>
    <w:rsid w:val="002714E7"/>
    <w:rsid w:val="00271F8B"/>
    <w:rsid w:val="002767B3"/>
    <w:rsid w:val="00276F02"/>
    <w:rsid w:val="002802D7"/>
    <w:rsid w:val="00292AA5"/>
    <w:rsid w:val="00293C41"/>
    <w:rsid w:val="00294995"/>
    <w:rsid w:val="002965B7"/>
    <w:rsid w:val="002A0DD4"/>
    <w:rsid w:val="002A48CD"/>
    <w:rsid w:val="002A6C98"/>
    <w:rsid w:val="002B109B"/>
    <w:rsid w:val="002B5F3E"/>
    <w:rsid w:val="002B62C3"/>
    <w:rsid w:val="002B64F1"/>
    <w:rsid w:val="002C06C7"/>
    <w:rsid w:val="002D028D"/>
    <w:rsid w:val="002D13DA"/>
    <w:rsid w:val="002E1340"/>
    <w:rsid w:val="002E225B"/>
    <w:rsid w:val="002E2DDD"/>
    <w:rsid w:val="002E4671"/>
    <w:rsid w:val="002F5DEE"/>
    <w:rsid w:val="002F69B0"/>
    <w:rsid w:val="00305504"/>
    <w:rsid w:val="003062F1"/>
    <w:rsid w:val="00306861"/>
    <w:rsid w:val="00306E67"/>
    <w:rsid w:val="00321F57"/>
    <w:rsid w:val="00323CFA"/>
    <w:rsid w:val="003240A0"/>
    <w:rsid w:val="00325A2C"/>
    <w:rsid w:val="00332D33"/>
    <w:rsid w:val="00332E7D"/>
    <w:rsid w:val="00342041"/>
    <w:rsid w:val="0034618B"/>
    <w:rsid w:val="00346642"/>
    <w:rsid w:val="00350E3C"/>
    <w:rsid w:val="00351495"/>
    <w:rsid w:val="00352A87"/>
    <w:rsid w:val="00353B22"/>
    <w:rsid w:val="0035571B"/>
    <w:rsid w:val="00361D8E"/>
    <w:rsid w:val="00362C5D"/>
    <w:rsid w:val="00363FA4"/>
    <w:rsid w:val="0036489D"/>
    <w:rsid w:val="003648B4"/>
    <w:rsid w:val="00366678"/>
    <w:rsid w:val="00367AE0"/>
    <w:rsid w:val="00367F39"/>
    <w:rsid w:val="0038456F"/>
    <w:rsid w:val="00384B8F"/>
    <w:rsid w:val="00385EDF"/>
    <w:rsid w:val="003871C0"/>
    <w:rsid w:val="003907A0"/>
    <w:rsid w:val="00396352"/>
    <w:rsid w:val="003968FD"/>
    <w:rsid w:val="0039777F"/>
    <w:rsid w:val="003A166E"/>
    <w:rsid w:val="003A26A2"/>
    <w:rsid w:val="003A37C5"/>
    <w:rsid w:val="003A510B"/>
    <w:rsid w:val="003B0CD4"/>
    <w:rsid w:val="003B0EF3"/>
    <w:rsid w:val="003B4C1D"/>
    <w:rsid w:val="003B5809"/>
    <w:rsid w:val="003B5FC6"/>
    <w:rsid w:val="003B71DE"/>
    <w:rsid w:val="003B782D"/>
    <w:rsid w:val="003C20DA"/>
    <w:rsid w:val="003C2941"/>
    <w:rsid w:val="003C7808"/>
    <w:rsid w:val="003D04CB"/>
    <w:rsid w:val="003D1DE7"/>
    <w:rsid w:val="003D60E2"/>
    <w:rsid w:val="003D7FEF"/>
    <w:rsid w:val="003E0ED8"/>
    <w:rsid w:val="003E1423"/>
    <w:rsid w:val="003E3E07"/>
    <w:rsid w:val="003E6DD1"/>
    <w:rsid w:val="003E7468"/>
    <w:rsid w:val="003E7E35"/>
    <w:rsid w:val="003F2212"/>
    <w:rsid w:val="003F2E71"/>
    <w:rsid w:val="0040363D"/>
    <w:rsid w:val="00407B15"/>
    <w:rsid w:val="00412C36"/>
    <w:rsid w:val="00416743"/>
    <w:rsid w:val="00421B77"/>
    <w:rsid w:val="00421D8A"/>
    <w:rsid w:val="00425651"/>
    <w:rsid w:val="00431DBE"/>
    <w:rsid w:val="0043445C"/>
    <w:rsid w:val="00434ED0"/>
    <w:rsid w:val="0044135F"/>
    <w:rsid w:val="00445020"/>
    <w:rsid w:val="0046715F"/>
    <w:rsid w:val="00470564"/>
    <w:rsid w:val="00473497"/>
    <w:rsid w:val="0047466E"/>
    <w:rsid w:val="00474C2C"/>
    <w:rsid w:val="0048176A"/>
    <w:rsid w:val="004838B5"/>
    <w:rsid w:val="00485BAA"/>
    <w:rsid w:val="0048725D"/>
    <w:rsid w:val="004873ED"/>
    <w:rsid w:val="00490EC3"/>
    <w:rsid w:val="004918D7"/>
    <w:rsid w:val="00493D21"/>
    <w:rsid w:val="004A1677"/>
    <w:rsid w:val="004A2BD2"/>
    <w:rsid w:val="004A4CF3"/>
    <w:rsid w:val="004B07E2"/>
    <w:rsid w:val="004B4515"/>
    <w:rsid w:val="004B51BE"/>
    <w:rsid w:val="004B6980"/>
    <w:rsid w:val="004C2198"/>
    <w:rsid w:val="004C66C5"/>
    <w:rsid w:val="004D060E"/>
    <w:rsid w:val="004D1520"/>
    <w:rsid w:val="004D1770"/>
    <w:rsid w:val="004D4D05"/>
    <w:rsid w:val="004E2AEC"/>
    <w:rsid w:val="004F5496"/>
    <w:rsid w:val="004F6540"/>
    <w:rsid w:val="0050402C"/>
    <w:rsid w:val="0050626C"/>
    <w:rsid w:val="00507B09"/>
    <w:rsid w:val="005153D5"/>
    <w:rsid w:val="005166F8"/>
    <w:rsid w:val="005217C0"/>
    <w:rsid w:val="0052343B"/>
    <w:rsid w:val="00525258"/>
    <w:rsid w:val="005309D8"/>
    <w:rsid w:val="00531AD4"/>
    <w:rsid w:val="00533558"/>
    <w:rsid w:val="00534BED"/>
    <w:rsid w:val="00543D50"/>
    <w:rsid w:val="00544DA8"/>
    <w:rsid w:val="00552B62"/>
    <w:rsid w:val="00553756"/>
    <w:rsid w:val="0055661B"/>
    <w:rsid w:val="00562E4C"/>
    <w:rsid w:val="00566F01"/>
    <w:rsid w:val="0057562C"/>
    <w:rsid w:val="00585082"/>
    <w:rsid w:val="0059150C"/>
    <w:rsid w:val="00597430"/>
    <w:rsid w:val="005A2C4C"/>
    <w:rsid w:val="005A44BC"/>
    <w:rsid w:val="005B2053"/>
    <w:rsid w:val="005B3427"/>
    <w:rsid w:val="005B3D6B"/>
    <w:rsid w:val="005B591B"/>
    <w:rsid w:val="005B5AF6"/>
    <w:rsid w:val="005B73DE"/>
    <w:rsid w:val="005D371B"/>
    <w:rsid w:val="005E48B3"/>
    <w:rsid w:val="005E4C05"/>
    <w:rsid w:val="005E61C8"/>
    <w:rsid w:val="005E6D9E"/>
    <w:rsid w:val="005F1751"/>
    <w:rsid w:val="005F24C6"/>
    <w:rsid w:val="005F30FF"/>
    <w:rsid w:val="005F3123"/>
    <w:rsid w:val="005F3464"/>
    <w:rsid w:val="005F5ED7"/>
    <w:rsid w:val="00600B0C"/>
    <w:rsid w:val="006017F6"/>
    <w:rsid w:val="00603D54"/>
    <w:rsid w:val="00611CFC"/>
    <w:rsid w:val="00614C49"/>
    <w:rsid w:val="00615158"/>
    <w:rsid w:val="00615A5A"/>
    <w:rsid w:val="00616FD3"/>
    <w:rsid w:val="00620F77"/>
    <w:rsid w:val="00622D24"/>
    <w:rsid w:val="006230C8"/>
    <w:rsid w:val="00624904"/>
    <w:rsid w:val="00627D76"/>
    <w:rsid w:val="00630396"/>
    <w:rsid w:val="00633ED2"/>
    <w:rsid w:val="00634CF9"/>
    <w:rsid w:val="006353F0"/>
    <w:rsid w:val="00636BD6"/>
    <w:rsid w:val="006373C7"/>
    <w:rsid w:val="00637D16"/>
    <w:rsid w:val="00640CA4"/>
    <w:rsid w:val="0064250B"/>
    <w:rsid w:val="006441F1"/>
    <w:rsid w:val="00644618"/>
    <w:rsid w:val="00644DD7"/>
    <w:rsid w:val="006451FB"/>
    <w:rsid w:val="00651017"/>
    <w:rsid w:val="00662823"/>
    <w:rsid w:val="0066384A"/>
    <w:rsid w:val="006727E4"/>
    <w:rsid w:val="0067440C"/>
    <w:rsid w:val="006745D0"/>
    <w:rsid w:val="00675AA9"/>
    <w:rsid w:val="0067644B"/>
    <w:rsid w:val="0067753F"/>
    <w:rsid w:val="00677CD2"/>
    <w:rsid w:val="0068735D"/>
    <w:rsid w:val="00690C07"/>
    <w:rsid w:val="006910C5"/>
    <w:rsid w:val="00693513"/>
    <w:rsid w:val="006937E4"/>
    <w:rsid w:val="00693C25"/>
    <w:rsid w:val="006A0E90"/>
    <w:rsid w:val="006B3B56"/>
    <w:rsid w:val="006B58DB"/>
    <w:rsid w:val="006C19D3"/>
    <w:rsid w:val="006C6E25"/>
    <w:rsid w:val="006D46C2"/>
    <w:rsid w:val="006D4AA5"/>
    <w:rsid w:val="006D4E8A"/>
    <w:rsid w:val="006D6277"/>
    <w:rsid w:val="006D6535"/>
    <w:rsid w:val="006D6E66"/>
    <w:rsid w:val="006E2FF3"/>
    <w:rsid w:val="006E3250"/>
    <w:rsid w:val="006F1EF7"/>
    <w:rsid w:val="006F25DF"/>
    <w:rsid w:val="006F5A4A"/>
    <w:rsid w:val="006F79ED"/>
    <w:rsid w:val="00700215"/>
    <w:rsid w:val="00701EA6"/>
    <w:rsid w:val="00704C3E"/>
    <w:rsid w:val="007056FF"/>
    <w:rsid w:val="00705EC8"/>
    <w:rsid w:val="00711674"/>
    <w:rsid w:val="00714F48"/>
    <w:rsid w:val="00716260"/>
    <w:rsid w:val="00716712"/>
    <w:rsid w:val="00716F79"/>
    <w:rsid w:val="00724CFF"/>
    <w:rsid w:val="00733449"/>
    <w:rsid w:val="0073776E"/>
    <w:rsid w:val="00741F50"/>
    <w:rsid w:val="00744061"/>
    <w:rsid w:val="00744363"/>
    <w:rsid w:val="0074453D"/>
    <w:rsid w:val="0074464D"/>
    <w:rsid w:val="007458CE"/>
    <w:rsid w:val="00746EF0"/>
    <w:rsid w:val="00753241"/>
    <w:rsid w:val="007635BD"/>
    <w:rsid w:val="0076368D"/>
    <w:rsid w:val="0076522E"/>
    <w:rsid w:val="00766703"/>
    <w:rsid w:val="007812B5"/>
    <w:rsid w:val="007828BB"/>
    <w:rsid w:val="00797C49"/>
    <w:rsid w:val="007A5472"/>
    <w:rsid w:val="007A59BB"/>
    <w:rsid w:val="007B154C"/>
    <w:rsid w:val="007B1593"/>
    <w:rsid w:val="007B2498"/>
    <w:rsid w:val="007B5C0A"/>
    <w:rsid w:val="007C1F64"/>
    <w:rsid w:val="007C3998"/>
    <w:rsid w:val="007C5BF7"/>
    <w:rsid w:val="007C6691"/>
    <w:rsid w:val="007D03EF"/>
    <w:rsid w:val="007D4A82"/>
    <w:rsid w:val="007D509E"/>
    <w:rsid w:val="007E0A85"/>
    <w:rsid w:val="007E42A0"/>
    <w:rsid w:val="007E468E"/>
    <w:rsid w:val="007E7A1F"/>
    <w:rsid w:val="007F23B9"/>
    <w:rsid w:val="00801EB4"/>
    <w:rsid w:val="00802AE4"/>
    <w:rsid w:val="00804CDE"/>
    <w:rsid w:val="00804D51"/>
    <w:rsid w:val="00813863"/>
    <w:rsid w:val="00814440"/>
    <w:rsid w:val="008149DB"/>
    <w:rsid w:val="00816A62"/>
    <w:rsid w:val="008207D6"/>
    <w:rsid w:val="008210D1"/>
    <w:rsid w:val="008259B0"/>
    <w:rsid w:val="00826B34"/>
    <w:rsid w:val="00830F7D"/>
    <w:rsid w:val="00832B9B"/>
    <w:rsid w:val="00840742"/>
    <w:rsid w:val="008407E5"/>
    <w:rsid w:val="008505FC"/>
    <w:rsid w:val="00852403"/>
    <w:rsid w:val="008555A2"/>
    <w:rsid w:val="008567AA"/>
    <w:rsid w:val="00857EFC"/>
    <w:rsid w:val="008603BF"/>
    <w:rsid w:val="00860A56"/>
    <w:rsid w:val="00866EEF"/>
    <w:rsid w:val="0087189B"/>
    <w:rsid w:val="008746BB"/>
    <w:rsid w:val="0087614D"/>
    <w:rsid w:val="0089098E"/>
    <w:rsid w:val="00896D0B"/>
    <w:rsid w:val="008A1D5D"/>
    <w:rsid w:val="008A2B72"/>
    <w:rsid w:val="008A2E1C"/>
    <w:rsid w:val="008A6C9C"/>
    <w:rsid w:val="008A6FC0"/>
    <w:rsid w:val="008B0C83"/>
    <w:rsid w:val="008B43CB"/>
    <w:rsid w:val="008B5DF2"/>
    <w:rsid w:val="008B6A03"/>
    <w:rsid w:val="008B71BC"/>
    <w:rsid w:val="008C00DC"/>
    <w:rsid w:val="008C27EE"/>
    <w:rsid w:val="008D30F1"/>
    <w:rsid w:val="008D3454"/>
    <w:rsid w:val="008D73A2"/>
    <w:rsid w:val="008E12F2"/>
    <w:rsid w:val="008E3D34"/>
    <w:rsid w:val="008E48CB"/>
    <w:rsid w:val="008E4DBB"/>
    <w:rsid w:val="008F0497"/>
    <w:rsid w:val="008F46B0"/>
    <w:rsid w:val="008F6003"/>
    <w:rsid w:val="0090005C"/>
    <w:rsid w:val="00903496"/>
    <w:rsid w:val="009053EF"/>
    <w:rsid w:val="009055DA"/>
    <w:rsid w:val="00907D0A"/>
    <w:rsid w:val="009148C0"/>
    <w:rsid w:val="0091580C"/>
    <w:rsid w:val="00917605"/>
    <w:rsid w:val="00926E6F"/>
    <w:rsid w:val="009278D8"/>
    <w:rsid w:val="00930E73"/>
    <w:rsid w:val="00934C2F"/>
    <w:rsid w:val="00935625"/>
    <w:rsid w:val="00944D7C"/>
    <w:rsid w:val="009450D9"/>
    <w:rsid w:val="00953C75"/>
    <w:rsid w:val="00957D93"/>
    <w:rsid w:val="0096159A"/>
    <w:rsid w:val="009645C1"/>
    <w:rsid w:val="0096567B"/>
    <w:rsid w:val="00972EAA"/>
    <w:rsid w:val="009745B5"/>
    <w:rsid w:val="00974A56"/>
    <w:rsid w:val="009757F5"/>
    <w:rsid w:val="009803BC"/>
    <w:rsid w:val="009815C3"/>
    <w:rsid w:val="009829F9"/>
    <w:rsid w:val="00985036"/>
    <w:rsid w:val="0098557C"/>
    <w:rsid w:val="009857B0"/>
    <w:rsid w:val="00986EC0"/>
    <w:rsid w:val="009944BE"/>
    <w:rsid w:val="00995F7F"/>
    <w:rsid w:val="009965F2"/>
    <w:rsid w:val="009973EF"/>
    <w:rsid w:val="009A08B0"/>
    <w:rsid w:val="009A1FD7"/>
    <w:rsid w:val="009A2E43"/>
    <w:rsid w:val="009A4EB4"/>
    <w:rsid w:val="009B5FC5"/>
    <w:rsid w:val="009B6277"/>
    <w:rsid w:val="009C66D1"/>
    <w:rsid w:val="009D064C"/>
    <w:rsid w:val="009D1862"/>
    <w:rsid w:val="009D4204"/>
    <w:rsid w:val="009D70F0"/>
    <w:rsid w:val="009E6678"/>
    <w:rsid w:val="009F027F"/>
    <w:rsid w:val="009F067A"/>
    <w:rsid w:val="009F0D8F"/>
    <w:rsid w:val="009F166D"/>
    <w:rsid w:val="009F460D"/>
    <w:rsid w:val="009F58D9"/>
    <w:rsid w:val="00A00254"/>
    <w:rsid w:val="00A01524"/>
    <w:rsid w:val="00A1544C"/>
    <w:rsid w:val="00A16558"/>
    <w:rsid w:val="00A16573"/>
    <w:rsid w:val="00A22637"/>
    <w:rsid w:val="00A22AA6"/>
    <w:rsid w:val="00A26FBA"/>
    <w:rsid w:val="00A27B81"/>
    <w:rsid w:val="00A301F3"/>
    <w:rsid w:val="00A314F9"/>
    <w:rsid w:val="00A3606A"/>
    <w:rsid w:val="00A4015E"/>
    <w:rsid w:val="00A42524"/>
    <w:rsid w:val="00A4278F"/>
    <w:rsid w:val="00A4589E"/>
    <w:rsid w:val="00A463B4"/>
    <w:rsid w:val="00A46F6B"/>
    <w:rsid w:val="00A47710"/>
    <w:rsid w:val="00A50ED8"/>
    <w:rsid w:val="00A63824"/>
    <w:rsid w:val="00A63E15"/>
    <w:rsid w:val="00A64112"/>
    <w:rsid w:val="00A679CD"/>
    <w:rsid w:val="00A7020B"/>
    <w:rsid w:val="00A72124"/>
    <w:rsid w:val="00A73748"/>
    <w:rsid w:val="00A77D8C"/>
    <w:rsid w:val="00A85FF0"/>
    <w:rsid w:val="00A86BD4"/>
    <w:rsid w:val="00A86C7A"/>
    <w:rsid w:val="00A960B0"/>
    <w:rsid w:val="00A97C90"/>
    <w:rsid w:val="00AA2899"/>
    <w:rsid w:val="00AA2B9D"/>
    <w:rsid w:val="00AB52EA"/>
    <w:rsid w:val="00AB5672"/>
    <w:rsid w:val="00AC018E"/>
    <w:rsid w:val="00AC07FE"/>
    <w:rsid w:val="00AC1F00"/>
    <w:rsid w:val="00AC2D91"/>
    <w:rsid w:val="00AD3E80"/>
    <w:rsid w:val="00AD5811"/>
    <w:rsid w:val="00AE0FDF"/>
    <w:rsid w:val="00AE7979"/>
    <w:rsid w:val="00AF4A88"/>
    <w:rsid w:val="00AF5DE9"/>
    <w:rsid w:val="00AF6A3E"/>
    <w:rsid w:val="00AF73F2"/>
    <w:rsid w:val="00B00A54"/>
    <w:rsid w:val="00B01C6D"/>
    <w:rsid w:val="00B044F2"/>
    <w:rsid w:val="00B05A14"/>
    <w:rsid w:val="00B14E4F"/>
    <w:rsid w:val="00B16E62"/>
    <w:rsid w:val="00B172D8"/>
    <w:rsid w:val="00B176F4"/>
    <w:rsid w:val="00B337AB"/>
    <w:rsid w:val="00B44CE2"/>
    <w:rsid w:val="00B46D40"/>
    <w:rsid w:val="00B545C1"/>
    <w:rsid w:val="00B55B61"/>
    <w:rsid w:val="00B6025A"/>
    <w:rsid w:val="00B62228"/>
    <w:rsid w:val="00B67F41"/>
    <w:rsid w:val="00B71FD0"/>
    <w:rsid w:val="00B80095"/>
    <w:rsid w:val="00B8085A"/>
    <w:rsid w:val="00B811EE"/>
    <w:rsid w:val="00B90FA8"/>
    <w:rsid w:val="00B918D6"/>
    <w:rsid w:val="00B91F25"/>
    <w:rsid w:val="00B968C2"/>
    <w:rsid w:val="00B96946"/>
    <w:rsid w:val="00B96E48"/>
    <w:rsid w:val="00BA206B"/>
    <w:rsid w:val="00BB4516"/>
    <w:rsid w:val="00BC56AC"/>
    <w:rsid w:val="00BD5B9A"/>
    <w:rsid w:val="00BE30CC"/>
    <w:rsid w:val="00BE4A71"/>
    <w:rsid w:val="00BF03B6"/>
    <w:rsid w:val="00BF1C4D"/>
    <w:rsid w:val="00BF4C49"/>
    <w:rsid w:val="00BF7B00"/>
    <w:rsid w:val="00C00DFC"/>
    <w:rsid w:val="00C02B4C"/>
    <w:rsid w:val="00C03F1F"/>
    <w:rsid w:val="00C13C33"/>
    <w:rsid w:val="00C20594"/>
    <w:rsid w:val="00C20D30"/>
    <w:rsid w:val="00C21B80"/>
    <w:rsid w:val="00C27064"/>
    <w:rsid w:val="00C326B2"/>
    <w:rsid w:val="00C3373C"/>
    <w:rsid w:val="00C33900"/>
    <w:rsid w:val="00C37DFE"/>
    <w:rsid w:val="00C402FA"/>
    <w:rsid w:val="00C44A6A"/>
    <w:rsid w:val="00C45651"/>
    <w:rsid w:val="00C50D85"/>
    <w:rsid w:val="00C52A31"/>
    <w:rsid w:val="00C53970"/>
    <w:rsid w:val="00C54965"/>
    <w:rsid w:val="00C54C7B"/>
    <w:rsid w:val="00C62997"/>
    <w:rsid w:val="00C71E3C"/>
    <w:rsid w:val="00C72BBC"/>
    <w:rsid w:val="00C72C00"/>
    <w:rsid w:val="00C75C38"/>
    <w:rsid w:val="00C85DAF"/>
    <w:rsid w:val="00C960FE"/>
    <w:rsid w:val="00CA463C"/>
    <w:rsid w:val="00CA7583"/>
    <w:rsid w:val="00CA75FA"/>
    <w:rsid w:val="00CB4584"/>
    <w:rsid w:val="00CB45C0"/>
    <w:rsid w:val="00CB6DB9"/>
    <w:rsid w:val="00CB73C6"/>
    <w:rsid w:val="00CC1495"/>
    <w:rsid w:val="00CC4076"/>
    <w:rsid w:val="00CC4080"/>
    <w:rsid w:val="00CC5289"/>
    <w:rsid w:val="00CD20B5"/>
    <w:rsid w:val="00CD28D6"/>
    <w:rsid w:val="00CD6F00"/>
    <w:rsid w:val="00CE2611"/>
    <w:rsid w:val="00CE6C2B"/>
    <w:rsid w:val="00CF36B1"/>
    <w:rsid w:val="00D01CC8"/>
    <w:rsid w:val="00D02791"/>
    <w:rsid w:val="00D04FD5"/>
    <w:rsid w:val="00D05E71"/>
    <w:rsid w:val="00D06870"/>
    <w:rsid w:val="00D15AB5"/>
    <w:rsid w:val="00D172EB"/>
    <w:rsid w:val="00D21898"/>
    <w:rsid w:val="00D21B43"/>
    <w:rsid w:val="00D24BAE"/>
    <w:rsid w:val="00D25E91"/>
    <w:rsid w:val="00D339A3"/>
    <w:rsid w:val="00D33A69"/>
    <w:rsid w:val="00D347CD"/>
    <w:rsid w:val="00D400BB"/>
    <w:rsid w:val="00D40D0F"/>
    <w:rsid w:val="00D47EEE"/>
    <w:rsid w:val="00D60247"/>
    <w:rsid w:val="00D609B0"/>
    <w:rsid w:val="00D62735"/>
    <w:rsid w:val="00D65D70"/>
    <w:rsid w:val="00D70AE1"/>
    <w:rsid w:val="00D73C43"/>
    <w:rsid w:val="00D815A1"/>
    <w:rsid w:val="00D8457A"/>
    <w:rsid w:val="00D876DC"/>
    <w:rsid w:val="00D90FC3"/>
    <w:rsid w:val="00D91820"/>
    <w:rsid w:val="00D92594"/>
    <w:rsid w:val="00DA00A1"/>
    <w:rsid w:val="00DA45DA"/>
    <w:rsid w:val="00DB5E7B"/>
    <w:rsid w:val="00DB7682"/>
    <w:rsid w:val="00DC00F7"/>
    <w:rsid w:val="00DC0544"/>
    <w:rsid w:val="00DC1DD9"/>
    <w:rsid w:val="00DC2B3B"/>
    <w:rsid w:val="00DC3A38"/>
    <w:rsid w:val="00DC6A9A"/>
    <w:rsid w:val="00DD0220"/>
    <w:rsid w:val="00DD19A4"/>
    <w:rsid w:val="00DD3D4C"/>
    <w:rsid w:val="00DD470F"/>
    <w:rsid w:val="00DE27FF"/>
    <w:rsid w:val="00DE565C"/>
    <w:rsid w:val="00DE68C0"/>
    <w:rsid w:val="00DE6F30"/>
    <w:rsid w:val="00DE7D3B"/>
    <w:rsid w:val="00DF331A"/>
    <w:rsid w:val="00DF47E5"/>
    <w:rsid w:val="00DF713E"/>
    <w:rsid w:val="00E0294B"/>
    <w:rsid w:val="00E06304"/>
    <w:rsid w:val="00E07FE2"/>
    <w:rsid w:val="00E15D97"/>
    <w:rsid w:val="00E1734F"/>
    <w:rsid w:val="00E24817"/>
    <w:rsid w:val="00E26FB7"/>
    <w:rsid w:val="00E331E5"/>
    <w:rsid w:val="00E5264C"/>
    <w:rsid w:val="00E547E7"/>
    <w:rsid w:val="00E55670"/>
    <w:rsid w:val="00E57610"/>
    <w:rsid w:val="00E60A9E"/>
    <w:rsid w:val="00E65794"/>
    <w:rsid w:val="00E662F2"/>
    <w:rsid w:val="00E719CA"/>
    <w:rsid w:val="00E83F03"/>
    <w:rsid w:val="00E903D3"/>
    <w:rsid w:val="00E94AD3"/>
    <w:rsid w:val="00E9557C"/>
    <w:rsid w:val="00EA0C2B"/>
    <w:rsid w:val="00EA2B73"/>
    <w:rsid w:val="00EA46C1"/>
    <w:rsid w:val="00EA486E"/>
    <w:rsid w:val="00EA4C8D"/>
    <w:rsid w:val="00EB0BC6"/>
    <w:rsid w:val="00EB4340"/>
    <w:rsid w:val="00EC3741"/>
    <w:rsid w:val="00EC4C58"/>
    <w:rsid w:val="00EC76D2"/>
    <w:rsid w:val="00ED02A8"/>
    <w:rsid w:val="00ED5B59"/>
    <w:rsid w:val="00ED6F32"/>
    <w:rsid w:val="00EF10D2"/>
    <w:rsid w:val="00F034F6"/>
    <w:rsid w:val="00F053A1"/>
    <w:rsid w:val="00F10911"/>
    <w:rsid w:val="00F14653"/>
    <w:rsid w:val="00F1494C"/>
    <w:rsid w:val="00F15C1B"/>
    <w:rsid w:val="00F15D16"/>
    <w:rsid w:val="00F20B4D"/>
    <w:rsid w:val="00F23048"/>
    <w:rsid w:val="00F23594"/>
    <w:rsid w:val="00F278D5"/>
    <w:rsid w:val="00F30B1F"/>
    <w:rsid w:val="00F32ECF"/>
    <w:rsid w:val="00F34833"/>
    <w:rsid w:val="00F34A30"/>
    <w:rsid w:val="00F437FB"/>
    <w:rsid w:val="00F47477"/>
    <w:rsid w:val="00F507C3"/>
    <w:rsid w:val="00F509BD"/>
    <w:rsid w:val="00F52338"/>
    <w:rsid w:val="00F57DAF"/>
    <w:rsid w:val="00F645AC"/>
    <w:rsid w:val="00F6730F"/>
    <w:rsid w:val="00F7224E"/>
    <w:rsid w:val="00F72A4E"/>
    <w:rsid w:val="00F72CBF"/>
    <w:rsid w:val="00F72D66"/>
    <w:rsid w:val="00F74C48"/>
    <w:rsid w:val="00F74D3E"/>
    <w:rsid w:val="00F8319A"/>
    <w:rsid w:val="00F8529E"/>
    <w:rsid w:val="00F8580F"/>
    <w:rsid w:val="00F966D6"/>
    <w:rsid w:val="00F96C6E"/>
    <w:rsid w:val="00FA102F"/>
    <w:rsid w:val="00FA1974"/>
    <w:rsid w:val="00FA2D6C"/>
    <w:rsid w:val="00FA737B"/>
    <w:rsid w:val="00FB5361"/>
    <w:rsid w:val="00FB561B"/>
    <w:rsid w:val="00FC0F96"/>
    <w:rsid w:val="00FC2B80"/>
    <w:rsid w:val="00FD01D9"/>
    <w:rsid w:val="00FD6246"/>
    <w:rsid w:val="00FE05BD"/>
    <w:rsid w:val="00FE1275"/>
    <w:rsid w:val="00FE26CC"/>
    <w:rsid w:val="00FE4C89"/>
    <w:rsid w:val="00FE5FB2"/>
    <w:rsid w:val="00FE619B"/>
    <w:rsid w:val="00FE69CD"/>
    <w:rsid w:val="00FF1F14"/>
    <w:rsid w:val="00FF7D16"/>
    <w:rsid w:val="010919F5"/>
    <w:rsid w:val="011B7555"/>
    <w:rsid w:val="0250441F"/>
    <w:rsid w:val="02A429BD"/>
    <w:rsid w:val="03025A68"/>
    <w:rsid w:val="03374DDB"/>
    <w:rsid w:val="033C6F8A"/>
    <w:rsid w:val="03720B0D"/>
    <w:rsid w:val="044C15D9"/>
    <w:rsid w:val="0709506B"/>
    <w:rsid w:val="07452929"/>
    <w:rsid w:val="075F01A6"/>
    <w:rsid w:val="0879136E"/>
    <w:rsid w:val="08EF1CE5"/>
    <w:rsid w:val="09DE2292"/>
    <w:rsid w:val="0B434BB3"/>
    <w:rsid w:val="0B6128A8"/>
    <w:rsid w:val="0BBD560A"/>
    <w:rsid w:val="0DE64D9F"/>
    <w:rsid w:val="0F4A4B27"/>
    <w:rsid w:val="11243947"/>
    <w:rsid w:val="11F56D91"/>
    <w:rsid w:val="14DB5E25"/>
    <w:rsid w:val="16B72026"/>
    <w:rsid w:val="175D32CE"/>
    <w:rsid w:val="198A67BF"/>
    <w:rsid w:val="1A82343B"/>
    <w:rsid w:val="1C670F96"/>
    <w:rsid w:val="1E4F5A7B"/>
    <w:rsid w:val="1EA6465F"/>
    <w:rsid w:val="1EAD4FD5"/>
    <w:rsid w:val="1FB06514"/>
    <w:rsid w:val="204C6B07"/>
    <w:rsid w:val="205729C5"/>
    <w:rsid w:val="20AD6C8A"/>
    <w:rsid w:val="211D772F"/>
    <w:rsid w:val="24C11434"/>
    <w:rsid w:val="24F965E9"/>
    <w:rsid w:val="26036B82"/>
    <w:rsid w:val="266A2512"/>
    <w:rsid w:val="27053663"/>
    <w:rsid w:val="27C76D98"/>
    <w:rsid w:val="280B3C91"/>
    <w:rsid w:val="294C32E2"/>
    <w:rsid w:val="2A6C170A"/>
    <w:rsid w:val="2AFB4A96"/>
    <w:rsid w:val="2C596778"/>
    <w:rsid w:val="2CDD19C8"/>
    <w:rsid w:val="2F0A4D44"/>
    <w:rsid w:val="2F3735EB"/>
    <w:rsid w:val="30141D09"/>
    <w:rsid w:val="309C6FBE"/>
    <w:rsid w:val="315C18D8"/>
    <w:rsid w:val="32475527"/>
    <w:rsid w:val="33B04E01"/>
    <w:rsid w:val="36832CE1"/>
    <w:rsid w:val="39013FD4"/>
    <w:rsid w:val="390869A3"/>
    <w:rsid w:val="3998178B"/>
    <w:rsid w:val="3A091644"/>
    <w:rsid w:val="3A141FE9"/>
    <w:rsid w:val="3B0F7676"/>
    <w:rsid w:val="3B4C2CCE"/>
    <w:rsid w:val="3D223FFB"/>
    <w:rsid w:val="3D792650"/>
    <w:rsid w:val="3FD61700"/>
    <w:rsid w:val="400D77B1"/>
    <w:rsid w:val="402F5018"/>
    <w:rsid w:val="40534AFF"/>
    <w:rsid w:val="40600E9A"/>
    <w:rsid w:val="42276AC5"/>
    <w:rsid w:val="42D965CB"/>
    <w:rsid w:val="431A3F41"/>
    <w:rsid w:val="432429CA"/>
    <w:rsid w:val="43605DE3"/>
    <w:rsid w:val="43F16CD9"/>
    <w:rsid w:val="440A78C2"/>
    <w:rsid w:val="44BA326F"/>
    <w:rsid w:val="457D1BB4"/>
    <w:rsid w:val="474C6F80"/>
    <w:rsid w:val="4763349A"/>
    <w:rsid w:val="47A9693E"/>
    <w:rsid w:val="49BF63F4"/>
    <w:rsid w:val="4A301681"/>
    <w:rsid w:val="4B4605B6"/>
    <w:rsid w:val="4B7D12AD"/>
    <w:rsid w:val="4C234770"/>
    <w:rsid w:val="4C4F32D3"/>
    <w:rsid w:val="4C9B051A"/>
    <w:rsid w:val="4CA92AAA"/>
    <w:rsid w:val="4CCB1BE5"/>
    <w:rsid w:val="4CD7068A"/>
    <w:rsid w:val="4D0B51FC"/>
    <w:rsid w:val="4FAC0D1B"/>
    <w:rsid w:val="530F37F4"/>
    <w:rsid w:val="547B1C75"/>
    <w:rsid w:val="551F2576"/>
    <w:rsid w:val="55A55B34"/>
    <w:rsid w:val="57424469"/>
    <w:rsid w:val="592C76F7"/>
    <w:rsid w:val="59C365ED"/>
    <w:rsid w:val="5BD43920"/>
    <w:rsid w:val="5BDD15C9"/>
    <w:rsid w:val="5CC21D85"/>
    <w:rsid w:val="5CD21C37"/>
    <w:rsid w:val="5E290AC1"/>
    <w:rsid w:val="5EEA4D4A"/>
    <w:rsid w:val="5FD55CF9"/>
    <w:rsid w:val="6036313A"/>
    <w:rsid w:val="62E25640"/>
    <w:rsid w:val="66856D31"/>
    <w:rsid w:val="67496803"/>
    <w:rsid w:val="67982C74"/>
    <w:rsid w:val="69A753F0"/>
    <w:rsid w:val="6A1512D2"/>
    <w:rsid w:val="6A317C13"/>
    <w:rsid w:val="6A3451A4"/>
    <w:rsid w:val="6C0758A3"/>
    <w:rsid w:val="6C6B725F"/>
    <w:rsid w:val="6E792F78"/>
    <w:rsid w:val="6EB72579"/>
    <w:rsid w:val="6EE60DC9"/>
    <w:rsid w:val="6EED1AF7"/>
    <w:rsid w:val="6EEF71AA"/>
    <w:rsid w:val="6F3251DB"/>
    <w:rsid w:val="6F420FD6"/>
    <w:rsid w:val="6F8F736D"/>
    <w:rsid w:val="6FEB0A15"/>
    <w:rsid w:val="7295130F"/>
    <w:rsid w:val="73B452D9"/>
    <w:rsid w:val="742A587B"/>
    <w:rsid w:val="7461518E"/>
    <w:rsid w:val="75586B53"/>
    <w:rsid w:val="76191BC5"/>
    <w:rsid w:val="77112213"/>
    <w:rsid w:val="772F6849"/>
    <w:rsid w:val="773C3B8C"/>
    <w:rsid w:val="78001B5B"/>
    <w:rsid w:val="781806D4"/>
    <w:rsid w:val="784E159D"/>
    <w:rsid w:val="78AC2D39"/>
    <w:rsid w:val="78B86FB7"/>
    <w:rsid w:val="798F72F9"/>
    <w:rsid w:val="79FC6310"/>
    <w:rsid w:val="7A3D5FDE"/>
    <w:rsid w:val="7A636CF4"/>
    <w:rsid w:val="7AA02113"/>
    <w:rsid w:val="7B5E194A"/>
    <w:rsid w:val="7CD0056F"/>
    <w:rsid w:val="7CDC13FD"/>
    <w:rsid w:val="7D901670"/>
    <w:rsid w:val="7F351F9D"/>
    <w:rsid w:val="7FBBA86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39"/>
    <w:qFormat/>
    <w:uiPriority w:val="0"/>
    <w:pPr>
      <w:keepNext/>
      <w:keepLines/>
      <w:widowControl/>
      <w:numPr>
        <w:ilvl w:val="0"/>
        <w:numId w:val="1"/>
      </w:numPr>
      <w:spacing w:before="240" w:after="240" w:line="480" w:lineRule="exact"/>
      <w:outlineLvl w:val="0"/>
    </w:pPr>
    <w:rPr>
      <w:rFonts w:ascii="仿宋_GB2312" w:hAnsi="Times New Roman" w:eastAsia="仿宋_GB2312"/>
      <w:b/>
      <w:bCs/>
      <w:kern w:val="44"/>
      <w:sz w:val="28"/>
      <w:szCs w:val="28"/>
    </w:rPr>
  </w:style>
  <w:style w:type="paragraph" w:styleId="5">
    <w:name w:val="heading 2"/>
    <w:basedOn w:val="1"/>
    <w:next w:val="1"/>
    <w:link w:val="38"/>
    <w:qFormat/>
    <w:uiPriority w:val="0"/>
    <w:pPr>
      <w:keepNext/>
      <w:keepLines/>
      <w:numPr>
        <w:ilvl w:val="0"/>
        <w:numId w:val="2"/>
      </w:numPr>
      <w:spacing w:before="240" w:after="240" w:line="480" w:lineRule="exact"/>
      <w:jc w:val="left"/>
      <w:outlineLvl w:val="1"/>
    </w:pPr>
    <w:rPr>
      <w:rFonts w:ascii="仿宋_GB2312" w:hAnsi="Arial" w:eastAsia="仿宋_GB2312"/>
      <w:b/>
      <w:bCs/>
      <w:sz w:val="28"/>
      <w:szCs w:val="28"/>
    </w:rPr>
  </w:style>
  <w:style w:type="paragraph" w:styleId="6">
    <w:name w:val="heading 3"/>
    <w:basedOn w:val="1"/>
    <w:next w:val="1"/>
    <w:qFormat/>
    <w:uiPriority w:val="0"/>
    <w:pPr>
      <w:keepNext/>
      <w:keepLines/>
      <w:numPr>
        <w:ilvl w:val="2"/>
        <w:numId w:val="3"/>
      </w:numPr>
      <w:spacing w:before="260" w:after="260" w:line="416" w:lineRule="auto"/>
      <w:outlineLvl w:val="2"/>
    </w:pPr>
    <w:rPr>
      <w:b/>
      <w:bCs/>
      <w:sz w:val="32"/>
      <w:szCs w:val="32"/>
    </w:rPr>
  </w:style>
  <w:style w:type="character" w:default="1" w:styleId="19">
    <w:name w:val="Default Paragraph Font"/>
    <w:unhideWhenUsed/>
    <w:qFormat/>
    <w:uiPriority w:val="1"/>
  </w:style>
  <w:style w:type="table" w:default="1" w:styleId="17">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37"/>
    <w:qFormat/>
    <w:uiPriority w:val="99"/>
    <w:pPr>
      <w:spacing w:after="120"/>
      <w:ind w:firstLine="200" w:firstLineChars="200"/>
    </w:pPr>
    <w:rPr>
      <w:sz w:val="24"/>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7">
    <w:name w:val="Normal Indent"/>
    <w:basedOn w:val="1"/>
    <w:qFormat/>
    <w:uiPriority w:val="0"/>
    <w:pPr>
      <w:spacing w:line="300" w:lineRule="auto"/>
      <w:ind w:firstLine="420"/>
    </w:pPr>
    <w:rPr>
      <w:sz w:val="24"/>
      <w:szCs w:val="20"/>
    </w:rPr>
  </w:style>
  <w:style w:type="paragraph" w:styleId="8">
    <w:name w:val="caption"/>
    <w:next w:val="1"/>
    <w:qFormat/>
    <w:uiPriority w:val="0"/>
    <w:pPr>
      <w:adjustRightInd w:val="0"/>
      <w:jc w:val="center"/>
      <w:textAlignment w:val="baseline"/>
    </w:pPr>
    <w:rPr>
      <w:rFonts w:ascii="Times New Roman" w:hAnsi="Times New Roman" w:eastAsia="仿宋" w:cs="Arial"/>
      <w:sz w:val="24"/>
      <w:lang w:val="en-US" w:eastAsia="zh-CN" w:bidi="ar-SA"/>
    </w:rPr>
  </w:style>
  <w:style w:type="paragraph" w:styleId="9">
    <w:name w:val="annotation text"/>
    <w:basedOn w:val="1"/>
    <w:link w:val="31"/>
    <w:unhideWhenUsed/>
    <w:qFormat/>
    <w:uiPriority w:val="0"/>
    <w:pPr>
      <w:jc w:val="left"/>
    </w:pPr>
  </w:style>
  <w:style w:type="paragraph" w:styleId="10">
    <w:name w:val="Balloon Text"/>
    <w:basedOn w:val="1"/>
    <w:link w:val="27"/>
    <w:unhideWhenUsed/>
    <w:qFormat/>
    <w:uiPriority w:val="99"/>
    <w:rPr>
      <w:sz w:val="18"/>
      <w:szCs w:val="18"/>
    </w:rPr>
  </w:style>
  <w:style w:type="paragraph" w:styleId="11">
    <w:name w:val="footer"/>
    <w:basedOn w:val="1"/>
    <w:link w:val="26"/>
    <w:qFormat/>
    <w:uiPriority w:val="0"/>
    <w:pPr>
      <w:tabs>
        <w:tab w:val="center" w:pos="4153"/>
        <w:tab w:val="right" w:pos="8306"/>
      </w:tabs>
      <w:snapToGrid w:val="0"/>
      <w:jc w:val="left"/>
    </w:pPr>
    <w:rPr>
      <w:sz w:val="18"/>
      <w:szCs w:val="18"/>
    </w:rPr>
  </w:style>
  <w:style w:type="paragraph" w:styleId="12">
    <w:name w:val="header"/>
    <w:basedOn w:val="1"/>
    <w:link w:val="30"/>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spacing w:before="120" w:after="120" w:line="60" w:lineRule="auto"/>
      <w:jc w:val="left"/>
    </w:pPr>
    <w:rPr>
      <w:rFonts w:ascii="Times New Roman" w:hAnsi="Times New Roman"/>
      <w:b/>
      <w:bCs/>
      <w:caps/>
      <w:sz w:val="20"/>
      <w:szCs w:val="20"/>
    </w:rPr>
  </w:style>
  <w:style w:type="paragraph" w:styleId="14">
    <w:name w:val="toc 2"/>
    <w:basedOn w:val="1"/>
    <w:next w:val="1"/>
    <w:qFormat/>
    <w:uiPriority w:val="39"/>
    <w:pPr>
      <w:ind w:left="210"/>
      <w:jc w:val="left"/>
    </w:pPr>
    <w:rPr>
      <w:rFonts w:ascii="Times New Roman" w:hAnsi="Times New Roman"/>
      <w:smallCaps/>
      <w:sz w:val="20"/>
      <w:szCs w:val="20"/>
    </w:rPr>
  </w:style>
  <w:style w:type="paragraph" w:styleId="15">
    <w:name w:val="Normal (Web)"/>
    <w:basedOn w:val="1"/>
    <w:link w:val="35"/>
    <w:qFormat/>
    <w:uiPriority w:val="99"/>
    <w:pPr>
      <w:widowControl/>
      <w:topLinePunct/>
      <w:adjustRightInd w:val="0"/>
      <w:snapToGrid w:val="0"/>
      <w:spacing w:before="160" w:after="160" w:line="240" w:lineRule="atLeast"/>
      <w:ind w:left="1701"/>
      <w:jc w:val="left"/>
    </w:pPr>
    <w:rPr>
      <w:rFonts w:ascii="Calibri" w:hAnsi="Calibri"/>
      <w:szCs w:val="21"/>
    </w:rPr>
  </w:style>
  <w:style w:type="paragraph" w:styleId="16">
    <w:name w:val="annotation subject"/>
    <w:basedOn w:val="9"/>
    <w:next w:val="9"/>
    <w:link w:val="36"/>
    <w:unhideWhenUsed/>
    <w:qFormat/>
    <w:uiPriority w:val="99"/>
    <w:rPr>
      <w:b/>
      <w:bCs/>
    </w:rPr>
  </w:style>
  <w:style w:type="table" w:styleId="18">
    <w:name w:val="Table Grid"/>
    <w:basedOn w:val="1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qFormat/>
    <w:uiPriority w:val="0"/>
  </w:style>
  <w:style w:type="character" w:styleId="21">
    <w:name w:val="FollowedHyperlink"/>
    <w:unhideWhenUsed/>
    <w:qFormat/>
    <w:uiPriority w:val="99"/>
    <w:rPr>
      <w:color w:val="800080"/>
      <w:u w:val="single"/>
    </w:rPr>
  </w:style>
  <w:style w:type="character" w:styleId="22">
    <w:name w:val="Hyperlink"/>
    <w:qFormat/>
    <w:uiPriority w:val="99"/>
    <w:rPr>
      <w:color w:val="0000FF"/>
      <w:u w:val="single"/>
    </w:rPr>
  </w:style>
  <w:style w:type="character" w:styleId="23">
    <w:name w:val="annotation reference"/>
    <w:unhideWhenUsed/>
    <w:qFormat/>
    <w:uiPriority w:val="99"/>
    <w:rPr>
      <w:sz w:val="21"/>
      <w:szCs w:val="21"/>
    </w:rPr>
  </w:style>
  <w:style w:type="character" w:customStyle="1" w:styleId="24">
    <w:name w:val="段 Char Char"/>
    <w:link w:val="25"/>
    <w:qFormat/>
    <w:uiPriority w:val="0"/>
    <w:rPr>
      <w:rFonts w:ascii="宋体" w:hAnsi="Times New Roman"/>
      <w:sz w:val="21"/>
      <w:lang w:val="en-US" w:eastAsia="zh-CN" w:bidi="ar-SA"/>
    </w:rPr>
  </w:style>
  <w:style w:type="paragraph" w:customStyle="1" w:styleId="25">
    <w:name w:val="段"/>
    <w:link w:val="24"/>
    <w:qFormat/>
    <w:uiPriority w:val="0"/>
    <w:pPr>
      <w:ind w:firstLine="200" w:firstLineChars="200"/>
      <w:jc w:val="both"/>
    </w:pPr>
    <w:rPr>
      <w:rFonts w:ascii="宋体" w:hAnsi="Times New Roman" w:eastAsia="宋体" w:cs="Times New Roman"/>
      <w:sz w:val="21"/>
      <w:lang w:val="en-US" w:eastAsia="zh-CN" w:bidi="ar-SA"/>
    </w:rPr>
  </w:style>
  <w:style w:type="character" w:customStyle="1" w:styleId="26">
    <w:name w:val="页脚 字符"/>
    <w:link w:val="11"/>
    <w:qFormat/>
    <w:uiPriority w:val="0"/>
    <w:rPr>
      <w:kern w:val="2"/>
      <w:sz w:val="18"/>
      <w:szCs w:val="18"/>
    </w:rPr>
  </w:style>
  <w:style w:type="character" w:customStyle="1" w:styleId="27">
    <w:name w:val="批注框文本 字符"/>
    <w:link w:val="10"/>
    <w:semiHidden/>
    <w:qFormat/>
    <w:uiPriority w:val="99"/>
    <w:rPr>
      <w:kern w:val="2"/>
      <w:sz w:val="18"/>
      <w:szCs w:val="18"/>
    </w:rPr>
  </w:style>
  <w:style w:type="character" w:customStyle="1" w:styleId="28">
    <w:name w:val="列出段落 Char"/>
    <w:link w:val="29"/>
    <w:qFormat/>
    <w:uiPriority w:val="34"/>
    <w:rPr>
      <w:rFonts w:ascii="Calibri" w:hAnsi="Calibri"/>
      <w:kern w:val="2"/>
      <w:sz w:val="21"/>
      <w:szCs w:val="22"/>
    </w:rPr>
  </w:style>
  <w:style w:type="paragraph" w:styleId="29">
    <w:name w:val="List Paragraph"/>
    <w:basedOn w:val="1"/>
    <w:link w:val="28"/>
    <w:qFormat/>
    <w:uiPriority w:val="34"/>
    <w:pPr>
      <w:ind w:firstLine="420" w:firstLineChars="200"/>
    </w:pPr>
    <w:rPr>
      <w:rFonts w:ascii="Calibri" w:hAnsi="Calibri" w:eastAsia="宋体" w:cs="Times New Roman"/>
    </w:rPr>
  </w:style>
  <w:style w:type="character" w:customStyle="1" w:styleId="30">
    <w:name w:val="页眉 字符"/>
    <w:link w:val="12"/>
    <w:qFormat/>
    <w:uiPriority w:val="0"/>
    <w:rPr>
      <w:kern w:val="2"/>
      <w:sz w:val="18"/>
      <w:szCs w:val="18"/>
    </w:rPr>
  </w:style>
  <w:style w:type="character" w:customStyle="1" w:styleId="31">
    <w:name w:val="批注文字 字符"/>
    <w:link w:val="9"/>
    <w:semiHidden/>
    <w:qFormat/>
    <w:uiPriority w:val="99"/>
    <w:rPr>
      <w:kern w:val="2"/>
      <w:sz w:val="21"/>
      <w:szCs w:val="22"/>
    </w:rPr>
  </w:style>
  <w:style w:type="character" w:customStyle="1" w:styleId="32">
    <w:name w:val="批注文字 Char"/>
    <w:qFormat/>
    <w:uiPriority w:val="0"/>
    <w:rPr>
      <w:sz w:val="21"/>
    </w:rPr>
  </w:style>
  <w:style w:type="character" w:customStyle="1" w:styleId="33">
    <w:name w:val="页眉 Char1"/>
    <w:semiHidden/>
    <w:qFormat/>
    <w:uiPriority w:val="99"/>
    <w:rPr>
      <w:kern w:val="2"/>
      <w:sz w:val="18"/>
      <w:szCs w:val="18"/>
    </w:rPr>
  </w:style>
  <w:style w:type="character" w:customStyle="1" w:styleId="34">
    <w:name w:val="页脚 Char1"/>
    <w:semiHidden/>
    <w:qFormat/>
    <w:uiPriority w:val="99"/>
    <w:rPr>
      <w:kern w:val="2"/>
      <w:sz w:val="18"/>
      <w:szCs w:val="18"/>
    </w:rPr>
  </w:style>
  <w:style w:type="character" w:customStyle="1" w:styleId="35">
    <w:name w:val="普通(网站) Char"/>
    <w:link w:val="15"/>
    <w:qFormat/>
    <w:locked/>
    <w:uiPriority w:val="99"/>
    <w:rPr>
      <w:rFonts w:ascii="Calibri" w:hAnsi="Calibri"/>
      <w:kern w:val="2"/>
      <w:sz w:val="21"/>
      <w:szCs w:val="21"/>
    </w:rPr>
  </w:style>
  <w:style w:type="character" w:customStyle="1" w:styleId="36">
    <w:name w:val="批注主题 字符"/>
    <w:link w:val="16"/>
    <w:semiHidden/>
    <w:qFormat/>
    <w:uiPriority w:val="99"/>
    <w:rPr>
      <w:b/>
      <w:bCs/>
      <w:kern w:val="2"/>
      <w:sz w:val="21"/>
      <w:szCs w:val="22"/>
    </w:rPr>
  </w:style>
  <w:style w:type="character" w:customStyle="1" w:styleId="37">
    <w:name w:val="正文文本 字符"/>
    <w:link w:val="2"/>
    <w:qFormat/>
    <w:uiPriority w:val="99"/>
    <w:rPr>
      <w:kern w:val="2"/>
      <w:sz w:val="24"/>
      <w:szCs w:val="22"/>
    </w:rPr>
  </w:style>
  <w:style w:type="character" w:customStyle="1" w:styleId="38">
    <w:name w:val="标题 2 字符"/>
    <w:link w:val="5"/>
    <w:qFormat/>
    <w:uiPriority w:val="0"/>
    <w:rPr>
      <w:rFonts w:ascii="仿宋_GB2312" w:hAnsi="Arial" w:eastAsia="仿宋_GB2312"/>
      <w:b/>
      <w:bCs/>
      <w:kern w:val="2"/>
      <w:sz w:val="28"/>
      <w:szCs w:val="28"/>
    </w:rPr>
  </w:style>
  <w:style w:type="character" w:customStyle="1" w:styleId="39">
    <w:name w:val="标题 1 字符"/>
    <w:link w:val="4"/>
    <w:qFormat/>
    <w:uiPriority w:val="0"/>
    <w:rPr>
      <w:rFonts w:ascii="仿宋_GB2312" w:hAnsi="Times New Roman" w:eastAsia="仿宋_GB2312"/>
      <w:b/>
      <w:bCs/>
      <w:kern w:val="44"/>
      <w:sz w:val="28"/>
      <w:szCs w:val="28"/>
    </w:rPr>
  </w:style>
  <w:style w:type="character" w:customStyle="1" w:styleId="40">
    <w:name w:val="正文文字样式 Char Char"/>
    <w:link w:val="41"/>
    <w:qFormat/>
    <w:uiPriority w:val="0"/>
    <w:rPr>
      <w:kern w:val="2"/>
      <w:sz w:val="24"/>
      <w:szCs w:val="24"/>
    </w:rPr>
  </w:style>
  <w:style w:type="paragraph" w:customStyle="1" w:styleId="41">
    <w:name w:val="正文文字样式"/>
    <w:basedOn w:val="1"/>
    <w:link w:val="40"/>
    <w:qFormat/>
    <w:uiPriority w:val="0"/>
    <w:pPr>
      <w:spacing w:line="480" w:lineRule="exact"/>
      <w:ind w:firstLine="480" w:firstLineChars="200"/>
    </w:pPr>
    <w:rPr>
      <w:sz w:val="24"/>
      <w:szCs w:val="24"/>
    </w:rPr>
  </w:style>
  <w:style w:type="paragraph" w:customStyle="1" w:styleId="42">
    <w:name w:val="目录 21"/>
    <w:basedOn w:val="1"/>
    <w:next w:val="1"/>
    <w:qFormat/>
    <w:uiPriority w:val="0"/>
    <w:pPr>
      <w:spacing w:before="100" w:beforeAutospacing="1" w:after="100" w:afterAutospacing="1"/>
      <w:ind w:left="420" w:leftChars="200"/>
    </w:pPr>
  </w:style>
  <w:style w:type="paragraph" w:customStyle="1" w:styleId="43">
    <w:name w:val="_Style 42"/>
    <w:unhideWhenUsed/>
    <w:qFormat/>
    <w:uiPriority w:val="99"/>
    <w:rPr>
      <w:rFonts w:ascii="Times New Roman" w:hAnsi="Times New Roman" w:eastAsia="宋体" w:cs="Times New Roman"/>
      <w:kern w:val="2"/>
      <w:sz w:val="21"/>
      <w:szCs w:val="22"/>
      <w:lang w:val="en-US" w:eastAsia="zh-CN" w:bidi="ar-SA"/>
    </w:rPr>
  </w:style>
  <w:style w:type="paragraph" w:customStyle="1" w:styleId="44">
    <w:name w:val="无间隔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4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6">
    <w:name w:val="正文文本缩进1"/>
    <w:basedOn w:val="1"/>
    <w:qFormat/>
    <w:uiPriority w:val="0"/>
    <w:pPr>
      <w:spacing w:line="300" w:lineRule="auto"/>
      <w:ind w:firstLine="480"/>
    </w:pPr>
    <w:rPr>
      <w:rFonts w:ascii="宋体" w:hAnsi="宋体"/>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http://www.csg.net.cn/images/sy_logo.gif" TargetMode="External"/><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4388</Words>
  <Characters>4532</Characters>
  <Lines>45</Lines>
  <Paragraphs>12</Paragraphs>
  <TotalTime>0</TotalTime>
  <ScaleCrop>false</ScaleCrop>
  <LinksUpToDate>false</LinksUpToDate>
  <CharactersWithSpaces>4546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2025-05-20T12:07:00Z</dcterms:created>
  <dc:creator>李敏</dc:creator>
  <cp:lastModifiedBy>yuanyi51</cp:lastModifiedBy>
  <dcterms:modified xsi:type="dcterms:W3CDTF">2026-08-05T03:21:58Z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B6E4F114B05E48AEAD0618E5394889F7_13</vt:lpwstr>
  </property>
  <property fmtid="{D5CDD505-2E9C-101B-9397-08002B2CF9AE}" pid="4" name="KSOTemplateDocerSaveRecord">
    <vt:lpwstr>eyJoZGlkIjoiZjI0NGVhNDIzMWFiOWE5MjU4NDhmMDkwYjVjYzE0YmEiLCJ1c2VySWQiOiIyMDY0OTE5MTcifQ==</vt:lpwstr>
  </property>
</Properties>
</file>