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afterLines="100" w:line="360" w:lineRule="auto"/>
        <w:jc w:val="center"/>
        <w:rPr>
          <w:rFonts w:ascii="宋体" w:hAnsi="宋体"/>
          <w:b/>
          <w:bCs/>
          <w:kern w:val="0"/>
          <w:sz w:val="36"/>
          <w:szCs w:val="36"/>
        </w:rPr>
      </w:pPr>
      <w:r>
        <w:rPr>
          <w:rFonts w:hint="eastAsia" w:ascii="宋体" w:hAnsi="宋体"/>
          <w:b/>
          <w:bCs/>
          <w:kern w:val="0"/>
          <w:sz w:val="36"/>
          <w:szCs w:val="36"/>
        </w:rPr>
        <w:t>安全</w:t>
      </w:r>
      <w:r>
        <w:rPr>
          <w:rFonts w:hint="eastAsia" w:ascii="宋体" w:hAnsi="宋体"/>
          <w:b/>
          <w:bCs/>
          <w:kern w:val="0"/>
          <w:sz w:val="36"/>
          <w:szCs w:val="36"/>
          <w:lang w:val="en-US" w:eastAsia="zh-CN"/>
        </w:rPr>
        <w:t>管理</w:t>
      </w:r>
      <w:r>
        <w:rPr>
          <w:rFonts w:hint="eastAsia" w:ascii="宋体" w:hAnsi="宋体"/>
          <w:b/>
          <w:bCs/>
          <w:kern w:val="0"/>
          <w:sz w:val="36"/>
          <w:szCs w:val="36"/>
        </w:rPr>
        <w:t>协议</w:t>
      </w:r>
    </w:p>
    <w:p>
      <w:pPr>
        <w:spacing w:line="470" w:lineRule="exact"/>
        <w:ind w:firstLine="482" w:firstLineChars="200"/>
        <w:rPr>
          <w:rFonts w:hint="eastAsia"/>
          <w:b/>
          <w:sz w:val="24"/>
        </w:rPr>
      </w:pPr>
      <w:r>
        <w:rPr>
          <w:rFonts w:hint="eastAsia"/>
          <w:b/>
          <w:sz w:val="24"/>
        </w:rPr>
        <w:t>甲方：</w:t>
      </w:r>
    </w:p>
    <w:p>
      <w:pPr>
        <w:spacing w:line="470" w:lineRule="exact"/>
        <w:ind w:firstLine="482" w:firstLineChars="200"/>
        <w:rPr>
          <w:sz w:val="24"/>
        </w:rPr>
      </w:pPr>
      <w:r>
        <w:rPr>
          <w:rFonts w:hint="eastAsia"/>
          <w:b/>
          <w:sz w:val="24"/>
        </w:rPr>
        <w:t>乙方：</w:t>
      </w:r>
    </w:p>
    <w:p>
      <w:pPr>
        <w:spacing w:line="470" w:lineRule="exact"/>
        <w:ind w:firstLine="480" w:firstLineChars="200"/>
        <w:rPr>
          <w:sz w:val="24"/>
        </w:rPr>
      </w:pPr>
      <w:r>
        <w:rPr>
          <w:rFonts w:hint="eastAsia"/>
          <w:sz w:val="24"/>
        </w:rPr>
        <w:t>为进一步明确双方的安全管理责任，确保施工中人身、设备的安全，根据《中华人民共和国安全生产法》和《建设工程安全生产管理条例》及有关政策的相关规定，按照“安全第一、预防为主、综合治理”的方针，经甲乙双方协商同意并达成如下协议，本协议作为</w:t>
      </w:r>
      <w:r>
        <w:rPr>
          <w:rFonts w:hint="default"/>
          <w:color w:val="0000FF"/>
          <w:sz w:val="24"/>
          <w:highlight w:val="none"/>
          <w:u w:val="single"/>
        </w:rPr>
        <w:t>（合同具体名称 ）</w:t>
      </w:r>
      <w:r>
        <w:rPr>
          <w:rFonts w:hint="eastAsia"/>
          <w:sz w:val="24"/>
        </w:rPr>
        <w:t>合同的附件，具有同等的法律效力。</w:t>
      </w:r>
    </w:p>
    <w:p>
      <w:pPr>
        <w:spacing w:beforeLines="100" w:line="240" w:lineRule="exact"/>
        <w:ind w:firstLine="482" w:firstLineChars="200"/>
        <w:outlineLvl w:val="0"/>
        <w:rPr>
          <w:b/>
          <w:sz w:val="24"/>
        </w:rPr>
      </w:pPr>
      <w:r>
        <w:rPr>
          <w:rFonts w:hint="eastAsia"/>
          <w:b/>
          <w:sz w:val="24"/>
        </w:rPr>
        <w:t>第一条 甲方安全责任</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w:t>
      </w:r>
      <w:r>
        <w:rPr>
          <w:rFonts w:hint="eastAsia" w:ascii="宋体" w:hAnsi="宋体" w:eastAsia="宋体" w:cs="宋体"/>
          <w:kern w:val="2"/>
          <w:sz w:val="24"/>
          <w:szCs w:val="24"/>
          <w:lang w:val="en-US" w:eastAsia="zh-CN" w:bidi="ar"/>
        </w:rPr>
        <w:t>、甲方不得对乙方提出不符合安全生产法律、法规和强制性标准规定的要求。</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2</w:t>
      </w:r>
      <w:r>
        <w:rPr>
          <w:rFonts w:hint="eastAsia" w:ascii="宋体" w:hAnsi="宋体" w:eastAsia="宋体" w:cs="宋体"/>
          <w:kern w:val="2"/>
          <w:sz w:val="24"/>
          <w:szCs w:val="24"/>
          <w:lang w:val="en-US" w:eastAsia="zh-CN" w:bidi="ar"/>
        </w:rPr>
        <w:t>、甲方应按合同支付建设工程安全文明施工措施费用。</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3</w:t>
      </w:r>
      <w:r>
        <w:rPr>
          <w:rFonts w:hint="eastAsia" w:ascii="宋体" w:hAnsi="宋体" w:eastAsia="宋体" w:cs="宋体"/>
          <w:kern w:val="2"/>
          <w:sz w:val="24"/>
          <w:szCs w:val="24"/>
          <w:lang w:val="en-US" w:eastAsia="zh-CN" w:bidi="ar"/>
        </w:rPr>
        <w:t>、甲方不得明示或者暗示乙方购买、租赁、使用不符合安全施工要求的安全防护用具、机械设备、施工机具及配件、消防设施和器材。</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4</w:t>
      </w:r>
      <w:r>
        <w:rPr>
          <w:rFonts w:hint="eastAsia" w:ascii="宋体" w:hAnsi="宋体" w:eastAsia="宋体" w:cs="宋体"/>
          <w:kern w:val="2"/>
          <w:sz w:val="24"/>
          <w:szCs w:val="24"/>
          <w:lang w:val="en-US" w:eastAsia="zh-CN" w:bidi="ar"/>
        </w:rPr>
        <w:t>、甲方在开工前，应对乙方项目负责人、工程技术人员和安全管理人员进行项目全面交底，并经双方相关人员当面签字确认。其中包括项目主要和重大风险辨识和应急预案等内容。</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5</w:t>
      </w:r>
      <w:r>
        <w:rPr>
          <w:rFonts w:hint="eastAsia" w:ascii="宋体" w:hAnsi="宋体" w:eastAsia="宋体" w:cs="宋体"/>
          <w:kern w:val="2"/>
          <w:sz w:val="24"/>
          <w:szCs w:val="24"/>
          <w:lang w:val="en-US" w:eastAsia="zh-CN" w:bidi="ar"/>
        </w:rPr>
        <w:t>、甲方应当向乙方提供施工现场及毗邻区域内供水、排水、供电、供气、供热、通信、广播电视等地下管线资料，气象和水文观测资料，相邻建筑物和构筑物、地下工程的有关资料，并保证资料的真实、准确、完整。</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6</w:t>
      </w:r>
      <w:r>
        <w:rPr>
          <w:rFonts w:hint="eastAsia" w:ascii="宋体" w:hAnsi="宋体" w:eastAsia="宋体" w:cs="宋体"/>
          <w:kern w:val="2"/>
          <w:sz w:val="24"/>
          <w:szCs w:val="24"/>
          <w:lang w:val="en-US" w:eastAsia="zh-CN" w:bidi="ar"/>
        </w:rPr>
        <w:t>、甲方在乙方进场前，应对乙方项目负责人、工程技术人员和安全管理人员等进行安全教育培训，考试合格方可进场。</w:t>
      </w:r>
    </w:p>
    <w:p>
      <w:pPr>
        <w:keepNext w:val="0"/>
        <w:keepLines w:val="0"/>
        <w:widowControl w:val="0"/>
        <w:suppressLineNumbers w:val="0"/>
        <w:spacing w:before="0" w:beforeAutospacing="0" w:after="0" w:afterAutospacing="0" w:line="470" w:lineRule="exact"/>
        <w:ind w:left="0" w:right="0" w:firstLine="480" w:firstLineChars="200"/>
        <w:jc w:val="both"/>
        <w:rPr>
          <w:rFonts w:hint="default"/>
        </w:rPr>
      </w:pPr>
      <w:r>
        <w:rPr>
          <w:rFonts w:hint="default" w:ascii="Times New Roman" w:hAnsi="Times New Roman" w:eastAsia="宋体" w:cs="Times New Roman"/>
          <w:kern w:val="2"/>
          <w:sz w:val="24"/>
          <w:szCs w:val="24"/>
          <w:lang w:val="en-US" w:eastAsia="zh-CN" w:bidi="ar"/>
        </w:rPr>
        <w:t>7</w:t>
      </w:r>
      <w:r>
        <w:rPr>
          <w:rFonts w:hint="eastAsia" w:ascii="宋体" w:hAnsi="宋体" w:eastAsia="宋体" w:cs="宋体"/>
          <w:kern w:val="2"/>
          <w:sz w:val="24"/>
          <w:szCs w:val="24"/>
          <w:lang w:val="en-US" w:eastAsia="zh-CN" w:bidi="ar"/>
        </w:rPr>
        <w:t>、负责施工合同中规定的由甲方承担的其他安全生产责任。</w:t>
      </w:r>
    </w:p>
    <w:p>
      <w:pPr>
        <w:spacing w:beforeLines="50" w:line="470" w:lineRule="exact"/>
        <w:ind w:firstLine="482" w:firstLineChars="200"/>
        <w:outlineLvl w:val="0"/>
        <w:rPr>
          <w:b/>
          <w:sz w:val="24"/>
        </w:rPr>
      </w:pPr>
      <w:r>
        <w:rPr>
          <w:rFonts w:hint="eastAsia"/>
          <w:b/>
          <w:sz w:val="24"/>
        </w:rPr>
        <w:t>第二条 乙方安全责任</w:t>
      </w:r>
    </w:p>
    <w:p>
      <w:pPr>
        <w:spacing w:line="470" w:lineRule="exact"/>
        <w:ind w:firstLine="480" w:firstLineChars="200"/>
        <w:rPr>
          <w:rFonts w:hint="eastAsia"/>
          <w:sz w:val="24"/>
        </w:rPr>
      </w:pPr>
      <w:r>
        <w:rPr>
          <w:rFonts w:hint="eastAsia"/>
          <w:sz w:val="24"/>
        </w:rPr>
        <w:t>1、乙方应严格遵守国家相关安全管理法律、法规、行业标准、规范等及甲方相关安全管理规章制度，切实做好安全生产。</w:t>
      </w:r>
    </w:p>
    <w:p>
      <w:pPr>
        <w:spacing w:line="360" w:lineRule="auto"/>
        <w:ind w:firstLine="480" w:firstLineChars="200"/>
        <w:rPr>
          <w:rFonts w:hint="eastAsia"/>
          <w:sz w:val="24"/>
        </w:rPr>
      </w:pPr>
      <w:r>
        <w:rPr>
          <w:rFonts w:hint="eastAsia"/>
          <w:color w:val="auto"/>
          <w:sz w:val="24"/>
        </w:rPr>
        <w:t>2、本项目不允许分包、转包。</w:t>
      </w:r>
    </w:p>
    <w:p>
      <w:pPr>
        <w:spacing w:line="470" w:lineRule="exact"/>
        <w:ind w:firstLine="480" w:firstLineChars="200"/>
        <w:rPr>
          <w:sz w:val="24"/>
        </w:rPr>
      </w:pPr>
      <w:r>
        <w:rPr>
          <w:rFonts w:hint="eastAsia"/>
          <w:sz w:val="24"/>
          <w:lang w:val="en-US" w:eastAsia="zh-CN"/>
        </w:rPr>
        <w:t>3</w:t>
      </w:r>
      <w:r>
        <w:rPr>
          <w:rFonts w:hint="eastAsia"/>
          <w:sz w:val="24"/>
        </w:rPr>
        <w:t>、乙方特种作业人员，必须按照国家有关规定经过专门的安全作业培训，并取得特种作业操作资格证书，特种作业人员的操作资格证书应报甲方备案后，方可上岗作业。</w:t>
      </w:r>
    </w:p>
    <w:p>
      <w:pPr>
        <w:spacing w:line="470" w:lineRule="exact"/>
        <w:ind w:firstLine="480" w:firstLineChars="200"/>
        <w:rPr>
          <w:rFonts w:hint="eastAsia"/>
          <w:sz w:val="24"/>
        </w:rPr>
      </w:pPr>
      <w:r>
        <w:rPr>
          <w:rFonts w:hint="eastAsia"/>
          <w:sz w:val="24"/>
          <w:lang w:val="en-US" w:eastAsia="zh-CN"/>
        </w:rPr>
        <w:t>4</w:t>
      </w:r>
      <w:r>
        <w:rPr>
          <w:rFonts w:hint="eastAsia"/>
          <w:sz w:val="24"/>
        </w:rPr>
        <w:t>、乙方应监督作业人员遵守安全施工的强制性标准、规章制度和操作规程。施工现场的安全防护用品必须由专人管理，定期进行检查、维修和保养，并按照国家有关规定及时报废。</w:t>
      </w:r>
    </w:p>
    <w:p>
      <w:pPr>
        <w:spacing w:line="470" w:lineRule="exact"/>
        <w:ind w:firstLine="480" w:firstLineChars="200"/>
        <w:rPr>
          <w:rFonts w:hint="eastAsia"/>
          <w:strike w:val="0"/>
          <w:dstrike w:val="0"/>
          <w:sz w:val="24"/>
        </w:rPr>
      </w:pPr>
      <w:r>
        <w:rPr>
          <w:rFonts w:hint="eastAsia"/>
          <w:strike w:val="0"/>
          <w:dstrike w:val="0"/>
          <w:sz w:val="24"/>
          <w:lang w:val="en-US" w:eastAsia="zh-CN"/>
        </w:rPr>
        <w:t>5</w:t>
      </w:r>
      <w:r>
        <w:rPr>
          <w:rFonts w:hint="eastAsia"/>
          <w:strike w:val="0"/>
          <w:dstrike w:val="0"/>
          <w:sz w:val="24"/>
        </w:rPr>
        <w:t>、乙方应当将施工现场的办公、生活区与作业区分开设置，并保持安全距离；办公、生活区的选址应当符合安全性要求。职工的膳食、饮水、休息场所等应当符合卫生标准。</w:t>
      </w:r>
    </w:p>
    <w:p>
      <w:pPr>
        <w:spacing w:line="360" w:lineRule="auto"/>
        <w:ind w:firstLine="480" w:firstLineChars="200"/>
        <w:rPr>
          <w:sz w:val="24"/>
        </w:rPr>
      </w:pPr>
      <w:r>
        <w:rPr>
          <w:rFonts w:hint="eastAsia"/>
          <w:sz w:val="24"/>
        </w:rPr>
        <w:t>6、乙方对因施工可能造成损害的毗邻建筑物、构筑物和地下管线等，应当采取专项防护措施。</w:t>
      </w:r>
    </w:p>
    <w:p>
      <w:pPr>
        <w:spacing w:line="360" w:lineRule="auto"/>
        <w:ind w:firstLine="480" w:firstLineChars="200"/>
        <w:rPr>
          <w:sz w:val="24"/>
        </w:rPr>
      </w:pPr>
      <w:r>
        <w:rPr>
          <w:rFonts w:hint="eastAsia"/>
          <w:sz w:val="24"/>
        </w:rPr>
        <w:t>7、乙方应当遵守有关环境保护法律、法规的规定，在施工现场采取措施，防止或者减少粉尘、废气、废水、固体废物、噪声、振动和施工照明对人和环境的危害和污染。</w:t>
      </w:r>
    </w:p>
    <w:p>
      <w:pPr>
        <w:spacing w:line="360" w:lineRule="auto"/>
        <w:ind w:firstLine="480" w:firstLineChars="200"/>
        <w:rPr>
          <w:sz w:val="24"/>
        </w:rPr>
      </w:pPr>
      <w:r>
        <w:rPr>
          <w:rFonts w:hint="eastAsia"/>
          <w:sz w:val="24"/>
        </w:rPr>
        <w:t>8、乙方应</w:t>
      </w:r>
      <w:r>
        <w:rPr>
          <w:rFonts w:hint="eastAsia"/>
          <w:color w:val="auto"/>
          <w:sz w:val="24"/>
        </w:rPr>
        <w:t>当向作业人员提供合格的安全防护用品，并书面告</w:t>
      </w:r>
      <w:r>
        <w:rPr>
          <w:rFonts w:hint="eastAsia"/>
          <w:sz w:val="24"/>
        </w:rPr>
        <w:t>知危险岗位的操作规程和违章操作的危害。乙方应监督作业人员遵守安全施工的强制性标准、规章制度和操作规程，正确使用安全防护用具。</w:t>
      </w:r>
    </w:p>
    <w:p>
      <w:pPr>
        <w:spacing w:line="360" w:lineRule="auto"/>
        <w:ind w:firstLine="480" w:firstLineChars="200"/>
        <w:rPr>
          <w:sz w:val="24"/>
        </w:rPr>
      </w:pPr>
      <w:r>
        <w:rPr>
          <w:rFonts w:hint="eastAsia"/>
          <w:sz w:val="24"/>
          <w:lang w:val="en-US" w:eastAsia="zh-CN"/>
        </w:rPr>
        <w:t>9</w:t>
      </w:r>
      <w:r>
        <w:rPr>
          <w:rFonts w:hint="eastAsia"/>
          <w:sz w:val="24"/>
        </w:rPr>
        <w:t>、乙方施工交叉和相邻区域有其他承包商施工，可能危及对方安全的，双方应签订安全生产管理协议，明确各自的安全生产管理职责和应当采取的安全措施，并指定专职安全生产管理人员进行安全检查与协调。</w:t>
      </w:r>
    </w:p>
    <w:p>
      <w:pPr>
        <w:spacing w:line="360" w:lineRule="auto"/>
        <w:ind w:firstLine="480" w:firstLineChars="200"/>
        <w:rPr>
          <w:sz w:val="24"/>
        </w:rPr>
      </w:pPr>
      <w:r>
        <w:rPr>
          <w:rFonts w:hint="eastAsia"/>
          <w:sz w:val="24"/>
        </w:rPr>
        <w:t>1</w:t>
      </w:r>
      <w:r>
        <w:rPr>
          <w:rFonts w:hint="eastAsia"/>
          <w:sz w:val="24"/>
          <w:lang w:val="en-US" w:eastAsia="zh-CN"/>
        </w:rPr>
        <w:t>0</w:t>
      </w:r>
      <w:r>
        <w:rPr>
          <w:rFonts w:hint="eastAsia"/>
          <w:sz w:val="24"/>
        </w:rPr>
        <w:t>、乙方不得使用国家明令淘汰、禁止使用的危及生产安全的材料、工艺、设备。</w:t>
      </w:r>
    </w:p>
    <w:p>
      <w:pPr>
        <w:spacing w:line="360" w:lineRule="auto"/>
        <w:ind w:firstLine="480" w:firstLineChars="200"/>
        <w:rPr>
          <w:rFonts w:hint="eastAsia"/>
          <w:strike w:val="0"/>
          <w:dstrike w:val="0"/>
          <w:sz w:val="24"/>
        </w:rPr>
      </w:pPr>
      <w:r>
        <w:rPr>
          <w:rFonts w:hint="eastAsia"/>
          <w:sz w:val="24"/>
        </w:rPr>
        <w:t>1</w:t>
      </w:r>
      <w:r>
        <w:rPr>
          <w:rFonts w:hint="eastAsia"/>
          <w:sz w:val="24"/>
          <w:lang w:val="en-US" w:eastAsia="zh-CN"/>
        </w:rPr>
        <w:t>1</w:t>
      </w:r>
      <w:r>
        <w:rPr>
          <w:rFonts w:hint="eastAsia"/>
          <w:sz w:val="24"/>
        </w:rPr>
        <w:t>、现场施工应遵守国家和地方关于劳动安全、劳务用工法律法规及规章制度，保证其用工的合法性。乙方应当为施工现场作业人员办理</w:t>
      </w:r>
      <w:r>
        <w:rPr>
          <w:sz w:val="24"/>
        </w:rPr>
        <w:t>工伤保险</w:t>
      </w:r>
      <w:r>
        <w:rPr>
          <w:rFonts w:hint="eastAsia"/>
          <w:sz w:val="24"/>
        </w:rPr>
        <w:t>或意外伤害保险。保险费由乙方支付。</w:t>
      </w:r>
      <w:r>
        <w:rPr>
          <w:sz w:val="24"/>
        </w:rPr>
        <w:t>保险</w:t>
      </w:r>
      <w:r>
        <w:rPr>
          <w:rFonts w:hint="eastAsia"/>
          <w:sz w:val="24"/>
        </w:rPr>
        <w:t>期限包含工程项目开工之日起至合同完工验收合格止。</w:t>
      </w:r>
    </w:p>
    <w:p>
      <w:pPr>
        <w:spacing w:line="470" w:lineRule="exact"/>
        <w:ind w:firstLine="480" w:firstLineChars="200"/>
        <w:rPr>
          <w:rFonts w:hint="eastAsia" w:eastAsia="宋体"/>
          <w:strike w:val="0"/>
          <w:dstrike w:val="0"/>
          <w:sz w:val="24"/>
          <w:lang w:val="en-US" w:eastAsia="zh-CN"/>
        </w:rPr>
      </w:pPr>
      <w:r>
        <w:rPr>
          <w:rFonts w:hint="eastAsia"/>
          <w:strike w:val="0"/>
          <w:dstrike w:val="0"/>
          <w:sz w:val="24"/>
          <w:lang w:val="en-US" w:eastAsia="zh-CN"/>
        </w:rPr>
        <w:t>12</w:t>
      </w:r>
      <w:r>
        <w:rPr>
          <w:rFonts w:hint="eastAsia" w:eastAsia="宋体"/>
          <w:strike w:val="0"/>
          <w:dstrike w:val="0"/>
          <w:sz w:val="24"/>
          <w:lang w:val="en-US" w:eastAsia="zh-CN"/>
        </w:rPr>
        <w:t>、乙方发生生产安全事故，应当按照国务院493号令及《中国南方电网有限责任公司电力事故（事件）调查规程》中有关事故报告和调查处理的规定，及时、如实地向有关部门报告。</w:t>
      </w:r>
    </w:p>
    <w:p>
      <w:pPr>
        <w:spacing w:line="470" w:lineRule="exact"/>
        <w:ind w:firstLine="480" w:firstLineChars="200"/>
        <w:rPr>
          <w:rFonts w:hint="eastAsia" w:eastAsia="宋体"/>
          <w:strike w:val="0"/>
          <w:dstrike w:val="0"/>
          <w:sz w:val="24"/>
          <w:lang w:val="en-US" w:eastAsia="zh-CN"/>
        </w:rPr>
      </w:pPr>
      <w:r>
        <w:rPr>
          <w:rFonts w:hint="eastAsia"/>
          <w:strike w:val="0"/>
          <w:dstrike w:val="0"/>
          <w:sz w:val="24"/>
          <w:lang w:val="en-US" w:eastAsia="zh-CN"/>
        </w:rPr>
        <w:t>13</w:t>
      </w:r>
      <w:r>
        <w:rPr>
          <w:rFonts w:hint="eastAsia" w:eastAsia="宋体"/>
          <w:strike w:val="0"/>
          <w:dstrike w:val="0"/>
          <w:sz w:val="24"/>
          <w:lang w:val="en-US" w:eastAsia="zh-CN"/>
        </w:rPr>
        <w:t>、乙方应服从甲方的监督检查，按时完成甲方提出的整改要求；参加甲方组织召开的有关会议，并落实会议所提出的有关要求。</w:t>
      </w:r>
    </w:p>
    <w:p>
      <w:pPr>
        <w:spacing w:line="470" w:lineRule="exact"/>
        <w:ind w:firstLine="480" w:firstLineChars="200"/>
        <w:rPr>
          <w:rFonts w:hint="eastAsia" w:eastAsia="宋体"/>
          <w:strike w:val="0"/>
          <w:dstrike w:val="0"/>
          <w:sz w:val="24"/>
          <w:lang w:val="en-US" w:eastAsia="zh-CN"/>
        </w:rPr>
      </w:pPr>
      <w:r>
        <w:rPr>
          <w:rFonts w:hint="eastAsia"/>
          <w:strike w:val="0"/>
          <w:dstrike w:val="0"/>
          <w:sz w:val="24"/>
          <w:lang w:val="en-US" w:eastAsia="zh-CN"/>
        </w:rPr>
        <w:t>14</w:t>
      </w:r>
      <w:r>
        <w:rPr>
          <w:rFonts w:hint="eastAsia" w:eastAsia="宋体"/>
          <w:strike w:val="0"/>
          <w:dstrike w:val="0"/>
          <w:sz w:val="24"/>
          <w:lang w:val="en-US" w:eastAsia="zh-CN"/>
        </w:rPr>
        <w:t>、负责法律法规及施工合同中规定的由乙方承担的其他安全生产责任。</w:t>
      </w:r>
    </w:p>
    <w:p>
      <w:pPr>
        <w:spacing w:beforeLines="50" w:line="470" w:lineRule="exact"/>
        <w:ind w:firstLine="482" w:firstLineChars="200"/>
        <w:outlineLvl w:val="0"/>
        <w:rPr>
          <w:b/>
          <w:sz w:val="24"/>
        </w:rPr>
      </w:pPr>
      <w:r>
        <w:rPr>
          <w:rFonts w:hint="eastAsia"/>
          <w:b/>
          <w:sz w:val="24"/>
        </w:rPr>
        <w:t>第三条 违约责任</w:t>
      </w:r>
    </w:p>
    <w:p>
      <w:pPr>
        <w:spacing w:line="470" w:lineRule="exact"/>
        <w:ind w:firstLine="480" w:firstLineChars="200"/>
        <w:rPr>
          <w:sz w:val="24"/>
        </w:rPr>
      </w:pPr>
      <w:r>
        <w:rPr>
          <w:rFonts w:hint="eastAsia"/>
          <w:sz w:val="24"/>
        </w:rPr>
        <w:t>1、</w:t>
      </w:r>
      <w:bookmarkStart w:id="0" w:name="auto_fouce_14"/>
      <w:bookmarkStart w:id="1" w:name="auto_fouce_13"/>
      <w:r>
        <w:rPr>
          <w:rFonts w:hint="eastAsia"/>
          <w:sz w:val="24"/>
          <w:lang w:eastAsia="zh-CN"/>
        </w:rPr>
        <w:t>若因</w:t>
      </w:r>
      <w:r>
        <w:rPr>
          <w:rFonts w:hint="eastAsia"/>
          <w:sz w:val="24"/>
        </w:rPr>
        <w:t>甲方</w:t>
      </w:r>
      <w:r>
        <w:rPr>
          <w:rFonts w:hint="eastAsia"/>
          <w:sz w:val="24"/>
          <w:lang w:eastAsia="zh-CN"/>
        </w:rPr>
        <w:t>违反</w:t>
      </w:r>
      <w:r>
        <w:rPr>
          <w:rFonts w:hint="eastAsia"/>
          <w:sz w:val="24"/>
        </w:rPr>
        <w:t>本</w:t>
      </w:r>
      <w:r>
        <w:rPr>
          <w:rFonts w:hint="eastAsia"/>
          <w:sz w:val="24"/>
          <w:lang w:eastAsia="zh-CN"/>
        </w:rPr>
        <w:t>协议第一条列明的</w:t>
      </w:r>
      <w:r>
        <w:rPr>
          <w:rFonts w:hint="eastAsia"/>
          <w:sz w:val="24"/>
        </w:rPr>
        <w:t>安全责任，</w:t>
      </w:r>
      <w:r>
        <w:rPr>
          <w:rFonts w:hint="eastAsia"/>
          <w:sz w:val="24"/>
          <w:lang w:eastAsia="zh-CN"/>
        </w:rPr>
        <w:t>且该未尽责任行为是</w:t>
      </w:r>
      <w:r>
        <w:rPr>
          <w:rFonts w:hint="eastAsia"/>
          <w:sz w:val="24"/>
        </w:rPr>
        <w:t>造成损失</w:t>
      </w:r>
      <w:r>
        <w:rPr>
          <w:rFonts w:hint="eastAsia"/>
          <w:sz w:val="24"/>
          <w:lang w:eastAsia="zh-CN"/>
        </w:rPr>
        <w:t>的唯一或主要原因，则</w:t>
      </w:r>
      <w:r>
        <w:rPr>
          <w:rFonts w:hint="eastAsia"/>
          <w:sz w:val="24"/>
        </w:rPr>
        <w:t>甲方</w:t>
      </w:r>
      <w:r>
        <w:rPr>
          <w:rFonts w:hint="eastAsia"/>
          <w:sz w:val="24"/>
          <w:lang w:eastAsia="zh-CN"/>
        </w:rPr>
        <w:t>应</w:t>
      </w:r>
      <w:r>
        <w:rPr>
          <w:rFonts w:hint="eastAsia"/>
          <w:sz w:val="24"/>
        </w:rPr>
        <w:t>承担</w:t>
      </w:r>
      <w:r>
        <w:rPr>
          <w:rFonts w:hint="eastAsia"/>
          <w:sz w:val="24"/>
          <w:lang w:eastAsia="zh-CN"/>
        </w:rPr>
        <w:t>由此造成的直接损失</w:t>
      </w:r>
      <w:r>
        <w:rPr>
          <w:rFonts w:hint="eastAsia"/>
          <w:sz w:val="24"/>
        </w:rPr>
        <w:t>。</w:t>
      </w:r>
      <w:bookmarkEnd w:id="0"/>
    </w:p>
    <w:p>
      <w:pPr>
        <w:spacing w:line="470" w:lineRule="exact"/>
        <w:ind w:firstLine="480" w:firstLineChars="200"/>
        <w:rPr>
          <w:sz w:val="24"/>
          <w:lang w:eastAsia="zh-CN"/>
        </w:rPr>
      </w:pPr>
      <w:r>
        <w:rPr>
          <w:rFonts w:hint="eastAsia"/>
          <w:sz w:val="24"/>
        </w:rPr>
        <w:t>2、</w:t>
      </w:r>
      <w:bookmarkStart w:id="2" w:name="auto_fouce_15"/>
      <w:r>
        <w:rPr>
          <w:rFonts w:hint="eastAsia"/>
          <w:sz w:val="24"/>
        </w:rPr>
        <w:t>在协议有效期内，甲方发现乙方违反本协议的有关内容，将按照</w:t>
      </w:r>
      <w:r>
        <w:rPr>
          <w:rFonts w:hint="eastAsia"/>
          <w:sz w:val="24"/>
          <w:lang w:eastAsia="zh-CN"/>
        </w:rPr>
        <w:t>本协议附件《施工现场HSE奖罚</w:t>
      </w:r>
      <w:r>
        <w:rPr>
          <w:rFonts w:hint="eastAsia"/>
          <w:sz w:val="24"/>
        </w:rPr>
        <w:t>规</w:t>
      </w:r>
      <w:r>
        <w:rPr>
          <w:rFonts w:hint="eastAsia"/>
          <w:sz w:val="24"/>
          <w:lang w:eastAsia="zh-CN"/>
        </w:rPr>
        <w:t>定》执行</w:t>
      </w:r>
      <w:r>
        <w:rPr>
          <w:rFonts w:hint="eastAsia"/>
          <w:sz w:val="24"/>
        </w:rPr>
        <w:t>处罚。</w:t>
      </w:r>
      <w:bookmarkEnd w:id="2"/>
      <w:r>
        <w:rPr>
          <w:rFonts w:hint="eastAsia"/>
          <w:color w:val="FF0000"/>
          <w:sz w:val="24"/>
          <w:lang w:eastAsia="zh-CN"/>
        </w:rPr>
        <w:t xml:space="preserve"> </w:t>
      </w:r>
      <w:r>
        <w:rPr>
          <w:rFonts w:hint="eastAsia"/>
          <w:sz w:val="24"/>
          <w:lang w:eastAsia="zh-CN"/>
        </w:rPr>
        <w:t>甲方有权将本协议及附件约定的对乙方的扣款直接从应付乙方的工程款中扣除，乙方无异议；若乙方未按时自行上交扣款，甲方有权按扣款金额的</w:t>
      </w:r>
      <w:r>
        <w:rPr>
          <w:rFonts w:hint="eastAsia"/>
          <w:color w:val="0000FF"/>
          <w:sz w:val="24"/>
          <w:lang w:eastAsia="zh-CN"/>
        </w:rPr>
        <w:t>[</w:t>
      </w:r>
      <w:r>
        <w:rPr>
          <w:rFonts w:hint="eastAsia"/>
          <w:color w:val="0000FF"/>
          <w:sz w:val="24"/>
          <w:lang w:val="en-US" w:eastAsia="zh-CN"/>
        </w:rPr>
        <w:t>0.4</w:t>
      </w:r>
      <w:r>
        <w:rPr>
          <w:rFonts w:hint="eastAsia"/>
          <w:color w:val="0000FF"/>
          <w:sz w:val="24"/>
          <w:lang w:eastAsia="zh-CN"/>
        </w:rPr>
        <w:t>]‰/日</w:t>
      </w:r>
      <w:r>
        <w:rPr>
          <w:rFonts w:hint="eastAsia"/>
          <w:sz w:val="24"/>
          <w:lang w:eastAsia="zh-CN"/>
        </w:rPr>
        <w:t>收取逾期违约金。</w:t>
      </w:r>
    </w:p>
    <w:p>
      <w:pPr>
        <w:spacing w:line="470" w:lineRule="exact"/>
        <w:ind w:firstLine="480" w:firstLineChars="200"/>
        <w:rPr>
          <w:sz w:val="24"/>
        </w:rPr>
      </w:pPr>
      <w:r>
        <w:rPr>
          <w:rFonts w:hint="eastAsia"/>
          <w:sz w:val="24"/>
        </w:rPr>
        <w:t>3、触犯国家、行业有关安全生产和环境保护的法律、法规、规程的，由责任方承担相应法律责任。</w:t>
      </w:r>
    </w:p>
    <w:p>
      <w:pPr>
        <w:spacing w:line="470" w:lineRule="exact"/>
        <w:ind w:firstLine="480" w:firstLineChars="200"/>
        <w:rPr>
          <w:sz w:val="24"/>
        </w:rPr>
      </w:pPr>
      <w:r>
        <w:rPr>
          <w:rFonts w:hint="eastAsia"/>
          <w:sz w:val="24"/>
        </w:rPr>
        <w:t>4、</w:t>
      </w:r>
      <w:bookmarkStart w:id="3" w:name="auto_fouce_16"/>
      <w:r>
        <w:rPr>
          <w:rFonts w:hint="eastAsia"/>
          <w:sz w:val="24"/>
        </w:rPr>
        <w:t>由于乙方责任</w:t>
      </w:r>
      <w:r>
        <w:rPr>
          <w:rFonts w:hint="eastAsia"/>
          <w:sz w:val="24"/>
          <w:lang w:eastAsia="zh-CN"/>
        </w:rPr>
        <w:t>（包括其分包商、供应商、雇员、代理人等）</w:t>
      </w:r>
      <w:r>
        <w:rPr>
          <w:rFonts w:hint="eastAsia"/>
          <w:sz w:val="24"/>
        </w:rPr>
        <w:t>造成</w:t>
      </w:r>
      <w:r>
        <w:rPr>
          <w:rFonts w:hint="eastAsia"/>
          <w:sz w:val="24"/>
          <w:lang w:eastAsia="zh-CN"/>
        </w:rPr>
        <w:t>甲</w:t>
      </w:r>
      <w:r>
        <w:rPr>
          <w:rFonts w:hint="eastAsia"/>
          <w:sz w:val="24"/>
        </w:rPr>
        <w:t>方</w:t>
      </w:r>
      <w:r>
        <w:rPr>
          <w:rFonts w:hint="eastAsia"/>
          <w:sz w:val="24"/>
          <w:lang w:eastAsia="zh-CN"/>
        </w:rPr>
        <w:t>、甲方人员、其他</w:t>
      </w:r>
      <w:r>
        <w:rPr>
          <w:rFonts w:hint="eastAsia"/>
          <w:sz w:val="24"/>
        </w:rPr>
        <w:t>第三方的人身伤害、设备损坏或财产损失等，由</w:t>
      </w:r>
      <w:r>
        <w:rPr>
          <w:rFonts w:hint="eastAsia"/>
          <w:sz w:val="24"/>
          <w:lang w:eastAsia="zh-CN"/>
        </w:rPr>
        <w:t>乙</w:t>
      </w:r>
      <w:r>
        <w:rPr>
          <w:rFonts w:hint="eastAsia"/>
          <w:sz w:val="24"/>
        </w:rPr>
        <w:t>方承担</w:t>
      </w:r>
      <w:r>
        <w:rPr>
          <w:rFonts w:hint="eastAsia"/>
          <w:sz w:val="24"/>
          <w:lang w:eastAsia="zh-CN"/>
        </w:rPr>
        <w:t>全部</w:t>
      </w:r>
      <w:r>
        <w:rPr>
          <w:rFonts w:hint="eastAsia"/>
          <w:sz w:val="24"/>
        </w:rPr>
        <w:t>责任，并赔偿</w:t>
      </w:r>
      <w:r>
        <w:rPr>
          <w:rFonts w:hint="eastAsia"/>
          <w:sz w:val="24"/>
          <w:lang w:eastAsia="zh-CN"/>
        </w:rPr>
        <w:t>甲</w:t>
      </w:r>
      <w:r>
        <w:rPr>
          <w:rFonts w:hint="eastAsia"/>
          <w:sz w:val="24"/>
        </w:rPr>
        <w:t>方</w:t>
      </w:r>
      <w:r>
        <w:rPr>
          <w:rFonts w:hint="eastAsia"/>
          <w:sz w:val="24"/>
          <w:lang w:eastAsia="zh-CN"/>
        </w:rPr>
        <w:t>及/</w:t>
      </w:r>
      <w:r>
        <w:rPr>
          <w:rFonts w:hint="eastAsia"/>
          <w:sz w:val="24"/>
        </w:rPr>
        <w:t>或</w:t>
      </w:r>
      <w:r>
        <w:rPr>
          <w:rFonts w:hint="eastAsia"/>
          <w:sz w:val="24"/>
          <w:lang w:eastAsia="zh-CN"/>
        </w:rPr>
        <w:t>相关</w:t>
      </w:r>
      <w:r>
        <w:rPr>
          <w:rFonts w:hint="eastAsia"/>
          <w:sz w:val="24"/>
        </w:rPr>
        <w:t>方因此</w:t>
      </w:r>
      <w:r>
        <w:rPr>
          <w:rFonts w:hint="eastAsia"/>
          <w:sz w:val="24"/>
          <w:lang w:eastAsia="zh-CN"/>
        </w:rPr>
        <w:t>遭受</w:t>
      </w:r>
      <w:r>
        <w:rPr>
          <w:rFonts w:hint="eastAsia"/>
          <w:sz w:val="24"/>
        </w:rPr>
        <w:t>的全部损失</w:t>
      </w:r>
      <w:r>
        <w:rPr>
          <w:rFonts w:hint="eastAsia"/>
          <w:sz w:val="24"/>
          <w:lang w:eastAsia="zh-CN"/>
        </w:rPr>
        <w:t>，包括但不限于直接损失、赔偿金、罚款、律师费、诉讼费等</w:t>
      </w:r>
      <w:r>
        <w:rPr>
          <w:rFonts w:hint="eastAsia"/>
          <w:sz w:val="24"/>
        </w:rPr>
        <w:t>。</w:t>
      </w:r>
      <w:bookmarkEnd w:id="3"/>
    </w:p>
    <w:p>
      <w:pPr>
        <w:spacing w:line="470" w:lineRule="exact"/>
        <w:ind w:firstLine="480" w:firstLineChars="200"/>
        <w:rPr>
          <w:rFonts w:hint="eastAsia"/>
          <w:sz w:val="24"/>
        </w:rPr>
      </w:pPr>
      <w:r>
        <w:rPr>
          <w:rFonts w:hint="eastAsia"/>
          <w:sz w:val="24"/>
        </w:rPr>
        <w:t>5、乙方未尽到其应尽的安全责任，甲方有权要求乙方立即停工整改，由此引起的后果及损失由乙方承担。</w:t>
      </w:r>
      <w:bookmarkEnd w:id="1"/>
    </w:p>
    <w:p>
      <w:pPr>
        <w:keepNext w:val="0"/>
        <w:keepLines w:val="0"/>
        <w:widowControl w:val="0"/>
        <w:suppressLineNumbers w:val="0"/>
        <w:spacing w:before="0" w:beforeAutospacing="0" w:after="0" w:afterAutospacing="0" w:line="470" w:lineRule="exact"/>
        <w:ind w:left="0" w:right="0" w:firstLine="482" w:firstLineChars="200"/>
        <w:jc w:val="both"/>
        <w:rPr>
          <w:rFonts w:hint="default" w:ascii="Times New Roman" w:hAnsi="Times New Roman" w:eastAsia="宋体" w:cs="Times New Roman"/>
          <w:b/>
          <w:bCs w:val="0"/>
          <w:kern w:val="2"/>
          <w:sz w:val="24"/>
          <w:szCs w:val="24"/>
        </w:rPr>
      </w:pPr>
      <w:r>
        <w:rPr>
          <w:rFonts w:hint="eastAsia" w:ascii="宋体" w:hAnsi="宋体" w:eastAsia="宋体" w:cs="宋体"/>
          <w:b/>
          <w:bCs w:val="0"/>
          <w:kern w:val="2"/>
          <w:sz w:val="24"/>
          <w:szCs w:val="24"/>
          <w:lang w:val="en-US" w:eastAsia="zh-CN" w:bidi="ar"/>
        </w:rPr>
        <w:t>第四条</w:t>
      </w:r>
      <w:r>
        <w:rPr>
          <w:rFonts w:hint="eastAsia" w:ascii="Times New Roman" w:hAnsi="Times New Roman" w:eastAsia="宋体" w:cs="Times New Roman"/>
          <w:b/>
          <w:bCs w:val="0"/>
          <w:kern w:val="2"/>
          <w:sz w:val="24"/>
          <w:szCs w:val="24"/>
          <w:lang w:val="en-US" w:eastAsia="zh-CN" w:bidi="ar"/>
        </w:rPr>
        <w:t xml:space="preserve"> </w:t>
      </w:r>
      <w:r>
        <w:rPr>
          <w:rFonts w:hint="eastAsia" w:ascii="宋体" w:hAnsi="宋体" w:eastAsia="宋体" w:cs="宋体"/>
          <w:b/>
          <w:bCs w:val="0"/>
          <w:kern w:val="2"/>
          <w:sz w:val="24"/>
          <w:szCs w:val="24"/>
          <w:lang w:val="en-US" w:eastAsia="zh-CN" w:bidi="ar"/>
        </w:rPr>
        <w:t>安健环业绩考核</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w:t>
      </w:r>
      <w:r>
        <w:rPr>
          <w:rFonts w:hint="eastAsia" w:ascii="宋体" w:hAnsi="宋体" w:eastAsia="宋体" w:cs="宋体"/>
          <w:kern w:val="2"/>
          <w:sz w:val="24"/>
          <w:szCs w:val="24"/>
          <w:lang w:val="en-US" w:eastAsia="zh-CN" w:bidi="ar"/>
        </w:rPr>
        <w:t>、为了落实安健环管理的责任，甲方对乙方在施工现场进行</w:t>
      </w:r>
      <w:r>
        <w:rPr>
          <w:rFonts w:hint="default" w:ascii="Times New Roman" w:hAnsi="Times New Roman" w:eastAsia="宋体" w:cs="Times New Roman"/>
          <w:kern w:val="2"/>
          <w:sz w:val="24"/>
          <w:szCs w:val="24"/>
          <w:lang w:val="en-US" w:eastAsia="zh-CN" w:bidi="ar"/>
        </w:rPr>
        <w:t>HSE</w:t>
      </w:r>
      <w:r>
        <w:rPr>
          <w:rFonts w:hint="eastAsia" w:ascii="宋体" w:hAnsi="宋体" w:eastAsia="宋体" w:cs="宋体"/>
          <w:kern w:val="2"/>
          <w:sz w:val="24"/>
          <w:szCs w:val="24"/>
          <w:lang w:val="en-US" w:eastAsia="zh-CN" w:bidi="ar"/>
        </w:rPr>
        <w:t>管理考核，具体执行《施工现场</w:t>
      </w:r>
      <w:r>
        <w:rPr>
          <w:rFonts w:hint="default" w:ascii="Times New Roman" w:hAnsi="Times New Roman" w:eastAsia="宋体" w:cs="Times New Roman"/>
          <w:kern w:val="2"/>
          <w:sz w:val="24"/>
          <w:szCs w:val="24"/>
          <w:lang w:val="en-US" w:eastAsia="zh-CN" w:bidi="ar"/>
        </w:rPr>
        <w:t>HSE</w:t>
      </w:r>
      <w:r>
        <w:rPr>
          <w:rFonts w:hint="eastAsia" w:ascii="宋体" w:hAnsi="宋体" w:eastAsia="宋体" w:cs="宋体"/>
          <w:kern w:val="2"/>
          <w:sz w:val="24"/>
          <w:szCs w:val="24"/>
          <w:lang w:val="en-US" w:eastAsia="zh-CN" w:bidi="ar"/>
        </w:rPr>
        <w:t>奖罚规定》（附件）。</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2</w:t>
      </w:r>
      <w:r>
        <w:rPr>
          <w:rFonts w:hint="eastAsia" w:ascii="宋体" w:hAnsi="宋体" w:eastAsia="宋体" w:cs="宋体"/>
          <w:kern w:val="2"/>
          <w:sz w:val="24"/>
          <w:szCs w:val="24"/>
          <w:lang w:val="en-US" w:eastAsia="zh-CN" w:bidi="ar"/>
        </w:rPr>
        <w:t>、考核金额累计一般不超过</w:t>
      </w:r>
      <w:r>
        <w:rPr>
          <w:rFonts w:hint="eastAsia" w:ascii="宋体" w:hAnsi="宋体" w:cs="宋体"/>
          <w:kern w:val="2"/>
          <w:sz w:val="24"/>
          <w:szCs w:val="24"/>
          <w:lang w:val="en-US" w:eastAsia="zh-CN" w:bidi="ar"/>
        </w:rPr>
        <w:t>主</w:t>
      </w:r>
      <w:bookmarkStart w:id="23" w:name="_GoBack"/>
      <w:bookmarkEnd w:id="23"/>
      <w:r>
        <w:rPr>
          <w:rFonts w:hint="eastAsia" w:ascii="宋体" w:hAnsi="宋体" w:eastAsia="宋体" w:cs="宋体"/>
          <w:kern w:val="2"/>
          <w:sz w:val="24"/>
          <w:szCs w:val="24"/>
          <w:lang w:val="en-US" w:eastAsia="zh-CN" w:bidi="ar"/>
        </w:rPr>
        <w:t>合同总价</w:t>
      </w:r>
      <w:r>
        <w:rPr>
          <w:rFonts w:hint="eastAsia" w:ascii="宋体" w:hAnsi="宋体" w:eastAsia="宋体" w:cs="宋体"/>
          <w:color w:val="0000FF"/>
          <w:kern w:val="2"/>
          <w:sz w:val="24"/>
          <w:szCs w:val="24"/>
          <w:highlight w:val="none"/>
          <w:lang w:val="en-US" w:eastAsia="zh-CN" w:bidi="ar"/>
        </w:rPr>
        <w:t>的</w:t>
      </w:r>
      <w:r>
        <w:rPr>
          <w:rFonts w:hint="default" w:ascii="Times New Roman" w:hAnsi="Times New Roman" w:eastAsia="宋体" w:cs="Times New Roman"/>
          <w:color w:val="0000FF"/>
          <w:kern w:val="2"/>
          <w:sz w:val="24"/>
          <w:szCs w:val="24"/>
          <w:highlight w:val="none"/>
          <w:lang w:val="en-US" w:eastAsia="zh-CN" w:bidi="ar"/>
        </w:rPr>
        <w:t>10%</w:t>
      </w:r>
      <w:r>
        <w:rPr>
          <w:rFonts w:hint="eastAsia" w:ascii="宋体" w:hAnsi="宋体" w:eastAsia="宋体" w:cs="宋体"/>
          <w:color w:val="0000FF"/>
          <w:kern w:val="2"/>
          <w:sz w:val="24"/>
          <w:szCs w:val="24"/>
          <w:highlight w:val="none"/>
          <w:lang w:val="en-US" w:eastAsia="zh-CN" w:bidi="ar"/>
        </w:rPr>
        <w:t>。</w:t>
      </w:r>
    </w:p>
    <w:p>
      <w:pPr>
        <w:keepNext w:val="0"/>
        <w:keepLines w:val="0"/>
        <w:widowControl w:val="0"/>
        <w:suppressLineNumbers w:val="0"/>
        <w:spacing w:before="0" w:beforeAutospacing="0" w:after="0" w:afterAutospacing="0" w:line="470" w:lineRule="exact"/>
        <w:ind w:left="0" w:right="0" w:firstLine="482" w:firstLineChars="200"/>
        <w:jc w:val="both"/>
        <w:rPr>
          <w:rFonts w:hint="default" w:ascii="Times New Roman" w:hAnsi="Times New Roman" w:eastAsia="宋体" w:cs="Times New Roman"/>
          <w:b/>
          <w:bCs w:val="0"/>
          <w:kern w:val="2"/>
          <w:sz w:val="24"/>
          <w:szCs w:val="24"/>
        </w:rPr>
      </w:pPr>
      <w:r>
        <w:rPr>
          <w:rFonts w:hint="eastAsia" w:ascii="宋体" w:hAnsi="宋体" w:eastAsia="宋体" w:cs="宋体"/>
          <w:b/>
          <w:bCs w:val="0"/>
          <w:kern w:val="2"/>
          <w:sz w:val="24"/>
          <w:szCs w:val="24"/>
          <w:lang w:val="en-US" w:eastAsia="zh-CN" w:bidi="ar"/>
        </w:rPr>
        <w:t>第五条</w:t>
      </w:r>
      <w:r>
        <w:rPr>
          <w:rFonts w:hint="eastAsia" w:ascii="Times New Roman" w:hAnsi="Times New Roman" w:eastAsia="宋体" w:cs="Times New Roman"/>
          <w:b/>
          <w:bCs w:val="0"/>
          <w:kern w:val="2"/>
          <w:sz w:val="24"/>
          <w:szCs w:val="24"/>
          <w:lang w:val="en-US" w:eastAsia="zh-CN" w:bidi="ar"/>
        </w:rPr>
        <w:t xml:space="preserve"> </w:t>
      </w:r>
      <w:r>
        <w:rPr>
          <w:rFonts w:hint="eastAsia" w:ascii="宋体" w:hAnsi="宋体" w:eastAsia="宋体" w:cs="宋体"/>
          <w:b/>
          <w:bCs w:val="0"/>
          <w:kern w:val="2"/>
          <w:sz w:val="24"/>
          <w:szCs w:val="24"/>
          <w:lang w:val="en-US" w:eastAsia="zh-CN" w:bidi="ar"/>
        </w:rPr>
        <w:t>其他</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1</w:t>
      </w:r>
      <w:r>
        <w:rPr>
          <w:rFonts w:hint="eastAsia" w:ascii="宋体" w:hAnsi="宋体" w:eastAsia="宋体" w:cs="宋体"/>
          <w:kern w:val="2"/>
          <w:sz w:val="24"/>
          <w:szCs w:val="24"/>
          <w:lang w:val="en-US" w:eastAsia="zh-CN" w:bidi="ar"/>
        </w:rPr>
        <w:t>、本协议作为承包合同的有效组成部分，与承包合同同时生效和终止。</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2</w:t>
      </w:r>
      <w:r>
        <w:rPr>
          <w:rFonts w:hint="eastAsia" w:ascii="宋体" w:hAnsi="宋体" w:eastAsia="宋体" w:cs="宋体"/>
          <w:kern w:val="2"/>
          <w:sz w:val="24"/>
          <w:szCs w:val="24"/>
          <w:lang w:val="en-US" w:eastAsia="zh-CN" w:bidi="ar"/>
        </w:rPr>
        <w:t>、本协议如有争议，争议解决办法与合同争议解决办法相同。</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3</w:t>
      </w:r>
      <w:r>
        <w:rPr>
          <w:rFonts w:hint="eastAsia" w:ascii="宋体" w:hAnsi="宋体" w:eastAsia="宋体" w:cs="宋体"/>
          <w:kern w:val="2"/>
          <w:sz w:val="24"/>
          <w:szCs w:val="24"/>
          <w:lang w:val="en-US" w:eastAsia="zh-CN" w:bidi="ar"/>
        </w:rPr>
        <w:t>、本协议未尽事宜，双方协商解决。</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4</w:t>
      </w:r>
      <w:r>
        <w:rPr>
          <w:rFonts w:hint="eastAsia" w:ascii="宋体" w:hAnsi="宋体" w:eastAsia="宋体" w:cs="宋体"/>
          <w:kern w:val="2"/>
          <w:sz w:val="24"/>
          <w:szCs w:val="24"/>
          <w:lang w:val="en-US" w:eastAsia="zh-CN" w:bidi="ar"/>
        </w:rPr>
        <w:t>、如有与国家和地方有关规定相悖的，按国家和地方有关规定执行。</w:t>
      </w:r>
    </w:p>
    <w:p>
      <w:pPr>
        <w:keepNext w:val="0"/>
        <w:keepLines w:val="0"/>
        <w:widowControl w:val="0"/>
        <w:suppressLineNumbers w:val="0"/>
        <w:spacing w:before="0" w:beforeAutospacing="0" w:after="0" w:afterAutospacing="0" w:line="470" w:lineRule="exact"/>
        <w:ind w:left="0" w:right="0" w:firstLine="480" w:firstLineChars="200"/>
        <w:jc w:val="both"/>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5</w:t>
      </w:r>
      <w:r>
        <w:rPr>
          <w:rFonts w:hint="eastAsia" w:ascii="宋体" w:hAnsi="宋体" w:eastAsia="宋体" w:cs="宋体"/>
          <w:kern w:val="2"/>
          <w:sz w:val="24"/>
          <w:szCs w:val="24"/>
          <w:lang w:val="en-US" w:eastAsia="zh-CN" w:bidi="ar"/>
        </w:rPr>
        <w:t>、本协议一式肆份，甲乙双方各执贰份，签字盖章后即生效。</w:t>
      </w:r>
    </w:p>
    <w:p>
      <w:pPr>
        <w:rPr>
          <w:rFonts w:hint="default"/>
          <w:sz w:val="24"/>
        </w:rPr>
      </w:pPr>
    </w:p>
    <w:p>
      <w:pPr>
        <w:pStyle w:val="2"/>
        <w:rPr>
          <w:rFonts w:hint="default"/>
        </w:rPr>
      </w:pPr>
    </w:p>
    <w:p>
      <w:pPr>
        <w:rPr>
          <w:rFonts w:hint="default"/>
          <w:sz w:val="24"/>
        </w:rPr>
      </w:pPr>
      <w:r>
        <w:rPr>
          <w:rFonts w:hint="default"/>
          <w:sz w:val="24"/>
        </w:rPr>
        <w:t xml:space="preserve">    </w:t>
      </w:r>
    </w:p>
    <w:p>
      <w:pPr>
        <w:rPr>
          <w:rFonts w:hint="default"/>
          <w:sz w:val="24"/>
        </w:rPr>
      </w:pPr>
      <w:r>
        <w:rPr>
          <w:rFonts w:hint="default"/>
          <w:sz w:val="24"/>
        </w:rPr>
        <w:br w:type="page"/>
      </w:r>
    </w:p>
    <w:p>
      <w:pPr>
        <w:rPr>
          <w:rFonts w:hint="default"/>
          <w:sz w:val="24"/>
        </w:rPr>
      </w:pPr>
      <w:r>
        <w:rPr>
          <w:rFonts w:ascii="宋体" w:hAnsi="宋体" w:eastAsia="宋体" w:cs="宋体"/>
          <w:b/>
          <w:bCs/>
          <w:sz w:val="24"/>
          <w:szCs w:val="24"/>
        </w:rPr>
        <w:t>重要提示条款：【合同各方当事人在签署本合同之前，请务必审慎阅读，充分理解各条款内容，特别是违约责任条款，免除或者限制责任条款，法律适用和争议解决条款。合同各方当事人确认，合同格式文本提供方已对合同文本进行了充分展示和详细说明，合同各方当事人确认在同意订立本合同前，对本合同所有条款及内容已经阅悉，均无异议，并对合同各方当事人的权利义务达成了全面，准确的理解，对各方免除或者限制责任的条款均已有充分了解和预期。】</w:t>
      </w:r>
    </w:p>
    <w:p>
      <w:pPr>
        <w:spacing w:line="470" w:lineRule="exact"/>
        <w:ind w:firstLine="480" w:firstLineChars="200"/>
        <w:rPr>
          <w:rFonts w:hint="eastAsia"/>
          <w:sz w:val="24"/>
        </w:rPr>
      </w:pPr>
    </w:p>
    <w:p>
      <w:pPr>
        <w:spacing w:line="470" w:lineRule="exact"/>
        <w:ind w:firstLine="480" w:firstLineChars="200"/>
        <w:rPr>
          <w:rFonts w:hint="eastAsia"/>
          <w:sz w:val="24"/>
        </w:rPr>
      </w:pPr>
    </w:p>
    <w:p>
      <w:pPr>
        <w:pStyle w:val="2"/>
        <w:rPr>
          <w:rFonts w:hint="eastAsia"/>
        </w:rPr>
      </w:pPr>
    </w:p>
    <w:p>
      <w:pPr>
        <w:spacing w:line="470" w:lineRule="exact"/>
        <w:ind w:firstLine="480" w:firstLineChars="200"/>
        <w:rPr>
          <w:sz w:val="24"/>
        </w:rPr>
      </w:pPr>
      <w:r>
        <w:rPr>
          <w:rFonts w:hint="eastAsia"/>
          <w:sz w:val="24"/>
        </w:rPr>
        <w:t>甲方：                              乙方：</w:t>
      </w:r>
    </w:p>
    <w:p>
      <w:pPr>
        <w:spacing w:line="470" w:lineRule="exact"/>
        <w:ind w:firstLine="480" w:firstLineChars="200"/>
        <w:rPr>
          <w:sz w:val="24"/>
        </w:rPr>
      </w:pPr>
    </w:p>
    <w:p>
      <w:pPr>
        <w:spacing w:line="470" w:lineRule="exact"/>
        <w:ind w:firstLine="480" w:firstLineChars="200"/>
        <w:rPr>
          <w:sz w:val="24"/>
        </w:rPr>
      </w:pPr>
      <w:r>
        <w:rPr>
          <w:rFonts w:hint="eastAsia"/>
          <w:sz w:val="24"/>
        </w:rPr>
        <w:t>代表：　　　　　　　　　　          代表：</w:t>
      </w:r>
    </w:p>
    <w:p>
      <w:pPr>
        <w:spacing w:line="470" w:lineRule="exact"/>
        <w:ind w:firstLine="480" w:firstLineChars="200"/>
        <w:rPr>
          <w:sz w:val="24"/>
        </w:rPr>
      </w:pPr>
      <w:r>
        <w:rPr>
          <w:rFonts w:hint="eastAsia"/>
          <w:sz w:val="24"/>
        </w:rPr>
        <w:t>　　</w:t>
      </w:r>
    </w:p>
    <w:p>
      <w:pPr>
        <w:spacing w:line="470" w:lineRule="exact"/>
        <w:ind w:firstLine="480" w:firstLineChars="200"/>
        <w:rPr>
          <w:rFonts w:hint="eastAsia"/>
          <w:sz w:val="24"/>
        </w:rPr>
      </w:pPr>
      <w:r>
        <w:rPr>
          <w:rFonts w:hint="eastAsia"/>
          <w:sz w:val="24"/>
        </w:rPr>
        <w:t>日期：　</w:t>
      </w:r>
      <w:r>
        <w:rPr>
          <w:rFonts w:hint="eastAsia"/>
          <w:sz w:val="24"/>
          <w:lang w:val="en-US" w:eastAsia="zh-CN"/>
        </w:rPr>
        <w:t xml:space="preserve">  </w:t>
      </w:r>
      <w:r>
        <w:rPr>
          <w:rFonts w:hint="eastAsia"/>
          <w:sz w:val="24"/>
        </w:rPr>
        <w:t>年　</w:t>
      </w:r>
      <w:r>
        <w:rPr>
          <w:rFonts w:hint="eastAsia"/>
          <w:sz w:val="24"/>
          <w:lang w:val="en-US" w:eastAsia="zh-CN"/>
        </w:rPr>
        <w:t xml:space="preserve">  </w:t>
      </w:r>
      <w:r>
        <w:rPr>
          <w:rFonts w:hint="eastAsia"/>
          <w:sz w:val="24"/>
        </w:rPr>
        <w:t>月　</w:t>
      </w:r>
      <w:r>
        <w:rPr>
          <w:rFonts w:hint="eastAsia"/>
          <w:sz w:val="24"/>
          <w:lang w:val="en-US" w:eastAsia="zh-CN"/>
        </w:rPr>
        <w:t xml:space="preserve">  </w:t>
      </w:r>
      <w:r>
        <w:rPr>
          <w:rFonts w:hint="eastAsia"/>
          <w:sz w:val="24"/>
        </w:rPr>
        <w:t>日            日期：　　</w:t>
      </w:r>
      <w:r>
        <w:rPr>
          <w:rFonts w:hint="eastAsia"/>
          <w:sz w:val="24"/>
          <w:lang w:val="en-US" w:eastAsia="zh-CN"/>
        </w:rPr>
        <w:t xml:space="preserve"> </w:t>
      </w:r>
      <w:r>
        <w:rPr>
          <w:rFonts w:hint="eastAsia"/>
          <w:sz w:val="24"/>
        </w:rPr>
        <w:t>年</w:t>
      </w:r>
      <w:r>
        <w:rPr>
          <w:rFonts w:hint="eastAsia"/>
          <w:sz w:val="24"/>
          <w:lang w:val="en-US" w:eastAsia="zh-CN"/>
        </w:rPr>
        <w:t xml:space="preserve">  </w:t>
      </w:r>
      <w:r>
        <w:rPr>
          <w:rFonts w:hint="eastAsia"/>
          <w:sz w:val="24"/>
        </w:rPr>
        <w:t>　月　</w:t>
      </w:r>
      <w:r>
        <w:rPr>
          <w:rFonts w:hint="eastAsia"/>
          <w:sz w:val="24"/>
          <w:lang w:val="en-US" w:eastAsia="zh-CN"/>
        </w:rPr>
        <w:t xml:space="preserve"> </w:t>
      </w:r>
      <w:r>
        <w:rPr>
          <w:rFonts w:hint="eastAsia"/>
          <w:sz w:val="24"/>
        </w:rPr>
        <w:t xml:space="preserve"> 日</w:t>
      </w:r>
    </w:p>
    <w:p>
      <w:pPr>
        <w:rPr>
          <w:rFonts w:hint="eastAsia"/>
          <w:sz w:val="24"/>
        </w:rPr>
      </w:pPr>
      <w:r>
        <w:rPr>
          <w:rFonts w:hint="eastAsia"/>
          <w:sz w:val="24"/>
        </w:rPr>
        <w:br w:type="page"/>
      </w:r>
    </w:p>
    <w:p>
      <w:pPr>
        <w:pStyle w:val="40"/>
        <w:spacing w:line="360" w:lineRule="auto"/>
        <w:rPr>
          <w:rFonts w:ascii="黑体" w:hAnsi="宋体" w:eastAsia="黑体"/>
          <w:bCs/>
          <w:kern w:val="44"/>
          <w:szCs w:val="21"/>
        </w:rPr>
      </w:pPr>
      <w:r>
        <w:rPr>
          <w:rFonts w:hint="eastAsia" w:ascii="黑体" w:hAnsi="宋体" w:eastAsia="黑体"/>
          <w:bCs/>
          <w:kern w:val="44"/>
          <w:sz w:val="28"/>
          <w:szCs w:val="28"/>
        </w:rPr>
        <w:t>附件</w:t>
      </w:r>
    </w:p>
    <w:p>
      <w:pPr>
        <w:widowControl/>
        <w:spacing w:line="360" w:lineRule="auto"/>
        <w:contextualSpacing/>
        <w:jc w:val="center"/>
        <w:outlineLvl w:val="0"/>
        <w:rPr>
          <w:rFonts w:ascii="黑体" w:hAnsi="宋体" w:eastAsia="黑体"/>
          <w:bCs/>
          <w:kern w:val="44"/>
          <w:sz w:val="30"/>
          <w:szCs w:val="30"/>
        </w:rPr>
      </w:pPr>
      <w:r>
        <w:rPr>
          <w:rFonts w:hint="eastAsia" w:ascii="黑体" w:hAnsi="宋体" w:eastAsia="黑体"/>
          <w:bCs/>
          <w:kern w:val="44"/>
          <w:sz w:val="30"/>
          <w:szCs w:val="30"/>
        </w:rPr>
        <w:t>施工现场</w:t>
      </w:r>
      <w:r>
        <w:rPr>
          <w:rFonts w:ascii="黑体" w:hAnsi="宋体" w:eastAsia="黑体"/>
          <w:bCs/>
          <w:kern w:val="44"/>
          <w:sz w:val="30"/>
          <w:szCs w:val="30"/>
        </w:rPr>
        <w:t>HSE</w:t>
      </w:r>
      <w:r>
        <w:rPr>
          <w:rFonts w:hint="eastAsia" w:ascii="黑体" w:hAnsi="宋体" w:eastAsia="黑体"/>
          <w:bCs/>
          <w:kern w:val="44"/>
          <w:sz w:val="30"/>
          <w:szCs w:val="30"/>
        </w:rPr>
        <w:t>奖罚规定</w:t>
      </w:r>
    </w:p>
    <w:p>
      <w:pPr>
        <w:pStyle w:val="21"/>
        <w:spacing w:line="360" w:lineRule="auto"/>
        <w:ind w:firstLine="480"/>
        <w:rPr>
          <w:i/>
          <w:sz w:val="24"/>
          <w:szCs w:val="24"/>
          <w:lang w:eastAsia="zh-CN"/>
        </w:rPr>
      </w:pPr>
    </w:p>
    <w:p>
      <w:pPr>
        <w:adjustRightInd w:val="0"/>
        <w:spacing w:line="470" w:lineRule="exact"/>
        <w:ind w:firstLine="522" w:firstLineChars="200"/>
        <w:jc w:val="left"/>
        <w:outlineLvl w:val="1"/>
        <w:rPr>
          <w:rFonts w:asciiTheme="minorEastAsia" w:hAnsiTheme="minorEastAsia" w:eastAsiaTheme="minorEastAsia" w:cstheme="minorEastAsia"/>
          <w:b/>
          <w:spacing w:val="10"/>
          <w:sz w:val="24"/>
        </w:rPr>
      </w:pPr>
      <w:bookmarkStart w:id="4" w:name="_Toc256713128"/>
      <w:bookmarkStart w:id="5" w:name="_Toc301180784"/>
      <w:r>
        <w:rPr>
          <w:rFonts w:hint="eastAsia" w:asciiTheme="minorEastAsia" w:hAnsiTheme="minorEastAsia" w:eastAsiaTheme="minorEastAsia" w:cstheme="minorEastAsia"/>
          <w:b/>
          <w:spacing w:val="10"/>
          <w:sz w:val="24"/>
        </w:rPr>
        <w:t>一、说明</w:t>
      </w:r>
      <w:bookmarkEnd w:id="4"/>
      <w:bookmarkEnd w:id="5"/>
    </w:p>
    <w:p>
      <w:pPr>
        <w:spacing w:line="470" w:lineRule="exact"/>
        <w:ind w:firstLine="480" w:firstLineChars="200"/>
        <w:rPr>
          <w:rFonts w:asciiTheme="minorEastAsia" w:hAnsiTheme="minorEastAsia" w:eastAsiaTheme="minorEastAsia" w:cstheme="minorEastAsia"/>
          <w:sz w:val="24"/>
        </w:rPr>
      </w:pPr>
      <w:bookmarkStart w:id="6" w:name="_Toc526137039"/>
      <w:r>
        <w:rPr>
          <w:rFonts w:hint="eastAsia" w:asciiTheme="minorEastAsia" w:hAnsiTheme="minorEastAsia" w:eastAsiaTheme="minorEastAsia" w:cstheme="minorEastAsia"/>
          <w:sz w:val="24"/>
        </w:rPr>
        <w:t>1、依照合同相关条款的约定，本规定作为合同要求具体化的延伸，甲方对乙方HSE管理的任何不符合现象具有奖惩的权利。</w:t>
      </w:r>
    </w:p>
    <w:p>
      <w:pPr>
        <w:spacing w:line="47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2、乙方的现场活动/生产/服务应满足和符合甲方的HSE管理要求和相关管理规则、标准。</w:t>
      </w:r>
    </w:p>
    <w:bookmarkEnd w:id="6"/>
    <w:p>
      <w:pPr>
        <w:adjustRightInd w:val="0"/>
        <w:spacing w:line="470" w:lineRule="exact"/>
        <w:ind w:firstLine="522" w:firstLineChars="200"/>
        <w:jc w:val="left"/>
        <w:outlineLvl w:val="1"/>
        <w:rPr>
          <w:rFonts w:asciiTheme="minorEastAsia" w:hAnsiTheme="minorEastAsia" w:eastAsiaTheme="minorEastAsia" w:cstheme="minorEastAsia"/>
          <w:b/>
          <w:spacing w:val="10"/>
          <w:sz w:val="24"/>
        </w:rPr>
      </w:pPr>
      <w:bookmarkStart w:id="7" w:name="_Toc301180785"/>
      <w:r>
        <w:rPr>
          <w:rFonts w:hint="eastAsia" w:asciiTheme="minorEastAsia" w:hAnsiTheme="minorEastAsia" w:eastAsiaTheme="minorEastAsia" w:cstheme="minorEastAsia"/>
          <w:b/>
          <w:spacing w:val="10"/>
          <w:sz w:val="24"/>
        </w:rPr>
        <w:t>二、基本处罚标准</w:t>
      </w:r>
      <w:bookmarkEnd w:id="7"/>
    </w:p>
    <w:p>
      <w:pPr>
        <w:tabs>
          <w:tab w:val="left" w:pos="1314"/>
        </w:tabs>
        <w:spacing w:line="470" w:lineRule="exact"/>
        <w:ind w:left="-80" w:leftChars="-3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1、为保证现场HSE管理透明度，做好经验反馈，落实反事故措施，对发生未遂事故、事件能及时上报的酌情给予警告；但一般不考虑给予经济处罚，以免发生乙方故意隐瞒不报的现象。</w:t>
      </w:r>
    </w:p>
    <w:p>
      <w:pPr>
        <w:tabs>
          <w:tab w:val="left" w:pos="1314"/>
        </w:tabs>
        <w:spacing w:line="470" w:lineRule="exact"/>
        <w:ind w:left="-80" w:leftChars="-3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w:t>
      </w:r>
      <w:bookmarkStart w:id="8" w:name="tip_risk_bookmark_20"/>
      <w:r>
        <w:rPr>
          <w:rFonts w:hint="eastAsia" w:asciiTheme="minorEastAsia" w:hAnsiTheme="minorEastAsia" w:eastAsiaTheme="minorEastAsia" w:cstheme="minorEastAsia"/>
          <w:bCs/>
          <w:sz w:val="24"/>
        </w:rPr>
        <w:t>发生轻伤事故，给予事故单位扣款1000-5000元。</w:t>
      </w:r>
    </w:p>
    <w:p>
      <w:pPr>
        <w:tabs>
          <w:tab w:val="left" w:pos="1314"/>
        </w:tabs>
        <w:spacing w:line="470" w:lineRule="exact"/>
        <w:ind w:left="-80" w:leftChars="-3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3、发生重伤事故，给予事故单位扣款5000-50000元。</w:t>
      </w:r>
    </w:p>
    <w:p>
      <w:pPr>
        <w:tabs>
          <w:tab w:val="left" w:pos="1314"/>
        </w:tabs>
        <w:spacing w:line="470" w:lineRule="exact"/>
        <w:ind w:left="-80" w:leftChars="-3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4、</w:t>
      </w:r>
      <w:bookmarkStart w:id="9" w:name="tip_risk_bookmark_21"/>
      <w:r>
        <w:rPr>
          <w:rFonts w:hint="eastAsia" w:asciiTheme="minorEastAsia" w:hAnsiTheme="minorEastAsia" w:eastAsiaTheme="minorEastAsia" w:cstheme="minorEastAsia"/>
          <w:bCs/>
          <w:sz w:val="24"/>
        </w:rPr>
        <w:t>发生人身死亡责任事故每人次处以40万元扣款；</w:t>
      </w:r>
      <w:bookmarkEnd w:id="9"/>
      <w:r>
        <w:rPr>
          <w:rFonts w:hint="eastAsia" w:asciiTheme="minorEastAsia" w:hAnsiTheme="minorEastAsia" w:eastAsiaTheme="minorEastAsia" w:cstheme="minorEastAsia"/>
          <w:bCs/>
          <w:sz w:val="24"/>
        </w:rPr>
        <w:t xml:space="preserve"> </w:t>
      </w:r>
    </w:p>
    <w:p>
      <w:pPr>
        <w:tabs>
          <w:tab w:val="left" w:pos="1314"/>
        </w:tabs>
        <w:spacing w:line="470" w:lineRule="exact"/>
        <w:ind w:left="-80" w:leftChars="-3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5、一般火灾事故处以1000-50000元扣款（有人身伤亡的按上述款项并处）。</w:t>
      </w:r>
    </w:p>
    <w:p>
      <w:pPr>
        <w:tabs>
          <w:tab w:val="left" w:pos="1314"/>
        </w:tabs>
        <w:spacing w:line="470" w:lineRule="exact"/>
        <w:ind w:left="-80" w:leftChars="-3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6、因废料、废气造成环境污染的， 扣款1000-30000元。</w:t>
      </w:r>
    </w:p>
    <w:p>
      <w:pPr>
        <w:tabs>
          <w:tab w:val="left" w:pos="1314"/>
        </w:tabs>
        <w:spacing w:line="470" w:lineRule="exact"/>
        <w:ind w:left="-80" w:leftChars="-38" w:firstLine="480" w:firstLineChars="200"/>
        <w:rPr>
          <w:rFonts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lang w:val="en-US" w:eastAsia="zh-CN"/>
        </w:rPr>
        <w:t>7</w:t>
      </w:r>
      <w:r>
        <w:rPr>
          <w:rFonts w:hint="eastAsia" w:asciiTheme="minorEastAsia" w:hAnsiTheme="minorEastAsia" w:eastAsiaTheme="minorEastAsia" w:cstheme="minorEastAsia"/>
          <w:bCs/>
          <w:sz w:val="24"/>
        </w:rPr>
        <w:t>、</w:t>
      </w:r>
      <w:bookmarkStart w:id="10" w:name="auto_fouce_23"/>
      <w:r>
        <w:rPr>
          <w:rFonts w:hint="eastAsia" w:asciiTheme="minorEastAsia" w:hAnsiTheme="minorEastAsia" w:eastAsiaTheme="minorEastAsia" w:cstheme="minorEastAsia"/>
          <w:bCs/>
          <w:sz w:val="24"/>
        </w:rPr>
        <w:t>乙方隐瞒事故的按照国家相关法律法规要求，报送上级单位及政府主管部门处理。</w:t>
      </w:r>
      <w:r>
        <w:rPr>
          <w:rFonts w:hint="eastAsia" w:asciiTheme="minorEastAsia" w:hAnsiTheme="minorEastAsia" w:eastAsiaTheme="minorEastAsia" w:cstheme="minorEastAsia"/>
          <w:bCs/>
          <w:sz w:val="24"/>
          <w:lang w:eastAsia="zh-CN"/>
        </w:rPr>
        <w:t>且甲方有权根据事故严重程度另行处以人民币拾万元的违约金，并保留追究其因此给甲方造成其他损失的权利。</w:t>
      </w:r>
      <w:bookmarkEnd w:id="10"/>
    </w:p>
    <w:p>
      <w:pPr>
        <w:tabs>
          <w:tab w:val="left" w:pos="1314"/>
        </w:tabs>
        <w:spacing w:line="470" w:lineRule="exact"/>
        <w:ind w:left="-80" w:leftChars="-3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en-US" w:eastAsia="zh-CN"/>
        </w:rPr>
        <w:t>8</w:t>
      </w:r>
      <w:r>
        <w:rPr>
          <w:rFonts w:hint="eastAsia" w:asciiTheme="minorEastAsia" w:hAnsiTheme="minorEastAsia" w:eastAsiaTheme="minorEastAsia" w:cstheme="minorEastAsia"/>
          <w:bCs/>
          <w:sz w:val="24"/>
        </w:rPr>
        <w:t>、</w:t>
      </w:r>
      <w:bookmarkStart w:id="11" w:name="auto_fouce_24"/>
      <w:r>
        <w:rPr>
          <w:rFonts w:hint="eastAsia" w:asciiTheme="minorEastAsia" w:hAnsiTheme="minorEastAsia" w:eastAsiaTheme="minorEastAsia" w:cstheme="minorEastAsia"/>
          <w:bCs/>
          <w:sz w:val="24"/>
        </w:rPr>
        <w:t>对甲方以《施工现场安全整改通知单》、检查通报、检查会议纪要等形式提出的整改要求；乙方逾期不整改或拒绝整改的，酌情给予扣款1000-5000元；依然不能满足管理要求的，甲方有权要求乙方</w:t>
      </w:r>
      <w:r>
        <w:rPr>
          <w:rFonts w:hint="eastAsia" w:asciiTheme="minorEastAsia" w:hAnsiTheme="minorEastAsia" w:eastAsiaTheme="minorEastAsia" w:cstheme="minorEastAsia"/>
          <w:bCs/>
          <w:sz w:val="24"/>
          <w:lang w:eastAsia="zh-CN"/>
        </w:rPr>
        <w:t>立即</w:t>
      </w:r>
      <w:r>
        <w:rPr>
          <w:rFonts w:hint="eastAsia" w:asciiTheme="minorEastAsia" w:hAnsiTheme="minorEastAsia" w:eastAsiaTheme="minorEastAsia" w:cstheme="minorEastAsia"/>
          <w:bCs/>
          <w:sz w:val="24"/>
        </w:rPr>
        <w:t>更换责任人员，</w:t>
      </w:r>
      <w:r>
        <w:rPr>
          <w:rFonts w:hint="eastAsia" w:asciiTheme="minorEastAsia" w:hAnsiTheme="minorEastAsia" w:eastAsiaTheme="minorEastAsia" w:cstheme="minorEastAsia"/>
          <w:bCs/>
          <w:sz w:val="24"/>
          <w:lang w:eastAsia="zh-CN"/>
        </w:rPr>
        <w:t>情节严重的，甲方有权暂</w:t>
      </w:r>
      <w:r>
        <w:rPr>
          <w:rFonts w:hint="eastAsia" w:asciiTheme="minorEastAsia" w:hAnsiTheme="minorEastAsia" w:eastAsiaTheme="minorEastAsia" w:cstheme="minorEastAsia"/>
          <w:bCs/>
          <w:sz w:val="24"/>
        </w:rPr>
        <w:t>停</w:t>
      </w:r>
      <w:r>
        <w:rPr>
          <w:rFonts w:hint="eastAsia" w:asciiTheme="minorEastAsia" w:hAnsiTheme="minorEastAsia" w:eastAsiaTheme="minorEastAsia" w:cstheme="minorEastAsia"/>
          <w:bCs/>
          <w:sz w:val="24"/>
          <w:lang w:eastAsia="zh-CN"/>
        </w:rPr>
        <w:t>乙方部分或全部作业，暂停支付乙方</w:t>
      </w:r>
      <w:r>
        <w:rPr>
          <w:rFonts w:hint="eastAsia" w:asciiTheme="minorEastAsia" w:hAnsiTheme="minorEastAsia" w:eastAsiaTheme="minorEastAsia" w:cstheme="minorEastAsia"/>
          <w:bCs/>
          <w:sz w:val="24"/>
        </w:rPr>
        <w:t>工</w:t>
      </w:r>
      <w:r>
        <w:rPr>
          <w:rFonts w:hint="eastAsia" w:asciiTheme="minorEastAsia" w:hAnsiTheme="minorEastAsia" w:eastAsiaTheme="minorEastAsia" w:cstheme="minorEastAsia"/>
          <w:bCs/>
          <w:sz w:val="24"/>
          <w:lang w:eastAsia="zh-CN"/>
        </w:rPr>
        <w:t>程款，直至解除相关合同，并要求乙方承担由此造成的全部损失</w:t>
      </w:r>
      <w:r>
        <w:rPr>
          <w:rFonts w:hint="eastAsia" w:asciiTheme="minorEastAsia" w:hAnsiTheme="minorEastAsia" w:eastAsiaTheme="minorEastAsia" w:cstheme="minorEastAsia"/>
          <w:bCs/>
          <w:sz w:val="24"/>
        </w:rPr>
        <w:t>。</w:t>
      </w:r>
      <w:bookmarkEnd w:id="11"/>
    </w:p>
    <w:p>
      <w:pPr>
        <w:tabs>
          <w:tab w:val="left" w:pos="1314"/>
        </w:tabs>
        <w:spacing w:line="470" w:lineRule="exact"/>
        <w:ind w:left="-80" w:leftChars="-3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en-US" w:eastAsia="zh-CN"/>
        </w:rPr>
        <w:t>9</w:t>
      </w:r>
      <w:r>
        <w:rPr>
          <w:rFonts w:hint="eastAsia" w:asciiTheme="minorEastAsia" w:hAnsiTheme="minorEastAsia" w:eastAsiaTheme="minorEastAsia" w:cstheme="minorEastAsia"/>
          <w:bCs/>
          <w:sz w:val="24"/>
        </w:rPr>
        <w:t>、工程建设过程中，乙方的管理人员对甲方管理人员提出的合理安全管理要求，不予配合的，处扣款500-1000元。甚至采取谩骂、威胁等行为的，甲方有权要求乙方清退、更换责任人员，并处扣款1000-5000元。</w:t>
      </w:r>
    </w:p>
    <w:p>
      <w:pPr>
        <w:tabs>
          <w:tab w:val="left" w:pos="1314"/>
        </w:tabs>
        <w:spacing w:line="470" w:lineRule="exact"/>
        <w:ind w:left="-80" w:leftChars="-3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en-US" w:eastAsia="zh-CN"/>
        </w:rPr>
        <w:t>10</w:t>
      </w:r>
      <w:r>
        <w:rPr>
          <w:rFonts w:hint="eastAsia" w:asciiTheme="minorEastAsia" w:hAnsiTheme="minorEastAsia" w:eastAsiaTheme="minorEastAsia" w:cstheme="minorEastAsia"/>
          <w:bCs/>
          <w:sz w:val="24"/>
        </w:rPr>
        <w:t>、现场因安全、职业健康、环境保护管理不到位或违章违法行为等原因，被甲方、监理单位下发停工令的，给予扣款1000-5000元/起。</w:t>
      </w:r>
      <w:bookmarkEnd w:id="8"/>
    </w:p>
    <w:p>
      <w:pPr>
        <w:adjustRightInd w:val="0"/>
        <w:spacing w:line="470" w:lineRule="exact"/>
        <w:ind w:firstLine="522" w:firstLineChars="200"/>
        <w:jc w:val="left"/>
        <w:outlineLvl w:val="1"/>
        <w:rPr>
          <w:rFonts w:asciiTheme="minorEastAsia" w:hAnsiTheme="minorEastAsia" w:eastAsiaTheme="minorEastAsia" w:cstheme="minorEastAsia"/>
          <w:b/>
          <w:spacing w:val="10"/>
          <w:sz w:val="24"/>
        </w:rPr>
      </w:pPr>
      <w:bookmarkStart w:id="12" w:name="_Toc301180786"/>
      <w:r>
        <w:rPr>
          <w:rFonts w:hint="eastAsia" w:asciiTheme="minorEastAsia" w:hAnsiTheme="minorEastAsia" w:eastAsiaTheme="minorEastAsia" w:cstheme="minorEastAsia"/>
          <w:b/>
          <w:spacing w:val="10"/>
          <w:sz w:val="24"/>
        </w:rPr>
        <w:t>三、HSE管理考核标准</w:t>
      </w:r>
      <w:bookmarkEnd w:id="12"/>
    </w:p>
    <w:p>
      <w:pPr>
        <w:adjustRightInd w:val="0"/>
        <w:spacing w:line="470" w:lineRule="exact"/>
        <w:ind w:firstLine="522" w:firstLineChars="200"/>
        <w:jc w:val="left"/>
        <w:outlineLvl w:val="1"/>
        <w:rPr>
          <w:rFonts w:asciiTheme="minorEastAsia" w:hAnsiTheme="minorEastAsia" w:eastAsiaTheme="minorEastAsia" w:cstheme="minorEastAsia"/>
          <w:b/>
          <w:spacing w:val="10"/>
          <w:sz w:val="24"/>
        </w:rPr>
      </w:pPr>
      <w:r>
        <w:rPr>
          <w:rFonts w:hint="eastAsia" w:asciiTheme="minorEastAsia" w:hAnsiTheme="minorEastAsia" w:eastAsiaTheme="minorEastAsia" w:cstheme="minorEastAsia"/>
          <w:b/>
          <w:spacing w:val="10"/>
          <w:sz w:val="24"/>
        </w:rPr>
        <w:t>（一）作业人员违章考核标准</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1、</w:t>
      </w:r>
      <w:bookmarkStart w:id="13" w:name="auto_fouce_25"/>
      <w:bookmarkStart w:id="14" w:name="tip_risk_bookmark_26"/>
      <w:bookmarkStart w:id="15" w:name="tip_risk_bookmark_27"/>
      <w:r>
        <w:rPr>
          <w:rFonts w:hint="eastAsia" w:asciiTheme="minorEastAsia" w:hAnsiTheme="minorEastAsia" w:eastAsiaTheme="minorEastAsia" w:cstheme="minorEastAsia"/>
          <w:bCs/>
          <w:sz w:val="24"/>
          <w:lang w:bidi="ar"/>
        </w:rPr>
        <w:t>对</w:t>
      </w:r>
      <w:r>
        <w:rPr>
          <w:rFonts w:hint="eastAsia" w:asciiTheme="minorEastAsia" w:hAnsiTheme="minorEastAsia" w:eastAsiaTheme="minorEastAsia" w:cstheme="minorEastAsia"/>
          <w:bCs/>
          <w:sz w:val="24"/>
        </w:rPr>
        <w:t>附录A《现场作业违章扣分通用条款》中</w:t>
      </w:r>
      <w:r>
        <w:rPr>
          <w:rFonts w:hint="eastAsia" w:asciiTheme="minorEastAsia" w:hAnsiTheme="minorEastAsia" w:eastAsiaTheme="minorEastAsia" w:cstheme="minorEastAsia"/>
          <w:bCs/>
          <w:sz w:val="24"/>
          <w:lang w:bidi="ar"/>
        </w:rPr>
        <w:t>作业人员每发生一起（次）A、B、C、D类违章的，被云南储能公司督查发现的分别扣2000元、1500元、300元、0元违约金，监理单位按50%扣；被南方电网公司、南网储能公司督查，越级发现A类违章，每例处罚3万元；越级发现B类违章，每例处罚1万元。违约金在7个日内通过指定账户上交甲方，若到期未</w:t>
      </w:r>
      <w:r>
        <w:rPr>
          <w:rFonts w:hint="eastAsia" w:asciiTheme="minorEastAsia" w:hAnsiTheme="minorEastAsia" w:eastAsiaTheme="minorEastAsia" w:cstheme="minorEastAsia"/>
          <w:bCs/>
          <w:sz w:val="24"/>
          <w:lang w:eastAsia="zh-CN" w:bidi="ar"/>
        </w:rPr>
        <w:t>足额</w:t>
      </w:r>
      <w:r>
        <w:rPr>
          <w:rFonts w:hint="eastAsia" w:asciiTheme="minorEastAsia" w:hAnsiTheme="minorEastAsia" w:eastAsiaTheme="minorEastAsia" w:cstheme="minorEastAsia"/>
          <w:bCs/>
          <w:sz w:val="24"/>
          <w:lang w:bidi="ar"/>
        </w:rPr>
        <w:t>上交的，</w:t>
      </w:r>
      <w:r>
        <w:rPr>
          <w:rFonts w:hint="eastAsia" w:asciiTheme="minorEastAsia" w:hAnsiTheme="minorEastAsia" w:eastAsiaTheme="minorEastAsia" w:cstheme="minorEastAsia"/>
          <w:bCs/>
          <w:sz w:val="24"/>
          <w:lang w:eastAsia="zh-CN" w:bidi="ar"/>
        </w:rPr>
        <w:t>甲方有权责令乙方</w:t>
      </w:r>
      <w:r>
        <w:rPr>
          <w:rFonts w:hint="eastAsia" w:asciiTheme="minorEastAsia" w:hAnsiTheme="minorEastAsia" w:eastAsiaTheme="minorEastAsia" w:cstheme="minorEastAsia"/>
          <w:bCs/>
          <w:sz w:val="24"/>
          <w:lang w:bidi="ar"/>
        </w:rPr>
        <w:t>停工</w:t>
      </w:r>
      <w:r>
        <w:rPr>
          <w:rFonts w:hint="eastAsia" w:asciiTheme="minorEastAsia" w:hAnsiTheme="minorEastAsia" w:eastAsiaTheme="minorEastAsia" w:cstheme="minorEastAsia"/>
          <w:bCs/>
          <w:sz w:val="24"/>
          <w:lang w:eastAsia="zh-CN" w:bidi="ar"/>
        </w:rPr>
        <w:t>，且停工期间视为乙方违约，由此造成的一切损失及工期延误由乙方承担</w:t>
      </w:r>
      <w:r>
        <w:rPr>
          <w:rFonts w:hint="eastAsia" w:asciiTheme="minorEastAsia" w:hAnsiTheme="minorEastAsia" w:eastAsiaTheme="minorEastAsia" w:cstheme="minorEastAsia"/>
          <w:bCs/>
          <w:sz w:val="24"/>
          <w:lang w:bidi="ar"/>
        </w:rPr>
        <w:t>。</w:t>
      </w:r>
      <w:bookmarkEnd w:id="13"/>
    </w:p>
    <w:p>
      <w:pPr>
        <w:tabs>
          <w:tab w:val="left" w:pos="1314"/>
        </w:tabs>
        <w:spacing w:line="470" w:lineRule="exact"/>
        <w:ind w:left="-80" w:leftChars="-38" w:firstLine="480" w:firstLineChars="200"/>
        <w:rPr>
          <w:rFonts w:asciiTheme="minorEastAsia" w:hAnsiTheme="minorEastAsia" w:eastAsiaTheme="minorEastAsia" w:cstheme="minorEastAsia"/>
          <w:bCs/>
          <w:sz w:val="24"/>
          <w:lang w:eastAsia="zh-CN" w:bidi="ar"/>
        </w:rPr>
      </w:pPr>
      <w:r>
        <w:rPr>
          <w:rFonts w:hint="eastAsia" w:asciiTheme="minorEastAsia" w:hAnsiTheme="minorEastAsia" w:eastAsiaTheme="minorEastAsia" w:cstheme="minorEastAsia"/>
          <w:bCs/>
          <w:sz w:val="24"/>
          <w:lang w:bidi="ar"/>
        </w:rPr>
        <w:t>2、</w:t>
      </w:r>
      <w:bookmarkStart w:id="16" w:name="auto_fouce_28"/>
      <w:r>
        <w:rPr>
          <w:rFonts w:hint="eastAsia" w:asciiTheme="minorEastAsia" w:hAnsiTheme="minorEastAsia" w:eastAsiaTheme="minorEastAsia" w:cstheme="minorEastAsia"/>
          <w:bCs/>
          <w:sz w:val="24"/>
          <w:lang w:bidi="ar"/>
        </w:rPr>
        <w:t>承包商作业人员每发生第1起A类违章，自违章通报之日起1个月内禁止在公司系统内作业（列入“黑名单”1个月，到期解除“黑名单”），同时启动南网强安学习和安规考试程序；作业人员发生第2起A类违章，自违章通报之日起3个月内禁止在公司系统内作业（列入“黑名单”3个月，到期解除“黑名单”），同时启动南网强安学习和安规考试程序；作业人员发生第3起及以上A类违章的，自通报之日起12个月内禁止在公司系统内作业（列入“黑名单”12个月，到期解除“黑名单”）。</w:t>
      </w:r>
      <w:bookmarkEnd w:id="14"/>
      <w:r>
        <w:rPr>
          <w:rFonts w:hint="eastAsia" w:asciiTheme="minorEastAsia" w:hAnsiTheme="minorEastAsia" w:eastAsiaTheme="minorEastAsia" w:cstheme="minorEastAsia"/>
          <w:bCs/>
          <w:sz w:val="24"/>
          <w:lang w:eastAsia="zh-CN" w:bidi="ar"/>
        </w:rPr>
        <w:t>同时甲方有权要求乙方立即清退该作业人员，乙方不得再安排其参与本项目任何工作。</w:t>
      </w:r>
      <w:bookmarkEnd w:id="16"/>
    </w:p>
    <w:p>
      <w:pPr>
        <w:tabs>
          <w:tab w:val="left" w:pos="1314"/>
        </w:tabs>
        <w:spacing w:line="470" w:lineRule="exact"/>
        <w:ind w:left="-80" w:leftChars="-38" w:firstLine="480" w:firstLineChars="200"/>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3、除A类违章外，承包商员工BC类违章累计扣分第一次达12分，自满12分之日起1周内禁止在公司系统内作业（列入“黑名单”1周，到期解除“黑名单”），同时启动南网强安学习和安规考试程序；作业人员第二次扣分达12分，自满12分之日起1个月内禁止在公司系统内作业（列入“黑名单”1个月，到期解除“黑名单”），同时启动南网强安学习和安规考试程序；作业人员第3次及以上扣分达12分，自满12分之日起3个月内禁止在公司系统内作业（列入“黑名单”3个月，到期解除“黑名单”），同时启动南网强安学习和安规考试程序。</w:t>
      </w:r>
    </w:p>
    <w:p>
      <w:pPr>
        <w:tabs>
          <w:tab w:val="left" w:pos="1314"/>
        </w:tabs>
        <w:spacing w:line="470" w:lineRule="exact"/>
        <w:ind w:left="-80" w:leftChars="-38" w:firstLine="480" w:firstLineChars="200"/>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4、解除“黑名单”：由承包商服务的项目管理部门有关人员提出申请，经本单位安监部门违章业务归口管理人员审核通过后方可解除“黑名单”。</w:t>
      </w:r>
    </w:p>
    <w:p>
      <w:pPr>
        <w:tabs>
          <w:tab w:val="left" w:pos="1314"/>
        </w:tabs>
        <w:spacing w:line="470" w:lineRule="exact"/>
        <w:ind w:left="-80" w:leftChars="-38" w:firstLine="480" w:firstLineChars="200"/>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5、作业人员违章扣分计算方式</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（1）施工作业相关参建人员年度个人积分总额为12分。</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（2）施工作业相关人员违章扣分按日历年进行累计，计分周期为每年1月1日0:00至12月31日24:00。每年12月31日24:00当年度累计扣分自动归零。</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（3）检查人员通过线上+线下检查发现的施工作业违章现象，如认定相关管理人员有责任的，除对违章人员进行扣分处罚外，应对违章人员的主要管理人员、监督人员连带进行扣分处罚。</w:t>
      </w:r>
    </w:p>
    <w:p>
      <w:pPr>
        <w:adjustRightInd w:val="0"/>
        <w:spacing w:line="470" w:lineRule="exact"/>
        <w:ind w:firstLine="522" w:firstLineChars="200"/>
        <w:jc w:val="left"/>
        <w:outlineLvl w:val="1"/>
        <w:rPr>
          <w:rFonts w:asciiTheme="minorEastAsia" w:hAnsiTheme="minorEastAsia" w:eastAsiaTheme="minorEastAsia" w:cstheme="minorEastAsia"/>
          <w:b/>
          <w:spacing w:val="10"/>
          <w:sz w:val="24"/>
        </w:rPr>
      </w:pPr>
      <w:r>
        <w:rPr>
          <w:rFonts w:hint="eastAsia" w:asciiTheme="minorEastAsia" w:hAnsiTheme="minorEastAsia" w:eastAsiaTheme="minorEastAsia" w:cstheme="minorEastAsia"/>
          <w:b/>
          <w:spacing w:val="10"/>
          <w:sz w:val="24"/>
        </w:rPr>
        <w:t>（二）管理违章考核标准</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1、</w:t>
      </w:r>
      <w:bookmarkStart w:id="17" w:name="auto_fouce_29"/>
      <w:r>
        <w:rPr>
          <w:rFonts w:hint="eastAsia" w:asciiTheme="minorEastAsia" w:hAnsiTheme="minorEastAsia" w:eastAsiaTheme="minorEastAsia" w:cstheme="minorEastAsia"/>
          <w:bCs/>
          <w:sz w:val="24"/>
          <w:lang w:bidi="ar"/>
        </w:rPr>
        <w:t>对</w:t>
      </w:r>
      <w:r>
        <w:rPr>
          <w:rFonts w:hint="eastAsia" w:asciiTheme="minorEastAsia" w:hAnsiTheme="minorEastAsia" w:eastAsiaTheme="minorEastAsia" w:cstheme="minorEastAsia"/>
          <w:bCs/>
          <w:sz w:val="24"/>
        </w:rPr>
        <w:t>附录B《</w:t>
      </w:r>
      <w:r>
        <w:rPr>
          <w:rFonts w:hint="eastAsia" w:asciiTheme="minorEastAsia" w:hAnsiTheme="minorEastAsia" w:eastAsiaTheme="minorEastAsia" w:cstheme="minorEastAsia"/>
          <w:bCs/>
          <w:sz w:val="24"/>
          <w:lang w:bidi="ar"/>
        </w:rPr>
        <w:t>管理违章扣分处罚条款</w:t>
      </w:r>
      <w:r>
        <w:rPr>
          <w:rFonts w:hint="eastAsia" w:asciiTheme="minorEastAsia" w:hAnsiTheme="minorEastAsia" w:eastAsiaTheme="minorEastAsia" w:cstheme="minorEastAsia"/>
          <w:bCs/>
          <w:sz w:val="24"/>
        </w:rPr>
        <w:t>》中</w:t>
      </w:r>
      <w:r>
        <w:rPr>
          <w:rFonts w:hint="eastAsia" w:asciiTheme="minorEastAsia" w:hAnsiTheme="minorEastAsia" w:eastAsiaTheme="minorEastAsia" w:cstheme="minorEastAsia"/>
          <w:bCs/>
          <w:sz w:val="24"/>
          <w:lang w:bidi="ar"/>
        </w:rPr>
        <w:t>乙方每发生一起（次）A、B、C、D、E、F类管理违章分别扣24000元、12000元、6000元、2000元、400元、6000元违约金，监理单位按50%扣。违约金在7个工作日内通过指定账户上交甲方，若到期未</w:t>
      </w:r>
      <w:r>
        <w:rPr>
          <w:rFonts w:hint="eastAsia" w:asciiTheme="minorEastAsia" w:hAnsiTheme="minorEastAsia" w:eastAsiaTheme="minorEastAsia" w:cstheme="minorEastAsia"/>
          <w:bCs/>
          <w:sz w:val="24"/>
          <w:lang w:eastAsia="zh-CN" w:bidi="ar"/>
        </w:rPr>
        <w:t>足额</w:t>
      </w:r>
      <w:r>
        <w:rPr>
          <w:rFonts w:hint="eastAsia" w:asciiTheme="minorEastAsia" w:hAnsiTheme="minorEastAsia" w:eastAsiaTheme="minorEastAsia" w:cstheme="minorEastAsia"/>
          <w:bCs/>
          <w:sz w:val="24"/>
          <w:lang w:bidi="ar"/>
        </w:rPr>
        <w:t>上交的，</w:t>
      </w:r>
      <w:r>
        <w:rPr>
          <w:rFonts w:hint="eastAsia" w:asciiTheme="minorEastAsia" w:hAnsiTheme="minorEastAsia" w:eastAsiaTheme="minorEastAsia" w:cstheme="minorEastAsia"/>
          <w:bCs/>
          <w:sz w:val="24"/>
          <w:lang w:eastAsia="zh-CN" w:bidi="ar"/>
        </w:rPr>
        <w:t>甲方有权责令乙方</w:t>
      </w:r>
      <w:r>
        <w:rPr>
          <w:rFonts w:hint="eastAsia" w:asciiTheme="minorEastAsia" w:hAnsiTheme="minorEastAsia" w:eastAsiaTheme="minorEastAsia" w:cstheme="minorEastAsia"/>
          <w:bCs/>
          <w:sz w:val="24"/>
          <w:lang w:bidi="ar"/>
        </w:rPr>
        <w:t>停工</w:t>
      </w:r>
      <w:r>
        <w:rPr>
          <w:rFonts w:hint="eastAsia" w:asciiTheme="minorEastAsia" w:hAnsiTheme="minorEastAsia" w:eastAsiaTheme="minorEastAsia" w:cstheme="minorEastAsia"/>
          <w:bCs/>
          <w:sz w:val="24"/>
          <w:lang w:eastAsia="zh-CN" w:bidi="ar"/>
        </w:rPr>
        <w:t>，且停工期间视为乙方违约，由此造成的一切损失及工期延误由乙方承担</w:t>
      </w:r>
      <w:r>
        <w:rPr>
          <w:rFonts w:hint="eastAsia" w:asciiTheme="minorEastAsia" w:hAnsiTheme="minorEastAsia" w:eastAsiaTheme="minorEastAsia" w:cstheme="minorEastAsia"/>
          <w:bCs/>
          <w:sz w:val="24"/>
          <w:lang w:bidi="ar"/>
        </w:rPr>
        <w:t>。</w:t>
      </w:r>
      <w:bookmarkEnd w:id="15"/>
      <w:bookmarkEnd w:id="17"/>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2、乙方作业人员违章处罚次数累计达到10人次的，对乙方扣2000元，监理单位扣1000元，超过10人次的整数倍的，依次类推。</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3、</w:t>
      </w:r>
      <w:bookmarkStart w:id="18" w:name="auto_fouce_30"/>
      <w:r>
        <w:rPr>
          <w:rFonts w:hint="eastAsia" w:asciiTheme="minorEastAsia" w:hAnsiTheme="minorEastAsia" w:eastAsiaTheme="minorEastAsia" w:cstheme="minorEastAsia"/>
          <w:bCs/>
          <w:sz w:val="24"/>
          <w:lang w:bidi="ar"/>
        </w:rPr>
        <w:t>作业人员每发生《作业人员违章扣分条款》中A、B、C、D类违章，除违约金扣款外分别关联管理违章扣0.8分、0</w:t>
      </w:r>
      <w:r>
        <w:rPr>
          <w:rFonts w:hint="eastAsia" w:asciiTheme="minorEastAsia" w:hAnsiTheme="minorEastAsia" w:eastAsiaTheme="minorEastAsia" w:cstheme="minorEastAsia"/>
          <w:bCs/>
          <w:sz w:val="24"/>
          <w:lang w:eastAsia="zh-CN" w:bidi="ar"/>
        </w:rPr>
        <w:t>.</w:t>
      </w:r>
      <w:r>
        <w:rPr>
          <w:rFonts w:hint="eastAsia" w:asciiTheme="minorEastAsia" w:hAnsiTheme="minorEastAsia" w:eastAsiaTheme="minorEastAsia" w:cstheme="minorEastAsia"/>
          <w:bCs/>
          <w:sz w:val="24"/>
          <w:lang w:bidi="ar"/>
        </w:rPr>
        <w:t>6分、0.2分、0.1分，监理单位按50%扣。</w:t>
      </w:r>
      <w:bookmarkEnd w:id="18"/>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4、在一个统计年度内，乙方违章扣分累计大于0分小于6分的，自学整改。</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5、在一个统计年度内，乙方违章扣分累计达6分的，停工整改不少于1天。甲方项目实施部门对乙方项目负责人及安全管理人员开展约谈，对相关责任人员进行安全警示教育及考试，并通报批评。</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6、在一个统计年度内，乙方违章扣分累计达12分的，停工整改不少于5天。甲方项目实施部门分管领导对相关领导开展约谈，对相关责任人员进行安全警示教育及考试，并通报批评，同时将相关情况分别报送甲、乙方上级主管单位。</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7、在一个统计年度内，重复发生的同一管理违章加倍扣分。</w:t>
      </w:r>
    </w:p>
    <w:p>
      <w:pPr>
        <w:widowControl/>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8、管理违章扣分计算方式</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（1）年度积分总额为12分。</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（2）违章扣分按日历年进行累计，计分周期为每年1月1日至12月31日，每年12月31日24:00当年度累计扣分自动归零。</w:t>
      </w:r>
    </w:p>
    <w:p>
      <w:pPr>
        <w:adjustRightInd w:val="0"/>
        <w:spacing w:line="470" w:lineRule="exact"/>
        <w:ind w:firstLine="522" w:firstLineChars="200"/>
        <w:jc w:val="left"/>
        <w:outlineLvl w:val="1"/>
        <w:rPr>
          <w:rFonts w:asciiTheme="minorEastAsia" w:hAnsiTheme="minorEastAsia" w:eastAsiaTheme="minorEastAsia" w:cstheme="minorEastAsia"/>
          <w:b/>
          <w:spacing w:val="10"/>
          <w:sz w:val="24"/>
        </w:rPr>
      </w:pPr>
      <w:r>
        <w:rPr>
          <w:rFonts w:hint="eastAsia" w:asciiTheme="minorEastAsia" w:hAnsiTheme="minorEastAsia" w:eastAsiaTheme="minorEastAsia" w:cstheme="minorEastAsia"/>
          <w:b/>
          <w:spacing w:val="10"/>
          <w:sz w:val="24"/>
        </w:rPr>
        <w:t>（三）其他</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1、同一工程单次检查中发现的符合同一违章代码的违章现象，不累计扣分（条款中注明累计扣分的除外）。</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2、同一工程无法整改的同一违章现象，已接受过处罚扣分的不再进行处罚扣分。</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3、同一工程的同一违章现象，已接受过处罚扣分的在整改期内不再进行处罚扣分。</w:t>
      </w:r>
    </w:p>
    <w:p>
      <w:pPr>
        <w:widowControl/>
        <w:numPr>
          <w:ilvl w:val="12"/>
          <w:numId w:val="0"/>
        </w:numPr>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4、若在检查过程中发现有违章现象，相关责任单位认为本方已履行职责的，应向检查人员提供书面证明材料，由检查人员进行核实并判定该单位是否承担相应责任。</w:t>
      </w:r>
    </w:p>
    <w:p>
      <w:pPr>
        <w:widowControl/>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5、同一工程的同一事项适用多种评价扣分的，按最高标准执行。</w:t>
      </w:r>
    </w:p>
    <w:p>
      <w:pPr>
        <w:adjustRightInd w:val="0"/>
        <w:spacing w:line="470" w:lineRule="exact"/>
        <w:ind w:firstLine="522" w:firstLineChars="200"/>
        <w:jc w:val="left"/>
        <w:outlineLvl w:val="1"/>
        <w:rPr>
          <w:rFonts w:asciiTheme="minorEastAsia" w:hAnsiTheme="minorEastAsia" w:eastAsiaTheme="minorEastAsia" w:cstheme="minorEastAsia"/>
          <w:b/>
          <w:spacing w:val="10"/>
          <w:sz w:val="24"/>
        </w:rPr>
      </w:pPr>
      <w:r>
        <w:rPr>
          <w:rFonts w:hint="eastAsia" w:asciiTheme="minorEastAsia" w:hAnsiTheme="minorEastAsia" w:eastAsiaTheme="minorEastAsia" w:cstheme="minorEastAsia"/>
          <w:b/>
          <w:spacing w:val="10"/>
          <w:sz w:val="24"/>
        </w:rPr>
        <w:t>（四）附录</w:t>
      </w:r>
    </w:p>
    <w:p>
      <w:pPr>
        <w:widowControl/>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bookmarkStart w:id="19" w:name="tip_risk_bookmark_31"/>
      <w:r>
        <w:rPr>
          <w:rFonts w:hint="eastAsia" w:asciiTheme="minorEastAsia" w:hAnsiTheme="minorEastAsia" w:eastAsiaTheme="minorEastAsia" w:cstheme="minorEastAsia"/>
          <w:bCs/>
          <w:sz w:val="24"/>
          <w:lang w:bidi="ar"/>
        </w:rPr>
        <w:t>附录A 作业人员违章扣分条款</w:t>
      </w:r>
    </w:p>
    <w:p>
      <w:pPr>
        <w:widowControl/>
        <w:tabs>
          <w:tab w:val="left" w:pos="1314"/>
        </w:tabs>
        <w:spacing w:line="470" w:lineRule="exact"/>
        <w:ind w:left="-80" w:leftChars="-38" w:firstLine="480" w:firstLineChars="200"/>
        <w:jc w:val="left"/>
        <w:rPr>
          <w:rFonts w:asciiTheme="minorEastAsia" w:hAnsiTheme="minorEastAsia" w:eastAsiaTheme="minorEastAsia" w:cstheme="minorEastAsia"/>
          <w:bCs/>
          <w:sz w:val="24"/>
          <w:lang w:bidi="ar"/>
        </w:rPr>
      </w:pPr>
      <w:r>
        <w:rPr>
          <w:rFonts w:hint="eastAsia" w:asciiTheme="minorEastAsia" w:hAnsiTheme="minorEastAsia" w:eastAsiaTheme="minorEastAsia" w:cstheme="minorEastAsia"/>
          <w:bCs/>
          <w:sz w:val="24"/>
          <w:lang w:bidi="ar"/>
        </w:rPr>
        <w:t>附录B 管理违章扣分处罚条款</w:t>
      </w:r>
      <w:bookmarkEnd w:id="19"/>
    </w:p>
    <w:p>
      <w:pPr>
        <w:pStyle w:val="2"/>
      </w:pPr>
    </w:p>
    <w:p>
      <w:pPr>
        <w:pStyle w:val="2"/>
      </w:pPr>
    </w:p>
    <w:p>
      <w:pPr>
        <w:spacing w:line="360" w:lineRule="auto"/>
        <w:rPr>
          <w:rFonts w:asciiTheme="minorEastAsia" w:hAnsiTheme="minorEastAsia" w:eastAsiaTheme="minorEastAsia" w:cstheme="minorEastAsia"/>
          <w:sz w:val="24"/>
        </w:rPr>
      </w:pPr>
    </w:p>
    <w:p>
      <w:pPr>
        <w:spacing w:line="360" w:lineRule="auto"/>
        <w:rPr>
          <w:rFonts w:asciiTheme="minorEastAsia" w:hAnsiTheme="minorEastAsia" w:eastAsiaTheme="minorEastAsia" w:cstheme="minorEastAsia"/>
          <w:sz w:val="24"/>
        </w:rPr>
      </w:pPr>
    </w:p>
    <w:p>
      <w:pPr>
        <w:rPr>
          <w:sz w:val="24"/>
        </w:rPr>
        <w:sectPr>
          <w:pgSz w:w="11906" w:h="16838"/>
          <w:pgMar w:top="1440" w:right="1800" w:bottom="1440" w:left="1800" w:header="851" w:footer="992" w:gutter="0"/>
          <w:cols w:space="425" w:num="1"/>
          <w:docGrid w:type="lines" w:linePitch="312" w:charSpace="0"/>
        </w:sectPr>
      </w:pPr>
    </w:p>
    <w:p>
      <w:pPr>
        <w:widowControl/>
        <w:jc w:val="center"/>
        <w:textAlignment w:val="center"/>
        <w:rPr>
          <w:rFonts w:asciiTheme="minorEastAsia" w:hAnsiTheme="minorEastAsia" w:eastAsiaTheme="minorEastAsia" w:cstheme="minorEastAsia"/>
          <w:b/>
          <w:sz w:val="32"/>
          <w:szCs w:val="32"/>
        </w:rPr>
      </w:pPr>
      <w:r>
        <w:rPr>
          <w:rFonts w:hint="eastAsia" w:ascii="黑体" w:hAnsi="黑体" w:eastAsia="黑体"/>
          <w:sz w:val="32"/>
          <w:szCs w:val="32"/>
        </w:rPr>
        <w:t xml:space="preserve">附录A </w:t>
      </w:r>
      <w:r>
        <w:rPr>
          <w:rFonts w:hint="eastAsia" w:ascii="黑体" w:hAnsi="黑体" w:eastAsia="黑体"/>
          <w:sz w:val="32"/>
          <w:szCs w:val="32"/>
          <w:lang w:bidi="ar"/>
        </w:rPr>
        <w:t>作业人员违章扣分条款</w:t>
      </w:r>
    </w:p>
    <w:tbl>
      <w:tblPr>
        <w:tblStyle w:val="22"/>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1040"/>
        <w:gridCol w:w="9739"/>
        <w:gridCol w:w="1573"/>
        <w:gridCol w:w="161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18" w:hRule="atLeast"/>
          <w:tblHeader/>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b/>
                <w:bCs/>
                <w:szCs w:val="21"/>
              </w:rPr>
            </w:pPr>
            <w:r>
              <w:rPr>
                <w:rFonts w:hint="eastAsia" w:ascii="宋体" w:hAnsi="宋体" w:cs="宋体"/>
                <w:b/>
                <w:bCs/>
                <w:szCs w:val="21"/>
              </w:rPr>
              <w:t>代码</w:t>
            </w:r>
          </w:p>
        </w:tc>
        <w:tc>
          <w:tcPr>
            <w:tcW w:w="3485" w:type="pct"/>
            <w:tcBorders>
              <w:tl2br w:val="nil"/>
              <w:tr2bl w:val="nil"/>
            </w:tcBorders>
            <w:tcMar>
              <w:top w:w="10" w:type="dxa"/>
              <w:left w:w="10" w:type="dxa"/>
              <w:right w:w="10" w:type="dxa"/>
            </w:tcMar>
            <w:vAlign w:val="center"/>
          </w:tcPr>
          <w:p>
            <w:pPr>
              <w:jc w:val="center"/>
              <w:textAlignment w:val="center"/>
              <w:rPr>
                <w:rFonts w:ascii="宋体" w:hAnsi="宋体" w:cs="宋体"/>
                <w:b/>
                <w:bCs/>
                <w:szCs w:val="21"/>
              </w:rPr>
            </w:pPr>
            <w:r>
              <w:rPr>
                <w:rFonts w:hint="eastAsia" w:ascii="宋体" w:hAnsi="宋体" w:cs="宋体"/>
                <w:b/>
                <w:bCs/>
                <w:szCs w:val="21"/>
              </w:rPr>
              <w:t>具体违章现象</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b/>
                <w:bCs/>
                <w:szCs w:val="21"/>
              </w:rPr>
            </w:pPr>
            <w:r>
              <w:rPr>
                <w:rFonts w:hint="eastAsia" w:ascii="宋体" w:hAnsi="宋体" w:cs="宋体"/>
                <w:b/>
                <w:bCs/>
                <w:szCs w:val="21"/>
              </w:rPr>
              <w:t>违章类型</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b/>
                <w:bCs/>
                <w:szCs w:val="21"/>
              </w:rPr>
            </w:pPr>
            <w:r>
              <w:rPr>
                <w:rFonts w:hint="eastAsia" w:ascii="宋体" w:hAnsi="宋体" w:cs="宋体"/>
                <w:b/>
                <w:bCs/>
                <w:szCs w:val="21"/>
              </w:rPr>
              <w:t>扣分对象</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1"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A01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无票作业。</w:t>
            </w:r>
            <w:r>
              <w:rPr>
                <w:rFonts w:hint="eastAsia" w:ascii="宋体" w:hAnsi="宋体" w:cs="宋体"/>
                <w:szCs w:val="21"/>
              </w:rPr>
              <w:t>未按规定办理线路、配电第一、二种工作票、厂站第一、二、三种工作票、带电作业工作票、紧急抢修工作票、检修申请单、动火工作票、书面布置记录票、二次措施单、施工作业票开展现场作业。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1"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A02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无票操作。</w:t>
            </w:r>
            <w:r>
              <w:rPr>
                <w:rFonts w:hint="eastAsia" w:ascii="宋体" w:hAnsi="宋体" w:cs="宋体"/>
                <w:szCs w:val="21"/>
              </w:rPr>
              <w:t>设备操作未根据操作要求办理相应的操作票或规范性书面记录，包括调度逐项、综合和许可操作命令票、现场电气操作票、现场电气操作记录票、新（改）建设备投产方案（操作步骤部分）。</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操作人</w:t>
            </w:r>
          </w:p>
          <w:p>
            <w:pPr>
              <w:jc w:val="center"/>
              <w:textAlignment w:val="center"/>
              <w:rPr>
                <w:rFonts w:ascii="宋体" w:hAnsi="宋体" w:cs="宋体"/>
                <w:szCs w:val="21"/>
              </w:rPr>
            </w:pPr>
            <w:r>
              <w:rPr>
                <w:rFonts w:hint="eastAsia" w:ascii="宋体" w:hAnsi="宋体" w:cs="宋体"/>
                <w:szCs w:val="21"/>
              </w:rPr>
              <w:t>监护人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A03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未经停电、接地、许可即开展作业。</w:t>
            </w:r>
            <w:r>
              <w:rPr>
                <w:rFonts w:hint="eastAsia" w:ascii="宋体" w:hAnsi="宋体" w:cs="宋体"/>
                <w:szCs w:val="21"/>
              </w:rPr>
              <w:t>工作票未经许可或工作票、分组工作派工单所列主要安全措施（开关、刀闸、接地）未全部落实前（安规允许的安全措施可分段执行情形除外），工作负责人即安排作业人员作业或作业人员擅自开展作业。未按照工作票所列“应装设的接地”要求装设接地或工作地点未装设封闭接地，擅自变更接地位置。</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A04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主要安全措施未完成即许可作业。</w:t>
            </w:r>
            <w:r>
              <w:rPr>
                <w:rFonts w:hint="eastAsia" w:ascii="宋体" w:hAnsi="宋体" w:cs="宋体"/>
                <w:szCs w:val="21"/>
              </w:rPr>
              <w:t>未完成工作票所列主要安全措施（开关、刀闸、接地）布置，工作许可人即进行工作许可。</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工作许可人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47"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A05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A06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擅自组织施工、改变设备状态。</w:t>
            </w:r>
            <w:r>
              <w:rPr>
                <w:rFonts w:hint="eastAsia" w:ascii="宋体" w:hAnsi="宋体" w:cs="宋体"/>
                <w:szCs w:val="21"/>
              </w:rPr>
              <w:t>违章指挥、强令工作班人员冒险作业；未办理开工/复工手续擅自组织施工，或停工令执行不到位。擅自改变调度管辖设备状态。</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vMerge w:val="restar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A07</w:t>
            </w:r>
          </w:p>
        </w:tc>
        <w:tc>
          <w:tcPr>
            <w:tcW w:w="3485" w:type="pct"/>
            <w:vMerge w:val="restar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电网运行方式安排违反“三个不安排”要求</w:t>
            </w:r>
            <w:r>
              <w:rPr>
                <w:rFonts w:hint="eastAsia" w:ascii="宋体" w:hAnsi="宋体" w:cs="宋体"/>
                <w:szCs w:val="21"/>
              </w:rPr>
              <w:t>，设备超设计标准限额、超实际承载能力运行。</w:t>
            </w:r>
          </w:p>
        </w:tc>
        <w:tc>
          <w:tcPr>
            <w:tcW w:w="563" w:type="pct"/>
            <w:vMerge w:val="restar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vMerge w:val="restar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9" w:hRule="atLeast"/>
        </w:trPr>
        <w:tc>
          <w:tcPr>
            <w:tcW w:w="372" w:type="pct"/>
            <w:vMerge w:val="continue"/>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3485" w:type="pct"/>
            <w:vMerge w:val="continue"/>
            <w:tcBorders>
              <w:tl2br w:val="nil"/>
              <w:tr2bl w:val="nil"/>
            </w:tcBorders>
            <w:tcMar>
              <w:top w:w="10" w:type="dxa"/>
              <w:left w:w="10" w:type="dxa"/>
              <w:right w:w="10" w:type="dxa"/>
            </w:tcMar>
            <w:vAlign w:val="center"/>
          </w:tcPr>
          <w:p>
            <w:pPr>
              <w:textAlignment w:val="center"/>
              <w:rPr>
                <w:rFonts w:ascii="宋体" w:hAnsi="宋体" w:cs="宋体"/>
                <w:szCs w:val="21"/>
              </w:rPr>
            </w:pPr>
          </w:p>
        </w:tc>
        <w:tc>
          <w:tcPr>
            <w:tcW w:w="563" w:type="pct"/>
            <w:vMerge w:val="continue"/>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vMerge w:val="continue"/>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A08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未有效装设接地线、个人保安线。</w:t>
            </w:r>
            <w:r>
              <w:rPr>
                <w:rFonts w:hint="eastAsia" w:ascii="宋体" w:hAnsi="宋体" w:cs="宋体"/>
                <w:szCs w:val="21"/>
              </w:rPr>
              <w:t>在因交叉跨越、平行或邻近高压带电线路、设备可能产生感应电压的电力线路或设备上作业时，未加装防感应电个人保安线或接地线；或用于防反送电、防感应电的接地线或个人保安线丧失接地保护功能，如采用缠绕的方法进行接地、与检修电力线路、设备电气直接相连部位未去除油漆或绝缘层、成组接地线遗漏1相及以上未装设（不含接地线夹松脱情形）等。</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A09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架拆导线未落实防导线滑脱保护措施。</w:t>
            </w:r>
            <w:r>
              <w:rPr>
                <w:rFonts w:hint="eastAsia" w:ascii="宋体" w:hAnsi="宋体" w:cs="宋体"/>
                <w:szCs w:val="21"/>
              </w:rPr>
              <w:t>跨越、邻近带电线路架设、拆除导（地）线施工时，未制定及落实防止导（地）线脱落、滑跑、反弹的保护措施。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4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A10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ascii="宋体" w:hAnsi="宋体" w:cs="宋体"/>
                <w:b/>
                <w:bCs/>
                <w:szCs w:val="21"/>
              </w:rPr>
              <w:t>与带电体安全距离不足。</w:t>
            </w:r>
            <w:r>
              <w:rPr>
                <w:rFonts w:hint="eastAsia" w:ascii="宋体" w:hAnsi="宋体" w:cs="宋体"/>
                <w:szCs w:val="21"/>
              </w:rPr>
              <w:t>现场工作中，工作人员或机具与高压带电体不能保持规定的安全距离且未采取有效措施，如：在多回线路杆塔进行非带电作业时进入带电侧横担；被砍树木与带电运行的线路安全距离不足且未采取控制树木倾倒方向或未采用绝缘隔离等防护措施；在带电设备附近进行吊装作业时，安全距离不够且未采取有效措施；试验中的高压引线及高压带电部件与周围人员的距离小于规定的安全距离；擅自打开带电开关柜的前、后盖板、静触头绝缘挡板等隔离装置，或超越安全遮栏（围栏）开展工作。</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7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A11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ascii="宋体" w:hAnsi="宋体" w:cs="宋体"/>
                <w:b/>
                <w:bCs/>
                <w:szCs w:val="21"/>
              </w:rPr>
              <w:t>擅自扩大工作范围。</w:t>
            </w:r>
            <w:r>
              <w:rPr>
                <w:rFonts w:hint="eastAsia" w:ascii="宋体" w:hAnsi="宋体" w:cs="宋体"/>
                <w:szCs w:val="21"/>
              </w:rPr>
              <w:t>擅自扩大工作票所列工作范围开展工作，且安全措施不满足要求。</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4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A12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A13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闭锁装置违规解锁。</w:t>
            </w:r>
            <w:r>
              <w:rPr>
                <w:rFonts w:hint="eastAsia" w:ascii="宋体" w:hAnsi="宋体" w:cs="宋体"/>
                <w:szCs w:val="21"/>
              </w:rPr>
              <w:t>违规使用解锁钥匙或采用非常规解锁用具，擅自解除设备的电气闭锁装置或机械闭锁装置。</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操作人</w:t>
            </w:r>
          </w:p>
          <w:p>
            <w:pPr>
              <w:jc w:val="center"/>
              <w:textAlignment w:val="center"/>
              <w:rPr>
                <w:rFonts w:ascii="宋体" w:hAnsi="宋体" w:cs="宋体"/>
                <w:szCs w:val="21"/>
              </w:rPr>
            </w:pPr>
            <w:r>
              <w:rPr>
                <w:rFonts w:hint="eastAsia" w:ascii="宋体" w:hAnsi="宋体" w:cs="宋体"/>
                <w:szCs w:val="21"/>
              </w:rPr>
              <w:t>操作监护人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A14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未经许可或授权擅自操作刀闸或接地线。</w:t>
            </w:r>
            <w:r>
              <w:rPr>
                <w:rFonts w:hint="eastAsia" w:ascii="宋体" w:hAnsi="宋体" w:cs="宋体"/>
                <w:szCs w:val="21"/>
              </w:rPr>
              <w:t>在设备试验、检修工作中，工作班人员擅自操作未经运行人员许可或授权操作的隔离开关或接地刀闸（接地线）</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A15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带负荷断、接引线。</w:t>
            </w:r>
            <w:r>
              <w:rPr>
                <w:rFonts w:hint="eastAsia" w:ascii="宋体" w:hAnsi="宋体" w:cs="宋体"/>
                <w:szCs w:val="21"/>
              </w:rPr>
              <w:t>在高压带电作业中，带负荷断、接引线；未采取消弧措施带电断、接空载电缆线路的连接引线。</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1"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A16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约时停、送电。</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A17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无特种作业证作业。</w:t>
            </w:r>
            <w:r>
              <w:rPr>
                <w:rFonts w:hint="eastAsia" w:ascii="宋体" w:hAnsi="宋体" w:cs="宋体"/>
                <w:szCs w:val="21"/>
              </w:rPr>
              <w:t>特种作业人员、特种设备作业人员未取得或持假冒的特种作业操作证、特种设备作业人员证从事相应工作。</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A18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杆塔上有人作业时违规进行拉线调整、架拆导线等。</w:t>
            </w:r>
            <w:r>
              <w:rPr>
                <w:rFonts w:hint="eastAsia" w:ascii="宋体" w:hAnsi="宋体" w:cs="宋体"/>
                <w:szCs w:val="21"/>
              </w:rPr>
              <w:t>杆塔线路进行机械牵引、展放作业时，安排人员登杆作业（检查及调整放线滑车预偏除外)，或线路杆塔上有人作业时，下方人员进行杆塔拉线的调整、拆除，以突然剪断导线、地线、拉线等方法进行松线、撤杆塔。</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1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A19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高处作业失去保护。</w:t>
            </w:r>
            <w:r>
              <w:rPr>
                <w:rFonts w:hint="eastAsia" w:ascii="宋体" w:hAnsi="宋体" w:cs="宋体"/>
                <w:szCs w:val="21"/>
              </w:rPr>
              <w:t>高处作业（含高度超过1.5米且没有栏杆的脚手架上工作、</w:t>
            </w:r>
            <w:r>
              <w:rPr>
                <w:rFonts w:ascii="宋体" w:hAnsi="宋体" w:cs="宋体"/>
                <w:color w:val="000000"/>
                <w:szCs w:val="21"/>
              </w:rPr>
              <w:t>工作面边沿</w:t>
            </w:r>
            <w:r>
              <w:rPr>
                <w:rFonts w:hint="eastAsia" w:ascii="宋体" w:hAnsi="宋体" w:cs="宋体"/>
                <w:color w:val="000000"/>
                <w:szCs w:val="21"/>
              </w:rPr>
              <w:t>或开口处无任何防护设施或防护设施不能满足防护要求的临空状态下进行的高处作业</w:t>
            </w:r>
            <w:r>
              <w:rPr>
                <w:rFonts w:hint="eastAsia" w:ascii="宋体" w:hAnsi="宋体" w:cs="宋体"/>
                <w:szCs w:val="21"/>
              </w:rPr>
              <w:t>）未使用安全带等防坠落用品、装置，或安全带未挂在牢固的构件上，或攀登杆塔、转移位置时失去安全带的保护。</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15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A20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有限空间作业未严格执行“先通风、再检测、后作业”。</w:t>
            </w:r>
            <w:r>
              <w:rPr>
                <w:rFonts w:hint="eastAsia" w:ascii="宋体" w:hAnsi="宋体" w:cs="宋体"/>
                <w:szCs w:val="21"/>
              </w:rPr>
              <w:t>进入主变等设备内部、事故油池、消防水池、电缆隧道、电缆井、综合管廊、箱涵、深基坑、风机管道等存在自然通风不良，易造成有毒有害、易燃易爆物质积聚或氧含量不足情况的有限空间工作未严格执行“先通风、再检测、后作业”、作业过程中未执行“实时监测、持续通风”要求。</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p>
            <w:pPr>
              <w:jc w:val="center"/>
              <w:textAlignment w:val="center"/>
              <w:rPr>
                <w:rFonts w:ascii="宋体" w:hAnsi="宋体" w:cs="宋体"/>
                <w:szCs w:val="21"/>
              </w:rPr>
            </w:pPr>
            <w:r>
              <w:rPr>
                <w:rFonts w:hint="eastAsia" w:ascii="宋体" w:hAnsi="宋体" w:cs="宋体"/>
                <w:szCs w:val="21"/>
              </w:rPr>
              <w:t>有关监理人员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A21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动火作业安全措施未落实。</w:t>
            </w:r>
            <w:r>
              <w:rPr>
                <w:rFonts w:hint="eastAsia" w:ascii="宋体" w:hAnsi="宋体" w:cs="宋体"/>
                <w:szCs w:val="21"/>
              </w:rPr>
              <w:t>带明火进入易燃易爆物品储放场所，或在易燃易爆物品储放场所动火工作未采取防火等安全措施，动火作业点10米内未清除可燃物品或作业后现场有残留火种。</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A22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A23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未经安规考试合格上岗作业。</w:t>
            </w:r>
            <w:r>
              <w:rPr>
                <w:rFonts w:hint="eastAsia" w:ascii="宋体" w:hAnsi="宋体" w:cs="宋体"/>
                <w:szCs w:val="21"/>
              </w:rPr>
              <w:t>现场作业人员（新员工、转岗未经考核合格人员、实习人员和临时作业人员除外）未经安规考试合格即上岗作业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7"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A24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A25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特种设备、机械设备使用不当。</w:t>
            </w:r>
            <w:r>
              <w:rPr>
                <w:rFonts w:hint="eastAsia" w:ascii="宋体" w:hAnsi="宋体" w:cs="宋体"/>
                <w:szCs w:val="21"/>
              </w:rPr>
              <w:t>使用无证、未按规定检验或检验不合格的特种设备，违规使用起重设备载人作业（合法自制设备除外），或未经计算、验证、检验、审批等程序违规使用自制高空作业平台、吊篮（吊笼）载人作业。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A26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带电作业人员串入电路。</w:t>
            </w:r>
            <w:r>
              <w:rPr>
                <w:rFonts w:hint="eastAsia" w:ascii="宋体" w:hAnsi="宋体" w:cs="宋体"/>
                <w:szCs w:val="21"/>
              </w:rPr>
              <w:t>不同电位作业人员直接相互接触，作业人员同时接触两个非连通的带电体、作业人员同时接触带电体与接地体，同时安装或拆除不同电位的绝缘遮蔽，绝缘斗臂车或绝缘平台双人带电作业时，同时在不同相或不同电位作业、安全距离不足时作业人员未采取绝缘遮蔽措施等。</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01"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B01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无计划作业。</w:t>
            </w:r>
            <w:r>
              <w:rPr>
                <w:rFonts w:hint="eastAsia" w:ascii="宋体" w:hAnsi="宋体" w:cs="宋体"/>
                <w:szCs w:val="21"/>
              </w:rPr>
              <w:t>未按照规定制定作业计划；或作业计划未按要求录入信息系统（符合规定允许系统补录的且在作业前已确定作业时间、地点、内容及人员并完成审批的作业计划除外），“体外循环”。</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0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B02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工作票关键内容缺失或错误。</w:t>
            </w:r>
            <w:r>
              <w:rPr>
                <w:rFonts w:hint="eastAsia" w:ascii="宋体" w:hAnsi="宋体" w:cs="宋体"/>
                <w:szCs w:val="21"/>
              </w:rPr>
              <w:t>工作票主要安全措施（开关、刀闸、接地）遗漏、错误，或停电线路、工作地点、工作任务、设备名称编号错误。</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工作票签发人</w:t>
            </w:r>
          </w:p>
          <w:p>
            <w:pPr>
              <w:jc w:val="center"/>
              <w:textAlignment w:val="center"/>
              <w:rPr>
                <w:rFonts w:ascii="宋体" w:hAnsi="宋体" w:cs="宋体"/>
                <w:szCs w:val="21"/>
              </w:rPr>
            </w:pPr>
            <w:r>
              <w:rPr>
                <w:rFonts w:hint="eastAsia" w:ascii="宋体" w:hAnsi="宋体" w:cs="宋体"/>
                <w:szCs w:val="21"/>
              </w:rPr>
              <w:t>工作票会签人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15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B03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bookmarkStart w:id="20" w:name="auto_fouce_32"/>
            <w:r>
              <w:rPr>
                <w:rFonts w:hint="eastAsia" w:ascii="宋体" w:hAnsi="宋体" w:cs="宋体"/>
                <w:b/>
                <w:bCs/>
                <w:szCs w:val="21"/>
              </w:rPr>
              <w:t>操作票关键内容缺失或错误。</w:t>
            </w:r>
            <w:r>
              <w:rPr>
                <w:rFonts w:hint="eastAsia" w:ascii="宋体" w:hAnsi="宋体" w:cs="宋体"/>
                <w:szCs w:val="21"/>
              </w:rPr>
              <w:t>操作票所列操作任务与</w:t>
            </w:r>
            <w:r>
              <w:rPr>
                <w:rFonts w:hint="eastAsia" w:ascii="宋体" w:hAnsi="宋体" w:cs="宋体"/>
                <w:szCs w:val="21"/>
                <w:lang w:eastAsia="zh-CN"/>
              </w:rPr>
              <w:t>实际</w:t>
            </w:r>
            <w:r>
              <w:rPr>
                <w:rFonts w:hint="eastAsia" w:ascii="宋体" w:hAnsi="宋体" w:cs="宋体"/>
                <w:szCs w:val="21"/>
              </w:rPr>
              <w:t>操作</w:t>
            </w:r>
            <w:r>
              <w:rPr>
                <w:rFonts w:hint="eastAsia" w:ascii="宋体" w:hAnsi="宋体" w:cs="宋体"/>
                <w:szCs w:val="21"/>
                <w:lang w:eastAsia="zh-CN"/>
              </w:rPr>
              <w:t>任务</w:t>
            </w:r>
            <w:r>
              <w:rPr>
                <w:rFonts w:hint="eastAsia" w:ascii="宋体" w:hAnsi="宋体" w:cs="宋体"/>
                <w:szCs w:val="21"/>
              </w:rPr>
              <w:t>不相符，现场设备（设备状态、设备名称编号）错误，断合开关、拉合刀闸以及开关、刀闸位置检查、验电、装拆接地线（拉合接地刀闸）、投退保护压板（软压板）等主要操作项目错项、漏项或顺序原则错误。</w:t>
            </w:r>
            <w:bookmarkEnd w:id="20"/>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操作人</w:t>
            </w:r>
          </w:p>
          <w:p>
            <w:pPr>
              <w:jc w:val="center"/>
              <w:textAlignment w:val="center"/>
              <w:rPr>
                <w:rFonts w:ascii="宋体" w:hAnsi="宋体" w:cs="宋体"/>
                <w:szCs w:val="21"/>
              </w:rPr>
            </w:pPr>
            <w:r>
              <w:rPr>
                <w:rFonts w:hint="eastAsia" w:ascii="宋体" w:hAnsi="宋体" w:cs="宋体"/>
                <w:szCs w:val="21"/>
              </w:rPr>
              <w:t>操作监护人</w:t>
            </w:r>
          </w:p>
          <w:p>
            <w:pPr>
              <w:jc w:val="center"/>
              <w:textAlignment w:val="center"/>
              <w:rPr>
                <w:rFonts w:ascii="宋体" w:hAnsi="宋体" w:cs="宋体"/>
                <w:szCs w:val="21"/>
              </w:rPr>
            </w:pPr>
            <w:r>
              <w:rPr>
                <w:rFonts w:hint="eastAsia" w:ascii="宋体" w:hAnsi="宋体" w:cs="宋体"/>
                <w:szCs w:val="21"/>
              </w:rPr>
              <w:t>值班负责人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B04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未开展现场勘察及安全交底（交代）。</w:t>
            </w:r>
            <w:r>
              <w:rPr>
                <w:rFonts w:hint="eastAsia" w:ascii="宋体" w:hAnsi="宋体" w:cs="宋体"/>
                <w:szCs w:val="21"/>
              </w:rPr>
              <w:t>需开展现场勘察的工作未开展现场勘察。工作负责人未参加现场勘察，设备运维单位或项目管理单位未随同施工单位进行现场勘察、未对施工单位进行安全技术交底。工作许可人在许可前，未对工作负责人进行安全交代。</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设备运行单位人员、项目管理单位人员、工作许可人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B05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安全交代落实不到位。</w:t>
            </w:r>
            <w:r>
              <w:rPr>
                <w:rFonts w:hint="eastAsia" w:ascii="宋体" w:hAnsi="宋体" w:cs="宋体"/>
                <w:szCs w:val="21"/>
              </w:rPr>
              <w:t>现场开始工作前，工作负责人未向全体工作班人员或分组负责人宣读工作票、施工作业票，未明确交代工作任务及分工、作业地点及范围、作业环境及风险、安全措施及注意事项等。作业人员未经工作负责人（分组负责人或监护人）同意，未参加工作负责人组织的现场安全交代，或不清楚工作任务、危险点，擅自开始或参与工作。</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2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B06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擅自变更作业人员或工作内容。</w:t>
            </w:r>
            <w:r>
              <w:rPr>
                <w:rFonts w:hint="eastAsia" w:ascii="宋体" w:hAnsi="宋体" w:cs="宋体"/>
                <w:szCs w:val="21"/>
              </w:rPr>
              <w:t>工作负责人擅自安排、指派工作票、施工作业票所列工作班人员之外的其他人员参与作业；工作票、施工作业票工作人员变更未履行变更手续；厂站二次措施单见证人未列入二次措施单所属工作票的工作班成员中。无需变更调度或设备运维单位的安全措施增加工作内容未按规定办理变更手续。</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B07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未按规定办理工作终结。</w:t>
            </w:r>
            <w:r>
              <w:rPr>
                <w:rFonts w:hint="eastAsia" w:ascii="宋体" w:hAnsi="宋体" w:cs="宋体"/>
                <w:szCs w:val="21"/>
              </w:rPr>
              <w:t>工作班成员还在工作或还未完全撤离工作现场就办理工作终结手续。全部作业结束后，工作布置的安全措施未拆除或未恢复至作业前状态或工作许可人指定的状态；或作业人员撤离现场后，擅自返回工作地点，继续工作或清理工具、遗留物。</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1"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B08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2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B09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B10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现场作业人员资质不符合要求。</w:t>
            </w:r>
            <w:r>
              <w:rPr>
                <w:rFonts w:hint="eastAsia" w:ascii="宋体" w:hAnsi="宋体" w:cs="宋体"/>
                <w:szCs w:val="21"/>
              </w:rPr>
              <w:t>现场作业人员存在未经实际技能考核合格、未持证上岗、因违章取消或暂停现场作业资质等不具备相应现场作业资格的情况。工作票中相关“三种人”不具备规定的资格要求。</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9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B11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B12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操作票所列人员不具备相应资格。</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B13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在变电站、发电厂等生产运行区域超速、无证驾驶机动车。</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B14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交叉跨越施工未搭设跨越架等安全措施。</w:t>
            </w:r>
            <w:r>
              <w:rPr>
                <w:rFonts w:hint="eastAsia" w:ascii="宋体" w:hAnsi="宋体" w:cs="宋体"/>
                <w:szCs w:val="21"/>
              </w:rPr>
              <w:t>交叉跨越各种带电电力线路、铁路、铺装路面公路、河流等放线、撤线时，未采取搭设跨越架、封航、封路等安全措施。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B15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接地线装设不牢固不合格未可靠装设接地线。</w:t>
            </w:r>
            <w:r>
              <w:rPr>
                <w:rFonts w:hint="eastAsia" w:ascii="宋体" w:hAnsi="宋体" w:cs="宋体"/>
                <w:szCs w:val="21"/>
              </w:rPr>
              <w:t>在检修电力线路、设备上装设的工作接地线、系统接地线或个人保安线接地线夹易脱落，或接地体（含临时接地体埋深）不满足安规要求。</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B16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临近带电体违规使用金属（或非绝缘）机具。</w:t>
            </w:r>
            <w:r>
              <w:rPr>
                <w:rFonts w:hint="eastAsia" w:ascii="宋体" w:hAnsi="宋体" w:cs="宋体"/>
                <w:szCs w:val="21"/>
              </w:rPr>
              <w:t>采用钢卷尺、皮卷尺、线尺（夹有金属丝者）或其它金属尺具在厂站、配电房、配电开关站邻近无绝缘隔离措施的带电部位进行测量工作或者测量带电线路导线的弛度、档距及导线与通道内其他物体（交叉跨越、建筑物、树木、塔材等）距离。高压配电线路带电立、撤杆作业时，未使用绝缘绳索控制电杆起立。在厂站、配电房、配电开关站的带电区域内或邻近带电线路附近使用金属梯子进行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B17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电力线路设备拆除后，带电部分未处理。</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B18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未按操作步骤进行操作。</w:t>
            </w:r>
            <w:r>
              <w:rPr>
                <w:rFonts w:hint="eastAsia" w:ascii="宋体" w:hAnsi="宋体" w:cs="宋体"/>
                <w:szCs w:val="21"/>
              </w:rPr>
              <w:t>未按照操作票操作项目顺序进行操作，存在倒项、添项、漏项、跳项(安规允许的情形除外)。</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操作人</w:t>
            </w:r>
          </w:p>
          <w:p>
            <w:pPr>
              <w:jc w:val="center"/>
              <w:textAlignment w:val="center"/>
              <w:rPr>
                <w:rFonts w:ascii="宋体" w:hAnsi="宋体" w:cs="宋体"/>
                <w:szCs w:val="21"/>
              </w:rPr>
            </w:pPr>
            <w:r>
              <w:rPr>
                <w:rFonts w:hint="eastAsia" w:ascii="宋体" w:hAnsi="宋体" w:cs="宋体"/>
                <w:szCs w:val="21"/>
              </w:rPr>
              <w:t>操作监护人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B19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lang w:bidi="ar"/>
              </w:rPr>
              <w:t>违规无监护操作、无监护工作。</w:t>
            </w:r>
            <w:r>
              <w:rPr>
                <w:rStyle w:val="41"/>
                <w:rFonts w:hint="default" w:ascii="宋体" w:hAnsi="宋体" w:eastAsia="宋体" w:cs="宋体"/>
                <w:color w:val="auto"/>
                <w:sz w:val="21"/>
                <w:szCs w:val="21"/>
                <w:lang w:bidi="ar"/>
              </w:rPr>
              <w:t>执行监护操作时，未按规定履行操作监护程序而独自操作。动火作业、带电作业、搭设跨越架等《安规》规定需设置专人监护的作业未按照要求设置专人监护或监护不到位。</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0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B20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防倒杆塔技术措施落实不到位。</w:t>
            </w:r>
            <w:r>
              <w:rPr>
                <w:rFonts w:hint="eastAsia" w:ascii="宋体" w:hAnsi="宋体" w:cs="宋体"/>
                <w:szCs w:val="21"/>
              </w:rPr>
              <w:t>杆塔组立或组塔架线前，未校核拉线、地锚、索道受力情况，未全面检查或超载荷使用工器具，未紧固地脚螺栓或者地脚螺栓未经验收合格。撤杆塔、撤线或紧线前，未按规定采取防倒杆塔措施。杆塔组立后杆根、塔基未完全牢固或做好拉线即登杆塔作业。在线路杆塔发生基础松弛、塌陷，拉线失效，杆体严重歪斜、上拔，塔材、钢筋变形、断裂，导线断股，金具断裂等严重问题时，未采取可靠安全措施即登杆塔开展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B21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B22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未落实防误登杆塔措施开展作业。</w:t>
            </w:r>
            <w:r>
              <w:rPr>
                <w:rFonts w:hint="eastAsia" w:ascii="宋体" w:hAnsi="宋体" w:cs="宋体"/>
                <w:szCs w:val="21"/>
              </w:rPr>
              <w:t>登杆塔前未核对线路名称、杆塔号、色标，杆塔号缺失的未做临时标记。</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B23</w:t>
            </w:r>
          </w:p>
        </w:tc>
        <w:tc>
          <w:tcPr>
            <w:tcW w:w="3485" w:type="pct"/>
            <w:tcBorders>
              <w:tl2br w:val="nil"/>
              <w:tr2bl w:val="nil"/>
            </w:tcBorders>
            <w:tcMar>
              <w:top w:w="10" w:type="dxa"/>
              <w:left w:w="10" w:type="dxa"/>
              <w:right w:w="10" w:type="dxa"/>
            </w:tcMar>
            <w:vAlign w:val="center"/>
          </w:tcPr>
          <w:p>
            <w:pPr>
              <w:pStyle w:val="42"/>
              <w:numPr>
                <w:ilvl w:val="2"/>
                <w:numId w:val="0"/>
              </w:numPr>
              <w:spacing w:line="240" w:lineRule="auto"/>
              <w:rPr>
                <w:rFonts w:cs="宋体"/>
                <w:sz w:val="21"/>
                <w:szCs w:val="21"/>
              </w:rPr>
            </w:pPr>
            <w:r>
              <w:rPr>
                <w:rFonts w:hint="eastAsia" w:cs="宋体"/>
                <w:b/>
                <w:bCs/>
                <w:sz w:val="21"/>
                <w:szCs w:val="21"/>
              </w:rPr>
              <w:t>电气操作未按规定使用绝缘安全工器具。</w:t>
            </w:r>
            <w:r>
              <w:rPr>
                <w:rFonts w:hint="eastAsia" w:cs="宋体"/>
                <w:sz w:val="21"/>
                <w:szCs w:val="21"/>
              </w:rPr>
              <w:t>用绝缘棒拉合隔离开关、经传动机构拉合隔离开关和断路器、跌落式熔断器、高压验电，对厂站设备、配电网设备装拆接地线时未戴绝缘手套；装卸高压熔断器熔管，未戴绝缘手套，未站在绝缘物上或未穿绝缘靴。雷雨天气及一次设备发生接地时，未穿绝缘靴巡视厂站内室外高压设备；雨天在户外操作电气设备时，验电器、绝缘棒、操作杆无防雨罩，未穿绝缘靴、戴绝缘手套。</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B24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未落实安全措施即进入水力发电机内部工作。</w:t>
            </w:r>
            <w:r>
              <w:rPr>
                <w:rFonts w:hint="eastAsia" w:ascii="宋体" w:hAnsi="宋体" w:cs="宋体"/>
                <w:szCs w:val="21"/>
              </w:rPr>
              <w:t>进入水力发电机的蜗壳、尾水管等危险部位时未按规定做好关闭阀门、切断操作能源、排空积水等安全措施。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B25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低压不停电作业绝缘防护措施未落实。</w:t>
            </w:r>
            <w:r>
              <w:rPr>
                <w:rFonts w:hint="eastAsia" w:ascii="宋体" w:hAnsi="宋体" w:cs="宋体"/>
                <w:szCs w:val="21"/>
              </w:rPr>
              <w:t>低压不停电作业未穿绝缘鞋，未戴</w:t>
            </w:r>
            <w:r>
              <w:rPr>
                <w:szCs w:val="21"/>
              </w:rPr>
              <w:t>低压绝缘手套</w:t>
            </w:r>
            <w:r>
              <w:rPr>
                <w:rFonts w:hint="eastAsia"/>
                <w:szCs w:val="21"/>
              </w:rPr>
              <w:t>、帆布手套或低压现场作业防护手套</w:t>
            </w:r>
            <w:r>
              <w:rPr>
                <w:rFonts w:hint="eastAsia" w:ascii="宋体" w:hAnsi="宋体" w:cs="宋体"/>
                <w:szCs w:val="21"/>
              </w:rPr>
              <w:t>，未使用有绝缘柄的工具，未戴护目镜或防护面罩。进行低压不停电作业前未采取绝缘隔离、遮蔽裸露带电部分等防止相间或接地短路的有效措施。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B26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带电试验、二次回路作业绝缘防护不到位。</w:t>
            </w:r>
            <w:r>
              <w:rPr>
                <w:rFonts w:hint="eastAsia" w:ascii="宋体" w:hAnsi="宋体" w:cs="宋体"/>
                <w:szCs w:val="21"/>
              </w:rPr>
              <w:t>对电缆（或试验设备）进行放电及更换试验引线时，未戴绝缘手套。在带电的电流互感器二次回路上进行拆、接线工作时，未穿绝缘鞋或站在绝缘物上。</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51"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B27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未按规定使用起重、牵引、升降设备。</w:t>
            </w:r>
            <w:r>
              <w:rPr>
                <w:rFonts w:hint="eastAsia" w:ascii="宋体" w:hAnsi="宋体" w:cs="宋体"/>
                <w:szCs w:val="21"/>
              </w:rPr>
              <w:t>绞磨、汽车吊、卷扬机等起重机械、牵引设备超过铭牌规定额定荷载值使用，或无制动和逆止装置或制动装置失灵、不灵敏，或受力工器具（静压管桩机械除外）的吊钩防脱落保险装置残缺、变形失效。</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B28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B29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牵引工具未按规定接地。</w:t>
            </w:r>
            <w:r>
              <w:rPr>
                <w:rFonts w:hint="eastAsia" w:ascii="宋体" w:hAnsi="宋体" w:cs="宋体"/>
                <w:szCs w:val="21"/>
              </w:rPr>
              <w:t>邻近带电设备场所使用的起重机和绞车等牵引工具未接地，作业的导（地）线未在工作地点接地。牵引机及张力机出线端的牵引绳及导线上未装设接地滑车。</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B30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B31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未按规定整定定值。</w:t>
            </w:r>
            <w:r>
              <w:rPr>
                <w:rFonts w:hint="eastAsia" w:ascii="宋体" w:hAnsi="宋体" w:cs="宋体"/>
                <w:szCs w:val="21"/>
              </w:rPr>
              <w:t>未按电力调度规程整定继电保护、调度自动化、安全自动装置的定值。</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B32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货运索道载人或超载使用</w:t>
            </w:r>
            <w:r>
              <w:rPr>
                <w:rFonts w:hint="eastAsia" w:ascii="宋体" w:hAnsi="宋体" w:cs="宋体"/>
                <w:szCs w:val="21"/>
              </w:rPr>
              <w:t>，或使用安全保护装置有缺陷的载人提升设备。</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B33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特种作业人员未经年审或证件过期仍开展特种作业。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B34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乘坐船舶或水上作业不使用救生装备。</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0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B35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超负荷作业、超承载能力承接工程。</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B36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未开站班会，或站班会安全技术交底等“三交”“三查”工作与现场安全保障措施、工作任务等严重不符（基建领域专用）。</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B37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二次措施单与现场不符合。</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B38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未按要求验电。</w:t>
            </w:r>
            <w:r>
              <w:rPr>
                <w:rFonts w:hint="eastAsia" w:ascii="宋体" w:hAnsi="宋体" w:cs="宋体"/>
                <w:szCs w:val="21"/>
              </w:rPr>
              <w:t>未使用相应电压等级且合格的验电器进行验电。对同杆塔架设的多层、同一横担多回线路验电时，未按先验低压，后验高压，先验下层，后验上层，先验近侧，后验远侧的顺序验电。使用低压测电笔对被验电设备的低压部分验电时未与设备的高压部分保持足够的安全距离。</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B39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开挖作业未落实运行线路基础保护措施。</w:t>
            </w:r>
            <w:r>
              <w:rPr>
                <w:rFonts w:hint="eastAsia" w:ascii="宋体" w:hAnsi="宋体" w:cs="宋体"/>
                <w:szCs w:val="21"/>
              </w:rPr>
              <w:t>在临近运行线路进行基础开挖施工时，未采取防止开挖对运行线路基础造成破坏的措施（对运行线路基础加固开挖除外）。</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现场负责人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B40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公路施工未落实交通安全措施。</w:t>
            </w:r>
            <w:r>
              <w:rPr>
                <w:rFonts w:hint="eastAsia" w:ascii="宋体" w:hAnsi="宋体" w:cs="宋体"/>
                <w:szCs w:val="21"/>
              </w:rPr>
              <w:t>在高速公路、一级公路等车流量较大的公路施工时，未在工作场所周围装设遮栏（围栏），未设置警示标志，夜间未设置警示光源，未派专人看守。</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现场负责人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B41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醉酒、酒后等不清醒状态下开展作业。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B42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2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B43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作业现场使用、携带的生产用具不合格</w:t>
            </w:r>
            <w:r>
              <w:rPr>
                <w:rFonts w:hint="eastAsia" w:ascii="宋体" w:hAnsi="宋体" w:cs="宋体"/>
                <w:szCs w:val="21"/>
              </w:rPr>
              <w:t>。使用不合格（存在严重破损、裂纹、松脱、断股等明显缺陷或达到报废标准）或国家、公司已明令淘汰的安全带、验电器、接地线、绝缘手套、绝缘操作棒、绝缘梯等安全工器具；高压带电作业使用的绝缘工具（绝缘后备保护绳、导电鞋、屏蔽服、手套等）受潮后未重新检测绝缘继续使用；Ⅰ类手持式电动工具、可移式电动工具、移动发电机、高压试验设备金属外壳未接地或裸露导电部分未装设安全保护罩；砂轮机、切割机、圆锯机、角磨机的刀片有裂纹、破损，或机械转动部分保护罩严重破损、缺失；动力机具的转动部分、冷却风扇缺少保护罩。</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B44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B45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未按规定搭设脚手架。</w:t>
            </w:r>
            <w:r>
              <w:rPr>
                <w:rFonts w:hint="eastAsia" w:ascii="宋体" w:hAnsi="宋体" w:cs="宋体"/>
                <w:szCs w:val="21"/>
              </w:rPr>
              <w:t>悬挑式、落地式作业脚手架材质不符合规格要求，未设置剪刀撑（或斜撑），脚手架底部未装设纵向和横向扫地杆，2米及以上的作业层未铺设脚手板、作业层外侧未采用安全网；悬挑式、</w:t>
            </w:r>
            <w:bookmarkStart w:id="21" w:name="OLE_LINK1"/>
            <w:r>
              <w:rPr>
                <w:rFonts w:hint="eastAsia" w:ascii="宋体" w:hAnsi="宋体" w:cs="宋体"/>
                <w:szCs w:val="21"/>
              </w:rPr>
              <w:t>6米及以上落地式作业脚手架未设置连墙件</w:t>
            </w:r>
            <w:bookmarkEnd w:id="21"/>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B46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危大工程方案编制审批实施不到位。</w:t>
            </w:r>
            <w:r>
              <w:rPr>
                <w:rFonts w:hint="eastAsia" w:ascii="宋体" w:hAnsi="宋体" w:cs="宋体"/>
                <w:szCs w:val="21"/>
              </w:rPr>
              <w:t>超过一定规模的危险性较大分部分项工程未建立工程清单，或未组织编制专项施工方案，或专项方案未按规定论证、审核、审批、交底及现场监督实施，或擅自改变审批专项方案工序方法进行施工。</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管理人员</w:t>
            </w:r>
          </w:p>
          <w:p>
            <w:pPr>
              <w:jc w:val="center"/>
              <w:textAlignment w:val="center"/>
              <w:rPr>
                <w:rFonts w:ascii="宋体" w:hAnsi="宋体" w:cs="宋体"/>
                <w:szCs w:val="21"/>
              </w:rPr>
            </w:pPr>
            <w:r>
              <w:rPr>
                <w:rFonts w:hint="eastAsia" w:ascii="宋体" w:hAnsi="宋体" w:cs="宋体"/>
                <w:szCs w:val="21"/>
              </w:rPr>
              <w:t>现场负责人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B47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未严格执行调度令。</w:t>
            </w:r>
            <w:r>
              <w:rPr>
                <w:rFonts w:hint="eastAsia" w:ascii="宋体" w:hAnsi="宋体" w:cs="宋体"/>
                <w:szCs w:val="21"/>
              </w:rPr>
              <w:t>不执行或无故拖延执行调度命令。</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受令人</w:t>
            </w:r>
          </w:p>
          <w:p>
            <w:pPr>
              <w:jc w:val="center"/>
              <w:textAlignment w:val="center"/>
              <w:rPr>
                <w:rFonts w:ascii="宋体" w:hAnsi="宋体" w:cs="宋体"/>
                <w:szCs w:val="21"/>
              </w:rPr>
            </w:pPr>
            <w:r>
              <w:rPr>
                <w:rFonts w:hint="eastAsia" w:ascii="宋体" w:hAnsi="宋体" w:cs="宋体"/>
                <w:szCs w:val="21"/>
              </w:rPr>
              <w:t>操作人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B48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未履行专职监护职责。</w:t>
            </w:r>
            <w:r>
              <w:rPr>
                <w:rFonts w:hint="eastAsia" w:ascii="宋体" w:hAnsi="宋体" w:cs="宋体"/>
                <w:szCs w:val="21"/>
              </w:rPr>
              <w:t>在可能存在交叉、间歇带电的设备上作业，或在一个电气部分进行多专业协同作业时，工作负责人未履行专职监护职责或直接参与现场作业。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B49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绞磨或卷扬机放置不平稳或锚固不可靠</w:t>
            </w:r>
            <w:r>
              <w:rPr>
                <w:rFonts w:hint="eastAsia" w:ascii="宋体" w:hAnsi="宋体" w:cs="宋体"/>
                <w:szCs w:val="21"/>
              </w:rPr>
              <w:t>，如利用树木或外露岩石作牵引、制动等主要受力锚桩。</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B50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直接接触或穿越绝缘导线作业。</w:t>
            </w:r>
            <w:r>
              <w:rPr>
                <w:rFonts w:hint="eastAsia" w:ascii="宋体" w:hAnsi="宋体" w:cs="宋体"/>
                <w:szCs w:val="21"/>
              </w:rPr>
              <w:t>直接接触运行中的高压架空绝缘导线、穿越未停电接地或未采取绝缘隔离措施的高压绝缘导线进行工作。</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B51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57"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B52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B53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劳务分包人员担任施工班组班长。</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B54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B55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b/>
                <w:bCs/>
                <w:szCs w:val="21"/>
              </w:rPr>
              <w:t>作业车辆防倾覆措施未落实。</w:t>
            </w:r>
            <w:r>
              <w:rPr>
                <w:rFonts w:hint="eastAsia" w:ascii="宋体" w:hAnsi="宋体" w:cs="宋体"/>
                <w:szCs w:val="21"/>
              </w:rPr>
              <w:t>采用汽车吊、随车吊、高空作业车、绝缘斗臂车、高处作业平台、混凝土臂架泵车等作业时，整机超出安全倾斜角度，或在松软地面、在有沟、坑的未平整地面未落实稳固支撑等防倾覆措施。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C01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工作票、施工作业票的签发人同时兼任该项工作的工作负责人，或签发空白工作票、施工作业票。</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工作票签发人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C02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工作票、操作票、施工作业票、现场勘察及安全技术交底记录等作业文件存在签名漏签、事后补签、违规代签现象。</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C03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工作负责人未履行临时变更或交接手续离开作业现场。</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C04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工作票不按规定办理延期、间断手续。</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C05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工作票存在工作地点或工作任务不清晰、工作票附属单不齐全。</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工作票签发人</w:t>
            </w:r>
          </w:p>
          <w:p>
            <w:pPr>
              <w:jc w:val="center"/>
              <w:textAlignment w:val="center"/>
              <w:rPr>
                <w:rFonts w:ascii="宋体" w:hAnsi="宋体" w:cs="宋体"/>
                <w:szCs w:val="21"/>
              </w:rPr>
            </w:pPr>
            <w:r>
              <w:rPr>
                <w:rFonts w:hint="eastAsia" w:ascii="宋体" w:hAnsi="宋体" w:cs="宋体"/>
                <w:szCs w:val="21"/>
              </w:rPr>
              <w:t>工作票会签人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C06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一份现场电气操作票存在两个及以上操作任务，或操作任务描述不准确。</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操作人</w:t>
            </w:r>
          </w:p>
          <w:p>
            <w:pPr>
              <w:jc w:val="center"/>
              <w:textAlignment w:val="center"/>
              <w:rPr>
                <w:rFonts w:ascii="宋体" w:hAnsi="宋体" w:cs="宋体"/>
                <w:szCs w:val="21"/>
              </w:rPr>
            </w:pPr>
            <w:r>
              <w:rPr>
                <w:rFonts w:hint="eastAsia" w:ascii="宋体" w:hAnsi="宋体" w:cs="宋体"/>
                <w:szCs w:val="21"/>
              </w:rPr>
              <w:t>操作监护人</w:t>
            </w:r>
          </w:p>
          <w:p>
            <w:pPr>
              <w:jc w:val="center"/>
              <w:textAlignment w:val="center"/>
              <w:rPr>
                <w:rFonts w:ascii="宋体" w:hAnsi="宋体" w:cs="宋体"/>
                <w:szCs w:val="21"/>
              </w:rPr>
            </w:pPr>
            <w:r>
              <w:rPr>
                <w:rFonts w:hint="eastAsia" w:ascii="宋体" w:hAnsi="宋体" w:cs="宋体"/>
                <w:szCs w:val="21"/>
              </w:rPr>
              <w:t>值班负责人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7"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C07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工作负责人违规持有两张及以上工作票同时组织开展工作（安规允许的情况除外）。</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1"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C08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现场勘察及安全技术交底记录与现场不一致；未留存勘察记录。</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C09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未开展风险评估、风险识别不全面或风险评估定级错误。未按规定制定风险管控措施或风险控制措施无效、失效。</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现场负责人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装、拆接地线后未及时做好相关记录。</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砍伐树木过程中，未采取防止树枝跌落导线及砸伤人员的措施。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在高处作业地点的垂直下方及坠物可能落到的地方通行或逗留，高处作业人员随手上下抛掷工具、器具和材料。</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放线、紧线与撤线作业时，工作人员站或跨在已受力的牵引绳、导（地）线的内角侧及正上方、牵引绳或架空线的垂直下方、导（地）线及牵引绳圈内。</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高边坡施工未按要求设置安全防护设施；对不良地质构造的高边坡，未按设计要求采取锚喷或加固等支护措施。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现场坑、沟、孔洞、临边、临时道路、桩基础等施工区域、模板拆除区域未按规定设置盖板或防止外人通行的围栏、警示标志。</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起吊作业范围没有防止外人通行的围蔽设施、未设置警示标志。</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在城区、人口密集区、通行道路上或交通道口施工时，工作场所周围未设遮栏（围栏）或其他安全措施。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漏填写、漏装（拆）、错装（拆）工作票所列安全措施中的标志牌、安全遮栏（围栏）。</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工作许可人</w:t>
            </w:r>
          </w:p>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C20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高压试验现场未装设遮栏，或遮栏与试验设备高压部分未保持足够的安全距离，或未向外悬挂“止步，高压危险！”标志牌。</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C21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工作许可人</w:t>
            </w:r>
          </w:p>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C22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施工检修电源箱外壳未接地或接地不规范、无锁、无警示标志等。变压器、电抗器在放油及滤油过程中，储油罐和油处理设备未可靠接地。</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C23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随意挪用或损坏现场安全标志等各类安全设施。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C24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作业人员擅自移动安全遮栏（围栏）、拆除标志牌等。</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C25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擅自拆除孔洞盖板、栏杆、隔离层，或因工作需要拆除附属设施时未设明显标示，未及时恢复。</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C26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运行值班人员未经批准擅自离开运行值班岗位。</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值班人员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C27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作业人员擅自穿、跨越安全遮栏（围栏）或超越安全警戒线开展工作。</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C28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电容器、电缆等设备检修前或试验调整接线前，未逐个、逐相进行充分放电。</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C29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作业人员在受力钢丝绳上下方、内角侧，或起吊物下逗留或通过。</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C30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将运行中转动设备的防护罩打开，或将手伸入运行中转动设备的遮栏内。戴手套或用抹布对转动部分进行清扫或进行其他工作。</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C31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攀爬脆弱或枯死的树枝和已经锯过或砍过未断的树枝。</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C32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不按规定顺序装、拆接地线。</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C33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电气设备移动、收放电源线时未切断电源。</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C34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操作时未执行唱票复诵制度。</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操作人</w:t>
            </w:r>
          </w:p>
          <w:p>
            <w:pPr>
              <w:jc w:val="center"/>
              <w:textAlignment w:val="center"/>
              <w:rPr>
                <w:rFonts w:ascii="宋体" w:hAnsi="宋体" w:cs="宋体"/>
                <w:szCs w:val="21"/>
              </w:rPr>
            </w:pPr>
            <w:r>
              <w:rPr>
                <w:rFonts w:hint="eastAsia" w:ascii="宋体" w:hAnsi="宋体" w:cs="宋体"/>
                <w:szCs w:val="21"/>
              </w:rPr>
              <w:t>操作监护人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C35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工作负责人在工作内容、分工、范围等变动后，未重新组织工作班人员进行安全交代。</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C36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建设单位、施工单位、监理单位等管理人员未按作业风险管控规定履职管控。</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C37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C38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高压试验加压过程未进行监护和呼唱，变更接线或试验结束时未将升压设备的高压部分放电、短路接地。</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C39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起吊作业进行中，操作人员离开操作台、室，指挥人员离开现场，或指挥信息不清晰、不畅通。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指挥人员</w:t>
            </w:r>
          </w:p>
          <w:p>
            <w:pPr>
              <w:jc w:val="center"/>
              <w:textAlignment w:val="center"/>
              <w:rPr>
                <w:rFonts w:ascii="宋体" w:hAnsi="宋体" w:cs="宋体"/>
                <w:szCs w:val="21"/>
              </w:rPr>
            </w:pPr>
            <w:r>
              <w:rPr>
                <w:rFonts w:hint="eastAsia" w:ascii="宋体" w:hAnsi="宋体" w:cs="宋体"/>
                <w:szCs w:val="21"/>
              </w:rPr>
              <w:t>操作人员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C40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搬运、起吊重大物件无统一指挥、统一信号。</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C41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电源箱设置不符合“一机、一闸、一保护”要求，临时电源箱无漏电保护装置或漏电装置损坏，或插头、插座、电源箱破损明显，或使用铁线、铜线等代替保险丝。</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C42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电气设备、工具的电源线直接钩挂在闸刀上或直接插入插座使用。</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C43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雨雪天户外露天使用电焊机，或电焊机电源线直接搭接在电线上。</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C44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绞磨牵引钢丝绳未从绞磨下方卷入，钢丝绳在卷筒或磨心上缠绕少于5圈，磨芯未放置防钢丝绳跑出的安全装置。拉磨尾绳人员站于锚桩前面、绳圈内侧。</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C45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使用大锤或操作钻床、车床等转动机械时戴棉纱手套。</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31"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C46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梯子架设在不稳定的支持物上，或梯子无防滑措施，或人字梯无限制开度的拉绳或限位器。梯子架设不稳固时无专人扶持或在未绑扎牢固的梯子上作业。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监护人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C47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有人站立梯子上作业时移动梯子，站立在梯子限高档位以上作业或两人同时站立在同一梯子上作业。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6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C48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作业脚手架作业层安全网封闭、网间连接不严密、牢靠，脚手板不严密、牢靠。脚手架、跨越架搭设后未经检验合格即投入使用，脚手架、跨越架未定期开展检查或记录缺失，长时间停止使用或在暴雨、6级以上强风过后未经检查合格就投入使用。</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C49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梯子与地面的倾斜角远大于或小于60°。</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C50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在变电站、发电厂等生产场所不按规定使用和搬运梯子、管子等长物。</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C51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C52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应进行试验的用电设备、手工器具未定期试验，或无试验合格标示或试验过期。</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C53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现场使用的验电器、安全帽、安全带、脚扣、登高脚踏板、接地线、绝缘杆、绝缘手套、绝缘鞋、绝缘靴、绝缘绳、绝缘挡板、绝缘梯等工器具未定期试验、无试验合格标示或试验过期，不按规定存放工器具或不按时入库，超标准配置随车工器具。</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C54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防误闭锁装置钥匙未按规定保存、管理和使用。</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31"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C55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使用长度在2米以上的安全带、安全绳等未加装缓冲器或在具备条件的情况下安全带未高挂低用。进行拆除绝缘子串等可能造成导（地）线与杆塔受力连接件断开的工作，将后备保护绳挂在杆塔横担上后未解开系在导（地）线侧的安全带主绳。</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C56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现场作业时未按规定着装。</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C57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不按规定佩戴或未正确佩戴安全帽。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C58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施工作业人员在道路、或在隧洞等环境较暗的场所、或在夜间作业时未佩戴反光标志或未穿着反光衣。</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C59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与无牢固防护设施的海洋、河流、湖泊、水库、水塘等自然或人工水体岸线距离不足2m的临水作业未配置救生措施（救生衣、救生圈、救生绳等）。</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C60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C61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电、气焊接与热切割工作时不戴防护镜、不穿帆布或全棉工作服、不戴防护手套等专用劳动防护用品。使用油锯或电锯作业、砂轮切割研磨作业时不戴防护镜。</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C62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在电缆沟、隧道、夹层或金属容器内工作时，未使用安全电压行灯照明。</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C63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二次回路工作未落实防止电流互感器二次侧开路或电压互感器二次侧短路的措施。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5"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C64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二次回路工作使用的金属工具未按规定进行绝缘保护，低压不停电作业使用的工具工作部位外裸露的导电部位未采取绝缘包裹措施。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C65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在继保、安自、通信、测控等二次设备屏柜或端子排作业时，正在运行的设备与开展作业的设备间，没有采取可靠隔离措施或没有明显的分隔标示；或进行振动较大的工作时，未采取防误动、误碰的安全措施。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工作许可人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C66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凭借栏杆、作业脚手架、瓷件等起吊物件。</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C67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生产运行现场消防设备设施、灭火器材未定期检验、检查，或损坏、失效。</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C68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易燃、易爆物品或各种气瓶不按规定储运、存放、使用。如氧气瓶与乙炔瓶同车运载及混放使用中的氧气瓶、乙炔瓶放置相距不足5米，距明火不足10米，未垂直放置固定。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C69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使用中的乙炔瓶没有防回火装置，气管有龟裂、鼓包、漏气等现象。</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C70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C71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动火作业现场未放置足够、合格的灭火器材。</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C72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违规使用没有“一书一签”（化学品安全技术说明书、化学品安全标签）的危险化学品。</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C73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擅自倾倒、堆放、丢弃或遗撒危险化学品。</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C74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雨雪、冰冻天气的高处作业未采取防滑、防冻措施。</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C75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C76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未履行有关手续即对有压力、带电、充油的容器及管道施焊。</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C77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检修完毕后，在封闭风洞盖板、风洞门、压力钢管、蜗壳、尾水管和压力容器前，未清点人数和工具，未检查确无人员和物件遗留。</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C78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在进入SF6开关室前，未进行充分的通风。</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C79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开展有限空间工作时，有限空间外未按规定设置监护人或未全程持续监护。</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C80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外单位人员办理工作票时，未按规定实行“双签发”（第三种工作票、紧急抢修票、书面布置记录票除外）。中风险及以上作业任务的施工作业票未按规定实行“双签发”，高风险以及危大工程作业任务的施工作业票，未增加业主项目部会签。</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工作票签发人</w:t>
            </w:r>
          </w:p>
          <w:p>
            <w:pPr>
              <w:jc w:val="center"/>
              <w:textAlignment w:val="center"/>
              <w:rPr>
                <w:rFonts w:ascii="宋体" w:hAnsi="宋体" w:cs="宋体"/>
                <w:szCs w:val="21"/>
              </w:rPr>
            </w:pPr>
            <w:r>
              <w:rPr>
                <w:rFonts w:hint="eastAsia" w:ascii="宋体" w:hAnsi="宋体" w:cs="宋体"/>
                <w:szCs w:val="21"/>
              </w:rPr>
              <w:t>工作票会签人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C81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工作票填写、签发、接收、许可等流程不符合《安规》要求，如工作负责人对作业班组人员安全交代在工作许可之前，工作票接收在签发之前等。</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C82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工作票、施工作业票选型错误。</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现场负责人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C83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施工作业同时有多个工作地点需分组工作时，不按规定填写小组派工单和指定小组负责人（监护人）。</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C84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一般临时作业未进行审批。</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C85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操作票未经过“三审”，或者操作票存在B03条款以外的填写不正确、不规范问题。</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操作人</w:t>
            </w:r>
          </w:p>
          <w:p>
            <w:pPr>
              <w:jc w:val="center"/>
              <w:textAlignment w:val="center"/>
              <w:rPr>
                <w:rFonts w:ascii="宋体" w:hAnsi="宋体" w:cs="宋体"/>
                <w:szCs w:val="21"/>
              </w:rPr>
            </w:pPr>
            <w:r>
              <w:rPr>
                <w:rFonts w:hint="eastAsia" w:ascii="宋体" w:hAnsi="宋体" w:cs="宋体"/>
                <w:szCs w:val="21"/>
              </w:rPr>
              <w:t>监护人</w:t>
            </w:r>
          </w:p>
          <w:p>
            <w:pPr>
              <w:jc w:val="center"/>
              <w:textAlignment w:val="center"/>
              <w:rPr>
                <w:rFonts w:ascii="宋体" w:hAnsi="宋体" w:cs="宋体"/>
                <w:szCs w:val="21"/>
              </w:rPr>
            </w:pPr>
            <w:r>
              <w:rPr>
                <w:rFonts w:hint="eastAsia" w:ascii="宋体" w:hAnsi="宋体" w:cs="宋体"/>
                <w:szCs w:val="21"/>
              </w:rPr>
              <w:t>值班负责人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C86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敷设电缆过程中无专人指挥，电缆移动时用手搬动滑轮。</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监护人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C87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未按规定将作业纳入视频监控（含视频点不足、故意遮挡视频、非可调摄像头未对准作业现场、位置摆放错误）。</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C88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设备运维单位或项目管理单位对施工单位安全技术交底未在办理工作票之前，交底中安全措施与现场不符或交底内容不全。</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C89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未编制施工方案或未按施工方案规定开展作业，或有限空间作业未填用《有限空间作业审批单》。</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管理人员</w:t>
            </w:r>
          </w:p>
          <w:p>
            <w:pPr>
              <w:jc w:val="center"/>
              <w:textAlignment w:val="center"/>
              <w:rPr>
                <w:rFonts w:ascii="宋体" w:hAnsi="宋体" w:cs="宋体"/>
                <w:szCs w:val="21"/>
              </w:rPr>
            </w:pPr>
            <w:r>
              <w:rPr>
                <w:rFonts w:hint="eastAsia" w:ascii="宋体" w:hAnsi="宋体" w:cs="宋体"/>
                <w:szCs w:val="21"/>
              </w:rPr>
              <w:t>现场负责人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C90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高压试验操作人员未穿绝缘鞋或未站在绝缘台（垫）上（远程操作除外）。</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C91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安排有职业禁忌病症的人员从事相应的禁忌作业。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现场负责人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C92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监理日志/监理日记记录不全，或旁站记录不规范、不真实（记录表内容与现场不符，或旁站记录与监理日志内容不符），或未及时发现现场重大安全隐患并提出整改要求。</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现场负责人</w:t>
            </w:r>
          </w:p>
          <w:p>
            <w:pPr>
              <w:jc w:val="center"/>
              <w:textAlignment w:val="center"/>
              <w:rPr>
                <w:rFonts w:ascii="宋体" w:hAnsi="宋体" w:cs="宋体"/>
                <w:szCs w:val="21"/>
              </w:rPr>
            </w:pPr>
            <w:r>
              <w:rPr>
                <w:rFonts w:hint="eastAsia" w:ascii="宋体" w:hAnsi="宋体" w:cs="宋体"/>
                <w:szCs w:val="21"/>
              </w:rPr>
              <w:t>监理人员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C93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高空作业车、带电作业车车辆行驶时，作业平台上载人。</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监护人</w:t>
            </w:r>
          </w:p>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C94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铁塔组立或台架组立后，未按设计要求在导线架设前与接地装置连接，或未做好成品保护。</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C95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二次工作中将回路的永久接地点、安全接地点断开。</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C96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未按规定办理审批、交底等手续或未探明地下管线等分布情况，盲目开挖、掘进、顶管等作业。</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现场负责人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C97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现场处于使用状态的施工机械（具）、发电车或施工用电设备无人看护。</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现场负责人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C98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4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C99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施工车辆安全管理不到位，存在危险驾驶、保养维护不到位等问题。</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驾驶员</w:t>
            </w:r>
          </w:p>
          <w:p>
            <w:pPr>
              <w:jc w:val="center"/>
              <w:textAlignment w:val="center"/>
              <w:rPr>
                <w:rFonts w:ascii="宋体" w:hAnsi="宋体" w:cs="宋体"/>
                <w:szCs w:val="21"/>
              </w:rPr>
            </w:pPr>
            <w:r>
              <w:rPr>
                <w:rFonts w:hint="eastAsia" w:ascii="宋体" w:hAnsi="宋体" w:cs="宋体"/>
                <w:szCs w:val="21"/>
              </w:rPr>
              <w:t>车辆管理人员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C100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在杆塔上高处作业时，安全带未使用后备保护绳或防坠器。</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C101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使用金具U型环代替卸扣、使用普通材料的螺栓取代卸扣销轴、钢丝套插接长度不满足要求。</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C102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危化品、爆破品运输、存储、使用不规范。</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作业环境</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D01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操作票未按规定填写操作时间或未填写操作发令单位、发令人、受令单位、受令人等。</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操作监护人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D02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操作票未对操作项目逐项打“√”。</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操作监护人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D03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调令下达人员、受复令人员未规范使用调度术语。</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下令人</w:t>
            </w:r>
          </w:p>
          <w:p>
            <w:pPr>
              <w:jc w:val="center"/>
              <w:textAlignment w:val="center"/>
              <w:rPr>
                <w:rFonts w:ascii="宋体" w:hAnsi="宋体" w:cs="宋体"/>
                <w:szCs w:val="21"/>
              </w:rPr>
            </w:pPr>
            <w:r>
              <w:rPr>
                <w:rFonts w:hint="eastAsia" w:ascii="宋体" w:hAnsi="宋体" w:cs="宋体"/>
                <w:szCs w:val="21"/>
              </w:rPr>
              <w:t>受复令人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D04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安全交底（代）不规范。</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6"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D05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施工方案编制不规范，或审核流程执行不规范。</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项目管理人员</w:t>
            </w:r>
          </w:p>
          <w:p>
            <w:pPr>
              <w:jc w:val="center"/>
              <w:textAlignment w:val="center"/>
              <w:rPr>
                <w:rFonts w:ascii="宋体" w:hAnsi="宋体" w:cs="宋体"/>
                <w:szCs w:val="21"/>
              </w:rPr>
            </w:pPr>
            <w:r>
              <w:rPr>
                <w:rFonts w:hint="eastAsia" w:ascii="宋体" w:hAnsi="宋体" w:cs="宋体"/>
                <w:szCs w:val="21"/>
              </w:rPr>
              <w:t>工作负责人</w:t>
            </w:r>
          </w:p>
          <w:p>
            <w:pPr>
              <w:jc w:val="center"/>
              <w:textAlignment w:val="center"/>
              <w:rPr>
                <w:rFonts w:ascii="宋体" w:hAnsi="宋体" w:cs="宋体"/>
                <w:szCs w:val="21"/>
              </w:rPr>
            </w:pPr>
            <w:r>
              <w:rPr>
                <w:rFonts w:hint="eastAsia" w:ascii="宋体" w:hAnsi="宋体" w:cs="宋体"/>
                <w:szCs w:val="21"/>
              </w:rPr>
              <w:t>监理人员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D06</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现场勘察及安全技术交底记录、风险评估记录、施工作业表单、二次措施单等现场作业文件和表单、记录填写不规范。</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D07</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应纳入视频管控作业的现场视频不规范（非硬件原因导致的视频与作业时长不符，未全过程记录；可调节的摄像头未对准现场或者作业人员、应上传的作业视频未及时上传等情况）。</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信息传递</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D08</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缺陷、隐患、故障填写不规范、检查或分析不到位、整改不彻底、整改完后未及时在系统中记录。</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D09</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现场勘察及安全技术交底记录未在系统上传。</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D10</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信息系统的作业信息填报不正确、不规范。</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D11</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作业记录未按时录入系统。</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两票文件</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D12</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作业人员上下设备或构架时未使用工作梯，或沿坑壁、支撑或乘坐非载人运输工具进出深基坑。</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D13</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安全工器具无编号或编号错误，未定置存放。</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作业人员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D14</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成套的接地线、个人保安线护套使用不透明胶布缠绕。</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机具防护</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使用人员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372"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D15</w:t>
            </w:r>
          </w:p>
        </w:tc>
        <w:tc>
          <w:tcPr>
            <w:tcW w:w="3485" w:type="pct"/>
            <w:tcBorders>
              <w:tl2br w:val="nil"/>
              <w:tr2bl w:val="nil"/>
            </w:tcBorders>
            <w:tcMar>
              <w:top w:w="10" w:type="dxa"/>
              <w:left w:w="10" w:type="dxa"/>
              <w:right w:w="10" w:type="dxa"/>
            </w:tcMar>
            <w:vAlign w:val="center"/>
          </w:tcPr>
          <w:p>
            <w:pPr>
              <w:textAlignment w:val="center"/>
              <w:rPr>
                <w:rFonts w:ascii="宋体" w:hAnsi="宋体" w:cs="宋体"/>
                <w:szCs w:val="21"/>
              </w:rPr>
            </w:pPr>
            <w:r>
              <w:rPr>
                <w:rFonts w:hint="eastAsia" w:ascii="宋体" w:hAnsi="宋体" w:cs="宋体"/>
                <w:szCs w:val="21"/>
              </w:rPr>
              <w:t>在高压室、保护室、控制室、阀冷屏柜等禁烟区域或施工作业现场内吸烟。</w:t>
            </w:r>
          </w:p>
        </w:tc>
        <w:tc>
          <w:tcPr>
            <w:tcW w:w="563"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人员行为</w:t>
            </w:r>
          </w:p>
        </w:tc>
        <w:tc>
          <w:tcPr>
            <w:tcW w:w="579" w:type="pct"/>
            <w:tcBorders>
              <w:tl2br w:val="nil"/>
              <w:tr2bl w:val="nil"/>
            </w:tcBorders>
            <w:tcMar>
              <w:top w:w="10" w:type="dxa"/>
              <w:left w:w="10" w:type="dxa"/>
              <w:right w:w="10" w:type="dxa"/>
            </w:tcMar>
            <w:vAlign w:val="center"/>
          </w:tcPr>
          <w:p>
            <w:pPr>
              <w:jc w:val="center"/>
              <w:textAlignment w:val="center"/>
              <w:rPr>
                <w:rFonts w:ascii="宋体" w:hAnsi="宋体" w:cs="宋体"/>
                <w:szCs w:val="21"/>
              </w:rPr>
            </w:pPr>
            <w:r>
              <w:rPr>
                <w:rFonts w:hint="eastAsia" w:ascii="宋体" w:hAnsi="宋体" w:cs="宋体"/>
                <w:szCs w:val="21"/>
              </w:rPr>
              <w:t>相关人员</w:t>
            </w:r>
          </w:p>
        </w:tc>
      </w:tr>
    </w:tbl>
    <w:p>
      <w:pPr>
        <w:spacing w:line="560" w:lineRule="exact"/>
        <w:rPr>
          <w:rFonts w:ascii="仿宋" w:hAnsi="仿宋" w:eastAsia="仿宋" w:cs="宋体"/>
        </w:rPr>
      </w:pPr>
      <w:r>
        <w:rPr>
          <w:rFonts w:hint="eastAsia" w:ascii="仿宋" w:hAnsi="仿宋" w:eastAsia="仿宋" w:cs="宋体"/>
        </w:rPr>
        <w:t>注：本附录依据《中国南方电网有限责任公司安全生产督查业务指导书》（</w:t>
      </w:r>
      <w:bookmarkStart w:id="22" w:name="bh_2"/>
      <w:r>
        <w:rPr>
          <w:rFonts w:hint="eastAsia" w:ascii="仿宋" w:hAnsi="仿宋" w:eastAsia="仿宋" w:cs="宋体"/>
        </w:rPr>
        <w:t>Q/CSG2244002-2026</w:t>
      </w:r>
      <w:bookmarkEnd w:id="22"/>
      <w:r>
        <w:rPr>
          <w:rFonts w:hint="eastAsia" w:ascii="仿宋" w:hAnsi="仿宋" w:eastAsia="仿宋" w:cs="宋体"/>
        </w:rPr>
        <w:t>）制定，公司各级单位查处的ABC类违章均应纳入违章累计扣分，其中A类违章每起扣12分，B类违章每起扣6分，C类违章每起扣3分，D类违章仅统计，不纳入员工累计扣分。如</w:t>
      </w:r>
      <w:r>
        <w:rPr>
          <w:rFonts w:hint="eastAsia" w:ascii="仿宋" w:hAnsi="仿宋" w:eastAsia="仿宋" w:cs="宋体"/>
          <w:lang w:val="en-US" w:eastAsia="zh-CN"/>
        </w:rPr>
        <w:t>合同履行期间南网单位公司对上述违章扣分条款进行更新，南网电网</w:t>
      </w:r>
      <w:r>
        <w:rPr>
          <w:rFonts w:hint="eastAsia" w:ascii="仿宋" w:hAnsi="仿宋" w:eastAsia="仿宋" w:cs="宋体"/>
        </w:rPr>
        <w:t>公司最新印发的文件为准。</w:t>
      </w:r>
    </w:p>
    <w:p>
      <w:pPr>
        <w:widowControl/>
        <w:numPr>
          <w:ilvl w:val="12"/>
          <w:numId w:val="0"/>
        </w:numPr>
        <w:jc w:val="left"/>
        <w:rPr>
          <w:rFonts w:ascii="宋体" w:hAnsi="宋体" w:cs="宋体"/>
          <w:kern w:val="0"/>
          <w:sz w:val="20"/>
          <w:szCs w:val="20"/>
          <w:lang w:bidi="ar"/>
        </w:rPr>
      </w:pPr>
    </w:p>
    <w:p>
      <w:pPr>
        <w:pStyle w:val="2"/>
        <w:rPr>
          <w:rFonts w:ascii="宋体" w:hAnsi="宋体" w:cs="宋体"/>
          <w:kern w:val="0"/>
          <w:sz w:val="20"/>
          <w:szCs w:val="20"/>
          <w:lang w:bidi="ar"/>
        </w:rPr>
      </w:pPr>
    </w:p>
    <w:p>
      <w:pPr>
        <w:pStyle w:val="3"/>
        <w:rPr>
          <w:rFonts w:ascii="宋体" w:hAnsi="宋体" w:cs="宋体"/>
          <w:b w:val="0"/>
          <w:bCs w:val="0"/>
          <w:kern w:val="0"/>
          <w:sz w:val="20"/>
          <w:szCs w:val="20"/>
          <w:lang w:bidi="ar"/>
        </w:rPr>
      </w:pPr>
    </w:p>
    <w:p/>
    <w:p>
      <w:pPr>
        <w:rPr>
          <w:rFonts w:ascii="宋体" w:hAnsi="宋体" w:cs="宋体"/>
          <w:kern w:val="0"/>
          <w:sz w:val="20"/>
          <w:szCs w:val="20"/>
          <w:lang w:bidi="ar"/>
        </w:rPr>
      </w:pPr>
      <w:r>
        <w:rPr>
          <w:rFonts w:ascii="宋体" w:hAnsi="宋体" w:cs="宋体"/>
          <w:kern w:val="0"/>
          <w:sz w:val="20"/>
          <w:szCs w:val="20"/>
          <w:lang w:bidi="ar"/>
        </w:rPr>
        <w:br w:type="page"/>
      </w:r>
    </w:p>
    <w:p>
      <w:pPr>
        <w:pStyle w:val="2"/>
      </w:pPr>
    </w:p>
    <w:tbl>
      <w:tblPr>
        <w:tblStyle w:val="22"/>
        <w:tblW w:w="13962" w:type="dxa"/>
        <w:tblInd w:w="0" w:type="dxa"/>
        <w:tblLayout w:type="fixed"/>
        <w:tblCellMar>
          <w:top w:w="0" w:type="dxa"/>
          <w:left w:w="0" w:type="dxa"/>
          <w:bottom w:w="0" w:type="dxa"/>
          <w:right w:w="0" w:type="dxa"/>
        </w:tblCellMar>
      </w:tblPr>
      <w:tblGrid>
        <w:gridCol w:w="389"/>
        <w:gridCol w:w="9072"/>
        <w:gridCol w:w="1010"/>
        <w:gridCol w:w="1140"/>
        <w:gridCol w:w="1069"/>
        <w:gridCol w:w="1282"/>
      </w:tblGrid>
      <w:tr>
        <w:tblPrEx>
          <w:tblCellMar>
            <w:top w:w="0" w:type="dxa"/>
            <w:left w:w="0" w:type="dxa"/>
            <w:bottom w:w="0" w:type="dxa"/>
            <w:right w:w="0" w:type="dxa"/>
          </w:tblCellMar>
        </w:tblPrEx>
        <w:trPr>
          <w:trHeight w:val="600" w:hRule="atLeast"/>
        </w:trPr>
        <w:tc>
          <w:tcPr>
            <w:tcW w:w="13962" w:type="dxa"/>
            <w:gridSpan w:val="6"/>
            <w:tcBorders>
              <w:top w:val="nil"/>
              <w:left w:val="nil"/>
              <w:bottom w:val="single" w:color="000000" w:sz="4" w:space="0"/>
              <w:right w:val="nil"/>
            </w:tcBorders>
            <w:shd w:val="clear" w:color="auto" w:fill="auto"/>
            <w:noWrap/>
            <w:tcMar>
              <w:top w:w="15" w:type="dxa"/>
              <w:left w:w="15" w:type="dxa"/>
              <w:right w:w="15" w:type="dxa"/>
            </w:tcMar>
            <w:vAlign w:val="center"/>
          </w:tcPr>
          <w:p>
            <w:pPr>
              <w:widowControl/>
              <w:jc w:val="center"/>
              <w:textAlignment w:val="center"/>
              <w:rPr>
                <w:rFonts w:ascii="黑体" w:hAnsi="黑体" w:eastAsia="黑体"/>
                <w:sz w:val="32"/>
                <w:szCs w:val="32"/>
              </w:rPr>
            </w:pPr>
            <w:r>
              <w:rPr>
                <w:rFonts w:hint="eastAsia" w:ascii="黑体" w:hAnsi="黑体" w:eastAsia="黑体"/>
                <w:sz w:val="32"/>
                <w:szCs w:val="32"/>
              </w:rPr>
              <w:t>附录B</w:t>
            </w:r>
            <w:r>
              <w:rPr>
                <w:rFonts w:hint="eastAsia" w:ascii="黑体" w:hAnsi="黑体" w:eastAsia="黑体"/>
                <w:sz w:val="32"/>
                <w:szCs w:val="32"/>
                <w:lang w:bidi="ar"/>
              </w:rPr>
              <w:t xml:space="preserve"> 管理违章扣分处罚条款</w:t>
            </w:r>
          </w:p>
        </w:tc>
      </w:tr>
      <w:tr>
        <w:tblPrEx>
          <w:tblCellMar>
            <w:top w:w="0" w:type="dxa"/>
            <w:left w:w="0" w:type="dxa"/>
            <w:bottom w:w="0" w:type="dxa"/>
            <w:right w:w="0" w:type="dxa"/>
          </w:tblCellMar>
        </w:tblPrEx>
        <w:trPr>
          <w:trHeight w:val="253" w:hRule="atLeast"/>
        </w:trPr>
        <w:tc>
          <w:tcPr>
            <w:tcW w:w="38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序号</w:t>
            </w:r>
          </w:p>
        </w:tc>
        <w:tc>
          <w:tcPr>
            <w:tcW w:w="907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违章现象</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违章代码</w:t>
            </w: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扣罚分数</w:t>
            </w:r>
          </w:p>
        </w:tc>
        <w:tc>
          <w:tcPr>
            <w:tcW w:w="2351"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扣分对象</w:t>
            </w:r>
          </w:p>
        </w:tc>
      </w:tr>
      <w:tr>
        <w:tblPrEx>
          <w:tblCellMar>
            <w:top w:w="0" w:type="dxa"/>
            <w:left w:w="0" w:type="dxa"/>
            <w:bottom w:w="0" w:type="dxa"/>
            <w:right w:w="0" w:type="dxa"/>
          </w:tblCellMar>
        </w:tblPrEx>
        <w:trPr>
          <w:trHeight w:val="285" w:hRule="atLeast"/>
        </w:trPr>
        <w:tc>
          <w:tcPr>
            <w:tcW w:w="3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907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施工单位</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监理单位</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在工程建设过程中存在转包、违法分包及挂靠等行为。</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A01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kern w:val="0"/>
                <w:szCs w:val="21"/>
                <w:lang w:bidi="ar"/>
              </w:rPr>
            </w:pPr>
            <w:r>
              <w:rPr>
                <w:rFonts w:hint="eastAsia" w:ascii="宋体" w:hAnsi="宋体" w:cs="宋体"/>
                <w:kern w:val="0"/>
                <w:szCs w:val="21"/>
                <w:lang w:bidi="ar"/>
              </w:rPr>
              <w:t>因欠薪等原因引发一般性及以上群体性事件。</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A02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kern w:val="0"/>
                <w:szCs w:val="21"/>
                <w:lang w:bidi="ar"/>
              </w:rPr>
            </w:pPr>
            <w:r>
              <w:rPr>
                <w:rFonts w:hint="eastAsia" w:ascii="宋体" w:hAnsi="宋体" w:cs="宋体"/>
                <w:kern w:val="0"/>
                <w:szCs w:val="21"/>
                <w:lang w:bidi="ar"/>
              </w:rPr>
              <w:t>因工程设计、施工原因导致环境影响、水土保持事故，受到国家部委通报批评。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A03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kern w:val="0"/>
                <w:szCs w:val="21"/>
                <w:lang w:bidi="ar"/>
              </w:rPr>
            </w:pPr>
            <w:r>
              <w:rPr>
                <w:rFonts w:hint="eastAsia" w:ascii="宋体" w:hAnsi="宋体" w:cs="宋体"/>
                <w:kern w:val="0"/>
                <w:szCs w:val="21"/>
                <w:lang w:bidi="ar"/>
              </w:rPr>
              <w:t>发生行贿、索贿、受贿等廉洁问题。</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A04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因工程安全、质量导致发生一般及以上电力人身事故。</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A05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因工程设计、施工问题导致发生较大及以上安全质量事故。</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A06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中标后无正当理由拒绝履约，或无能力履约，安全、质量、进度管理等综合因素严重影响项目管理，经约谈、扣分、合同考核后仍无改进。</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A07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在招投标过程中存在弄虚作假、串标、围标等不正当手段谋取中标、扰乱建筑市场正常秩序的行为。</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A08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因欠薪等原因引发集体访群体性事件。</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B01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因工程设计、施工原因导致环境影响、水土保持事故，受到省、市、县级政府和公司通报批评。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B02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分包报审合同与实际分包合同不相符，存在“阴阳”合同。</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B03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因工程设计、施工问题导致发生一般安全质量事故。</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B04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相互串通，虚增工程量或结算金额的。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B05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施工、监理项目部未建立安全生产责任制。</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B06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监理单位未对工程关键部位、关键工序进行旁站监理；或未按施工作业风险管控要求履职到位。</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B07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发生质量安全事故事件后，故意破坏现场、毁灭有关证据。</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C01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在人员资料、管理文件、过程及验收记录等文档中存在造假行为。</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C02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因施工、设计方原因，造成进度滞后，经建设单位约谈后，仍然无明显改善措施的。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C03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8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分包未报审；或分包商(含专业分包、劳务分包)未在南方电网公司登记建档；或在申请登记建档或接受资质能力评价中存在伪造、变造资料等不诚信行为；或技术人员、注册人员不满足企业资质要求。</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C04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监理单位在项目履约评价中偏差率&gt;15%。</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C05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虚报、虚签工程量，套取工程进度款或结算款:套取额达当期进度款10%及以上或单项合同结算额10%及以上的。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C06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招标控制价深度和质量等不满足国家、行业及相关规定，造成重大质量缺陷的。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C07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施工单位项目经理、技术负责人、专业分包单位现场负责人、监理单位项目总监理师或总监代表每月在现场少于15天。</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C08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工程项目未按阶段取得质量监督合格意见，施工单位擅自转序施工。</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D01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施工单位未报验隐蔽工程，或未通过监理验收擅自进行下道工序。</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D02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施工单位未按照设计图纸施工。</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D03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施工单位负责的补偿应赔未赔造成投诉的；或项目投运后发生农户投诉不及时处理再次被投诉的。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D04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施工单位（专业分包单位）现场安全员、质检员，监理单位现场监理人员每月在现场时间少于15天的。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D05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29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kern w:val="0"/>
                <w:szCs w:val="21"/>
                <w:lang w:bidi="ar"/>
              </w:rPr>
            </w:pPr>
            <w:r>
              <w:rPr>
                <w:rFonts w:hint="eastAsia" w:ascii="宋体" w:hAnsi="宋体" w:cs="宋体"/>
                <w:kern w:val="0"/>
                <w:szCs w:val="21"/>
                <w:lang w:bidi="ar"/>
              </w:rPr>
              <w:t>施工单位项目经理、监理单位项目总监理师与投标组织架构不一致且未履行变更手续。专业分包单位现场负责人与报审架构不一致且未履行变更手续。</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D06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未按工程进度收集、整理本单位在工程建设活动中形成的各类文件，监理单位未对参建单位整理和移交的项目文件质量情况进行审查。</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D07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设计单位勘察设计深度不足、设计方案不合理，并且未及时按照合理方案出具设计变更，导致图纸与现场不符。</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D08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设计单位未按要求及时上报物资采购需求清单或出现上报质量问题；设计原因导致技术规范书存在明显技术错误，导致采购设备不满足技术要求。</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D09</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设计原因导致重大设计变更、技术方案调整、地勘资料及图纸与现场不符，技经工作开展不到位。</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D10</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专业设计人员配置不全，人员与组织架构不一致且未履行变更手续；主要设计人员不参与评审会议；设计质量问题突出；工地代表现场服务缺位。</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D11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设计单位地质报告不准确导致开挖支护方式不合理。</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D12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设计单位未按照规定时间交付审查合格的设计图纸（正式图纸），影响工程进度的。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D13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6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设计单位未采用标准设计和典型造价；未按不同建设阶段要求，在标准设计和典型造价应用平台上报信息；新建工程未按绿色电网建设行动指南提供相应设计文件。</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D14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未见标准设计和典型造价应用情况统计表；工程技术经济指标控制不合理，造成概预算单位造价虚高（单位造价超出公司发布的控制线或同类标准，且无正当理由）。</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D15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39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环评水保单位、设计单位工作深度不够，造成项目发生环保、水保、设计重大变动且无正当理由的。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D16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未按照设计管理控制文件规定开展评审工作，评审质量、内容深度、时间进度等不满足要求；或设计评审质量不高、深度不够导致因设计原因产生的重大设计变更、主要设计原则变化、增加工程投资等；或评审把关不严，工程技术经济指标控制不合理，造成单位造价虚高，对比分析不合理。</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D17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现场管理人员未签订安全生产责任书。</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D18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现场总监理师未持有国家或行业相应资格证书或失效；施工单位项目经理未持有相应的注册建造师资格证书、安全证书或失效。</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D19</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特种设备进场未报审、未定期进行检查、维护保养和检验（检测）；安装和拆卸单位不具备资质；未办理使用登记证。</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D20</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爆炸物品安全管理人员、仓库管理人员和爆破作业人员等不具备资格；将爆炸物品存放在不具备安全存放条件场所；爆破作业时安全防护措施不符合规范要求。</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D21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报审的检测报告数据不真实或存在篡改、伪造现象。</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D22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设计、施工、监理单位未根据相关的法规和强制性标准要求编制强制性标准实施计划；未按强制性标准实施计划同步进行检查；对检查发现的问题未及时进行整改；工程现场实体与工程建设强制性标准不符。</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D23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6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项目投运后（质保期内），由于设计、施工单位原因造成重大及以上质量缺陷，影响设备的安全运行；出现重大及以上质量缺陷时，监理单位未能提供相关履责记录。</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D24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虚报、虚签工程量，套取工程进度款或结算款:套取额达当期进度款10%以下或单项合同结算额10%以下的。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D25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49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工程概、预算出现漏项、重复计费等质量问题；工程概算、预算未执行信息化规约，并及时上传信息系统；工程概、预算高估冒算等与实际结算出现重大偏差（非业主方及市场原因），出现结算超概算或结算对比概算降低20%以上。20kV及以下配网项目为结算对比预算。</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D26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未按规定给作业人员配备合格的安全帽、安全带、劳保鞋等防护用品；个人防护用品未进行定期检验。</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D27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4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未按照国家有关规定计列和使用安全生产费用的；未编制安全生产费用使用计划，专款专用的；未明确安全费用提取和使用的程序、职责及权限的。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D28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存在信息系统录入及时性和准确性问题，且经提醒后仍执行较差。</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E01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未按规定向建设单位移交竣工档案的；移交档案出现重大缺陷的；遗留问题处理不及时，造成不良影响的。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E02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施工单位未及时编制三级进度计划并报监理单位审核；监理单位未认真、及时审核施工单位上报的三级进度计划；施工单位编制的三级进度计划中，根据工程实际情况，缺少一项及以上单位工程的。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E03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当工程进度发生较大变化时，施工单位未及时进行调整并履行报审手续；施工单位缩短合同工期后，未提出相应的施工组织措施和安全保障措施。</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E04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因设计、施工方原因，造成进度滞后，实际进度与进度计划不符，未及时纠偏的。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E05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设计单位未按照要求的时间出具设计变更而影响工程进度；未及时解决施工过程中需要设计确认的问题而影响工程进度；各专业接口存在矛盾或不一致, 造成质量缺陷或现场施工无法进行而影响工程进度。</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E06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设计单位未进行设计交底，设计图纸未提供危大工程清单及建议措施。</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E07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59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设计单位未参加图纸审查会议；未书面确认相关图纸审查意见；未在所要求时间内答复相关单位提出的问题。</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E08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设计单位未按规定时间交付可行研究报告、初步设计文件、施工图纸及预算文件、收口报告和竣工图。</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E09</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施工图及预算建设规模、主要技术方案与初设及批复不一致，或初步设计建设规模、主要技术方案与可研批复不一致。</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E10</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现场监理工程师、监理员未持有国家或行业相应资格证书或证书失效；施工单位项目总工、技术员、安全员未持有相应资格证书或证书失效；施工单位特殊工种人员未持有执业资格证书或证书失效，或与岗位不对应。</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E11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运输索道、机动绞磨、卷扬机、起重机械、手拉葫芦、手扳葫芦、防扭钢丝绳、钢丝绳套、卡线器、紧线器等受力机具、工器具未按要求进行检验、校验。</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E12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危险化学品存贮管理、运输人员未经岗位技术培训考核合格后即上岗作业；危险化学品露天存放或未经有效隔离、隔开储存；未在危险化学品作业场所和安全设施、设备上设置明显的安全警示标志；危险品未按规定装运；危险化学品作业时未采取必要的安全防护措施。</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E13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未将“7S”管理要求纳入项目施工组织设计或安全文明施工策划等文件中，检查发现的“7S”问题未按整改时间闭环。</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E14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未进行成品保护；或现场成品保护差；或安全文明状况差。</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E15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方案中未明确环保、水保措施；或现场未落实环保、水保措施，未按照方案执行，导致现场环境不满足法律和规范要求的，对当地居民造成影响的；环境监理、环境监测报告中提出的问题未及时制定整改措施或未整改。</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E16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临时建筑布置在滑坡、洪水、泥石流等地质灾害易发的危险区域，未避开水源保护区、水库泄洪区、濒险水库下游地段、强风口和危房影响范围；或当临时建筑建造在河沟、高边坡、深基坑边时，应采取而未采取结构加强措施。</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E17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69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占压原有地下管线，影响文物和历史文化遗产的保护与修复。</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E18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单位未及时按批量批次（配网可按标段）对须送检材料、试块（件）等进行送检；或未按时送检；或未送具有相应资质等级的质量检测单位进行检测；监理单位未按有关工程建设标准和国家规定对送检的材料、试块进行见证取样。</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E19</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4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kern w:val="0"/>
                <w:szCs w:val="21"/>
                <w:lang w:bidi="ar"/>
              </w:rPr>
            </w:pPr>
            <w:r>
              <w:rPr>
                <w:rFonts w:hint="eastAsia" w:ascii="宋体" w:hAnsi="宋体" w:cs="宋体"/>
                <w:kern w:val="0"/>
                <w:szCs w:val="21"/>
                <w:lang w:bidi="ar"/>
              </w:rPr>
              <w:t>工程开工前，监理单位未按要求编制质量控制标准（WHS）设置表；未按要求开展WHS质量控制；施工单位WHS整改不及时。</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E20</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4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kern w:val="0"/>
                <w:szCs w:val="21"/>
                <w:lang w:bidi="ar"/>
              </w:rPr>
            </w:pPr>
            <w:r>
              <w:rPr>
                <w:rFonts w:hint="eastAsia" w:ascii="宋体" w:hAnsi="宋体" w:cs="宋体"/>
                <w:kern w:val="0"/>
                <w:szCs w:val="21"/>
                <w:lang w:bidi="ar"/>
              </w:rPr>
              <w:t>未执行南网验评标准（或行业验评标准）。</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E21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4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kern w:val="0"/>
                <w:szCs w:val="21"/>
                <w:lang w:bidi="ar"/>
              </w:rPr>
            </w:pPr>
            <w:r>
              <w:rPr>
                <w:rFonts w:hint="eastAsia" w:ascii="宋体" w:hAnsi="宋体" w:cs="宋体"/>
                <w:kern w:val="0"/>
                <w:szCs w:val="21"/>
                <w:lang w:bidi="ar"/>
              </w:rPr>
              <w:t xml:space="preserve">监理单位未组织相关单位进行隐蔽工程验收；或未经验收单位签字确认；或未督促施工单位进行消缺；设计单位接到监理单位通知后未参加隐蔽工程验收。                                        </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E22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监理单位未进行质量验收；或三级质量验收不符合要求。</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E23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项目建设阶段，由于勘察设计、施工单位原因造成的质量缺陷未按期整改的。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E24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设计变更不规范、及时，或未按要求同步出具变更预算；设计单位未核算实施后的设计变更费用及与设计相关的工程签证引起的费用变更；监理单位未核实费用变更；变更完工工程量未“一单一算”，未“分阶段确认”合同内完工工程量。</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E25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施工、监理单位未及时确认甲供物资到货及使用量、办理物资领退料。</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E26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招标控制价深度和质量等不满足国家、行业及相关规定，造成一般及以上质量缺陷的。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E27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79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未按送审结算资料清单要求提供结算资料，导致超结算通知书时间要求14天以上。</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E28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80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施工单位报价未执行造价信息化规约；或工程结算无特殊原因不执行造价信息化规约；设计单位未提供结算技术经济指标，无特殊原因不执行造价信息化规约的。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E29</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81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施工单位对结算审核稿的复核，未按约定时间答复复核结果，或未按约定时间补充资料的。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E30</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82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工程结算深度和质量等不满足国家、行业及相关规定，造成一般及以上质量缺陷的。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E31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83</w:t>
            </w:r>
          </w:p>
        </w:tc>
        <w:tc>
          <w:tcPr>
            <w:tcW w:w="90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施工作业违章扣分超过一定数量，按照施工作业违章相关处罚要求关联扣罚乙方。</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E32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84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发生有责任的事故事件,以相关部门调查结论为依据进行相关处罚。</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E33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85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以上条款没有涉及的违法违纪的内容，以相关部门调查处理结论为依据进行相关处罚。</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E34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86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kern w:val="0"/>
                <w:szCs w:val="21"/>
                <w:lang w:bidi="ar"/>
              </w:rPr>
            </w:pPr>
            <w:r>
              <w:rPr>
                <w:rFonts w:hint="eastAsia" w:ascii="宋体" w:hAnsi="宋体" w:cs="宋体"/>
                <w:kern w:val="0"/>
                <w:szCs w:val="21"/>
                <w:lang w:bidi="ar"/>
              </w:rPr>
              <w:t>现场作业的临聘施工人员未购买商业意外保险的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F1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r>
      <w:tr>
        <w:tblPrEx>
          <w:tblCellMar>
            <w:top w:w="0" w:type="dxa"/>
            <w:left w:w="0" w:type="dxa"/>
            <w:bottom w:w="0" w:type="dxa"/>
            <w:right w:w="0"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87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kern w:val="0"/>
                <w:szCs w:val="21"/>
                <w:lang w:bidi="ar"/>
              </w:rPr>
            </w:pPr>
            <w:r>
              <w:rPr>
                <w:rFonts w:hint="eastAsia" w:ascii="宋体" w:hAnsi="宋体" w:cs="宋体"/>
                <w:kern w:val="0"/>
                <w:szCs w:val="21"/>
                <w:lang w:bidi="ar"/>
              </w:rPr>
              <w:t>现场作业的临聘施工人员未签订用工合同或协议的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F2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kern w:val="0"/>
                <w:szCs w:val="21"/>
                <w:lang w:bidi="ar"/>
              </w:rPr>
            </w:pPr>
            <w:r>
              <w:rPr>
                <w:rFonts w:hint="eastAsia" w:ascii="宋体" w:hAnsi="宋体" w:cs="宋体"/>
                <w:kern w:val="0"/>
                <w:szCs w:val="21"/>
                <w:lang w:bidi="ar"/>
              </w:rPr>
              <w:t>√</w:t>
            </w:r>
          </w:p>
        </w:tc>
      </w:tr>
    </w:tbl>
    <w:p>
      <w:pPr>
        <w:pStyle w:val="2"/>
      </w:pPr>
    </w:p>
    <w:sectPr>
      <w:footerReference r:id="rId3" w:type="default"/>
      <w:footerReference r:id="rId4" w:type="even"/>
      <w:pgSz w:w="16838" w:h="11906" w:orient="landscape"/>
      <w:pgMar w:top="1797" w:right="1440" w:bottom="179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FZHei-B01">
    <w:altName w:val="宋体"/>
    <w:panose1 w:val="03000509000000000000"/>
    <w:charset w:val="86"/>
    <w:family w:val="script"/>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rPr>
        <w:rStyle w:val="26"/>
      </w:rPr>
    </w:pPr>
    <w:r>
      <w:fldChar w:fldCharType="begin"/>
    </w:r>
    <w:r>
      <w:rPr>
        <w:rStyle w:val="26"/>
      </w:rPr>
      <w:instrText xml:space="preserve">PAGE  </w:instrText>
    </w:r>
    <w:r>
      <w:fldChar w:fldCharType="separate"/>
    </w:r>
    <w:r>
      <w:rPr>
        <w:rStyle w:val="26"/>
      </w:rPr>
      <w:t>2</w:t>
    </w:r>
    <w:r>
      <w:fldChar w:fldCharType="end"/>
    </w:r>
  </w:p>
  <w:p>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rPr>
        <w:rStyle w:val="26"/>
      </w:rPr>
    </w:pPr>
    <w:r>
      <w:fldChar w:fldCharType="begin"/>
    </w:r>
    <w:r>
      <w:rPr>
        <w:rStyle w:val="26"/>
      </w:rPr>
      <w:instrText xml:space="preserve">PAGE  </w:instrText>
    </w:r>
    <w:r>
      <w:fldChar w:fldCharType="end"/>
    </w:r>
  </w:p>
  <w:p>
    <w:pPr>
      <w:pStyle w:val="1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580C4B"/>
    <w:multiLevelType w:val="multilevel"/>
    <w:tmpl w:val="45580C4B"/>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45"/>
      <w:lvlText w:val="%1%2"/>
      <w:lvlJc w:val="left"/>
      <w:pPr>
        <w:tabs>
          <w:tab w:val="left" w:pos="360"/>
        </w:tabs>
        <w:ind w:left="0" w:firstLine="0"/>
      </w:pPr>
      <w:rPr>
        <w:rFonts w:hint="eastAsia" w:ascii="黑体" w:hAnsi="Times New Roman" w:eastAsia="黑体"/>
        <w:b w:val="0"/>
        <w:i w:val="0"/>
        <w:sz w:val="24"/>
        <w:szCs w:val="24"/>
      </w:rPr>
    </w:lvl>
    <w:lvl w:ilvl="2" w:tentative="0">
      <w:start w:val="1"/>
      <w:numFmt w:val="decimal"/>
      <w:pStyle w:val="44"/>
      <w:lvlText w:val="%1%2.%3"/>
      <w:lvlJc w:val="left"/>
      <w:pPr>
        <w:tabs>
          <w:tab w:val="left" w:pos="825"/>
        </w:tabs>
        <w:ind w:left="105" w:firstLine="0"/>
      </w:pPr>
      <w:rPr>
        <w:rFonts w:hint="eastAsia" w:ascii="宋体" w:hAnsi="宋体" w:eastAsia="宋体"/>
        <w:b w:val="0"/>
        <w:i w:val="0"/>
        <w:sz w:val="24"/>
        <w:szCs w:val="24"/>
      </w:rPr>
    </w:lvl>
    <w:lvl w:ilvl="3" w:tentative="0">
      <w:start w:val="1"/>
      <w:numFmt w:val="decimal"/>
      <w:pStyle w:val="43"/>
      <w:lvlText w:val="%1%2.%3.%4"/>
      <w:lvlJc w:val="left"/>
      <w:pPr>
        <w:tabs>
          <w:tab w:val="left" w:pos="720"/>
        </w:tabs>
        <w:ind w:left="0" w:firstLine="0"/>
      </w:pPr>
      <w:rPr>
        <w:rFonts w:hint="eastAsia" w:ascii="宋体" w:hAnsi="宋体" w:eastAsia="宋体"/>
        <w:b w:val="0"/>
        <w:i w:val="0"/>
        <w:sz w:val="24"/>
        <w:szCs w:val="24"/>
      </w:rPr>
    </w:lvl>
    <w:lvl w:ilvl="4" w:tentative="0">
      <w:start w:val="1"/>
      <w:numFmt w:val="decimal"/>
      <w:lvlText w:val="%2.%3.%4.%5"/>
      <w:lvlJc w:val="left"/>
      <w:pPr>
        <w:tabs>
          <w:tab w:val="left" w:pos="1080"/>
        </w:tabs>
        <w:ind w:left="0" w:firstLine="0"/>
      </w:pPr>
      <w:rPr>
        <w:rFonts w:hint="eastAsia" w:ascii="宋体" w:hAnsi="宋体" w:eastAsia="宋体"/>
        <w:b w:val="0"/>
        <w:i w:val="0"/>
        <w:color w:val="auto"/>
        <w:sz w:val="24"/>
        <w:szCs w:val="24"/>
      </w:rPr>
    </w:lvl>
    <w:lvl w:ilvl="5" w:tentative="0">
      <w:start w:val="1"/>
      <w:numFmt w:val="decimal"/>
      <w:lvlText w:val="%2.%3.%4.%5.%6"/>
      <w:lvlJc w:val="left"/>
      <w:pPr>
        <w:tabs>
          <w:tab w:val="left" w:pos="1021"/>
        </w:tabs>
        <w:ind w:left="1021" w:hanging="1021"/>
      </w:pPr>
      <w:rPr>
        <w:rFonts w:hint="eastAsia" w:ascii="黑体" w:hAnsi="Times New Roman" w:eastAsia="黑体"/>
        <w:b/>
        <w:i w:val="0"/>
        <w:sz w:val="30"/>
        <w:szCs w:val="30"/>
      </w:rPr>
    </w:lvl>
    <w:lvl w:ilvl="6" w:tentative="0">
      <w:start w:val="1"/>
      <w:numFmt w:val="decimal"/>
      <w:lvlRestart w:val="5"/>
      <w:lvlText w:val="%2.%3.%4.%5.%6.%7"/>
      <w:lvlJc w:val="left"/>
      <w:pPr>
        <w:tabs>
          <w:tab w:val="left" w:pos="1440"/>
        </w:tabs>
        <w:ind w:left="0" w:firstLine="0"/>
      </w:pPr>
      <w:rPr>
        <w:rFonts w:hint="eastAsia" w:ascii="黑体" w:hAnsi="Times New Roman" w:eastAsia="黑体"/>
        <w:b/>
        <w:i w:val="0"/>
        <w:sz w:val="30"/>
        <w:szCs w:val="30"/>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510"/>
    <w:rsid w:val="00001B67"/>
    <w:rsid w:val="000021E6"/>
    <w:rsid w:val="000023BB"/>
    <w:rsid w:val="00005C33"/>
    <w:rsid w:val="0000770A"/>
    <w:rsid w:val="000107D7"/>
    <w:rsid w:val="0001344B"/>
    <w:rsid w:val="000143A7"/>
    <w:rsid w:val="00015389"/>
    <w:rsid w:val="00015CA5"/>
    <w:rsid w:val="00020F43"/>
    <w:rsid w:val="00022D0F"/>
    <w:rsid w:val="00023829"/>
    <w:rsid w:val="00024809"/>
    <w:rsid w:val="00024BC2"/>
    <w:rsid w:val="00024C9C"/>
    <w:rsid w:val="00025D2D"/>
    <w:rsid w:val="00027418"/>
    <w:rsid w:val="00027BCC"/>
    <w:rsid w:val="00030C2C"/>
    <w:rsid w:val="000312C1"/>
    <w:rsid w:val="00033DB1"/>
    <w:rsid w:val="00034C1F"/>
    <w:rsid w:val="0004084B"/>
    <w:rsid w:val="00041C17"/>
    <w:rsid w:val="000427AE"/>
    <w:rsid w:val="00042E5E"/>
    <w:rsid w:val="00047D63"/>
    <w:rsid w:val="00051BBF"/>
    <w:rsid w:val="00055A2B"/>
    <w:rsid w:val="0005616B"/>
    <w:rsid w:val="00056BB5"/>
    <w:rsid w:val="000607A2"/>
    <w:rsid w:val="000623FB"/>
    <w:rsid w:val="00062A17"/>
    <w:rsid w:val="00063058"/>
    <w:rsid w:val="00063861"/>
    <w:rsid w:val="00064F83"/>
    <w:rsid w:val="00065574"/>
    <w:rsid w:val="00072B6A"/>
    <w:rsid w:val="000733F8"/>
    <w:rsid w:val="00074375"/>
    <w:rsid w:val="0007639E"/>
    <w:rsid w:val="000766F8"/>
    <w:rsid w:val="000778FA"/>
    <w:rsid w:val="00077C51"/>
    <w:rsid w:val="00077EEE"/>
    <w:rsid w:val="000808CF"/>
    <w:rsid w:val="000817EB"/>
    <w:rsid w:val="00081B94"/>
    <w:rsid w:val="0008258B"/>
    <w:rsid w:val="000827FA"/>
    <w:rsid w:val="00082A7E"/>
    <w:rsid w:val="00082A9A"/>
    <w:rsid w:val="0008301A"/>
    <w:rsid w:val="00083874"/>
    <w:rsid w:val="00085614"/>
    <w:rsid w:val="00087B9F"/>
    <w:rsid w:val="00090209"/>
    <w:rsid w:val="0009060D"/>
    <w:rsid w:val="0009139D"/>
    <w:rsid w:val="00091D96"/>
    <w:rsid w:val="000946DA"/>
    <w:rsid w:val="0009487B"/>
    <w:rsid w:val="00094C0C"/>
    <w:rsid w:val="00095FE1"/>
    <w:rsid w:val="000A0715"/>
    <w:rsid w:val="000A1458"/>
    <w:rsid w:val="000B0BBE"/>
    <w:rsid w:val="000B1E0D"/>
    <w:rsid w:val="000B1F6B"/>
    <w:rsid w:val="000B3655"/>
    <w:rsid w:val="000B530C"/>
    <w:rsid w:val="000B624E"/>
    <w:rsid w:val="000C088C"/>
    <w:rsid w:val="000C0961"/>
    <w:rsid w:val="000C1EF4"/>
    <w:rsid w:val="000C2123"/>
    <w:rsid w:val="000C2F0C"/>
    <w:rsid w:val="000C5160"/>
    <w:rsid w:val="000C63B2"/>
    <w:rsid w:val="000C7100"/>
    <w:rsid w:val="000C763B"/>
    <w:rsid w:val="000C7EF0"/>
    <w:rsid w:val="000C7F4A"/>
    <w:rsid w:val="000D08F6"/>
    <w:rsid w:val="000D2F88"/>
    <w:rsid w:val="000D451B"/>
    <w:rsid w:val="000D5A40"/>
    <w:rsid w:val="000D70FE"/>
    <w:rsid w:val="000E03B5"/>
    <w:rsid w:val="000E1CDB"/>
    <w:rsid w:val="000E1F8D"/>
    <w:rsid w:val="000E4E0D"/>
    <w:rsid w:val="000E5E2F"/>
    <w:rsid w:val="000E63D6"/>
    <w:rsid w:val="000F0708"/>
    <w:rsid w:val="000F59B9"/>
    <w:rsid w:val="000F606A"/>
    <w:rsid w:val="000F79EF"/>
    <w:rsid w:val="000F7E97"/>
    <w:rsid w:val="00100C34"/>
    <w:rsid w:val="001029F0"/>
    <w:rsid w:val="00102D2E"/>
    <w:rsid w:val="00103075"/>
    <w:rsid w:val="00107A85"/>
    <w:rsid w:val="00112952"/>
    <w:rsid w:val="00113566"/>
    <w:rsid w:val="00114A10"/>
    <w:rsid w:val="00116044"/>
    <w:rsid w:val="00117DD1"/>
    <w:rsid w:val="00121504"/>
    <w:rsid w:val="00122CDC"/>
    <w:rsid w:val="00123B11"/>
    <w:rsid w:val="00123DE2"/>
    <w:rsid w:val="00127135"/>
    <w:rsid w:val="00131A9C"/>
    <w:rsid w:val="00131F06"/>
    <w:rsid w:val="00133EA2"/>
    <w:rsid w:val="00133FCF"/>
    <w:rsid w:val="001359DE"/>
    <w:rsid w:val="00137D08"/>
    <w:rsid w:val="00140700"/>
    <w:rsid w:val="0014294B"/>
    <w:rsid w:val="001430FB"/>
    <w:rsid w:val="00145522"/>
    <w:rsid w:val="00151C98"/>
    <w:rsid w:val="001543F9"/>
    <w:rsid w:val="0015476C"/>
    <w:rsid w:val="00154CB7"/>
    <w:rsid w:val="001560EC"/>
    <w:rsid w:val="00156602"/>
    <w:rsid w:val="00160003"/>
    <w:rsid w:val="00160B6E"/>
    <w:rsid w:val="00161489"/>
    <w:rsid w:val="0016292F"/>
    <w:rsid w:val="0016474E"/>
    <w:rsid w:val="00165767"/>
    <w:rsid w:val="00165A4C"/>
    <w:rsid w:val="00165B6A"/>
    <w:rsid w:val="00165DA7"/>
    <w:rsid w:val="0016641C"/>
    <w:rsid w:val="00170DA7"/>
    <w:rsid w:val="0017284A"/>
    <w:rsid w:val="00173007"/>
    <w:rsid w:val="00173078"/>
    <w:rsid w:val="00173F11"/>
    <w:rsid w:val="00176541"/>
    <w:rsid w:val="00182635"/>
    <w:rsid w:val="00182D5A"/>
    <w:rsid w:val="001846FE"/>
    <w:rsid w:val="0018682C"/>
    <w:rsid w:val="00186F63"/>
    <w:rsid w:val="00190BCA"/>
    <w:rsid w:val="00192925"/>
    <w:rsid w:val="00192EA4"/>
    <w:rsid w:val="00194040"/>
    <w:rsid w:val="001953CE"/>
    <w:rsid w:val="00195C69"/>
    <w:rsid w:val="00196A38"/>
    <w:rsid w:val="001A081F"/>
    <w:rsid w:val="001A2443"/>
    <w:rsid w:val="001A4553"/>
    <w:rsid w:val="001A519C"/>
    <w:rsid w:val="001A6F5F"/>
    <w:rsid w:val="001B010C"/>
    <w:rsid w:val="001B1184"/>
    <w:rsid w:val="001B1B66"/>
    <w:rsid w:val="001B1C87"/>
    <w:rsid w:val="001B259C"/>
    <w:rsid w:val="001B4B9A"/>
    <w:rsid w:val="001B68CD"/>
    <w:rsid w:val="001B718B"/>
    <w:rsid w:val="001C43C9"/>
    <w:rsid w:val="001C65DB"/>
    <w:rsid w:val="001D0636"/>
    <w:rsid w:val="001D377C"/>
    <w:rsid w:val="001D3AB5"/>
    <w:rsid w:val="001D5915"/>
    <w:rsid w:val="001D5BD4"/>
    <w:rsid w:val="001D5D84"/>
    <w:rsid w:val="001D6705"/>
    <w:rsid w:val="001D673D"/>
    <w:rsid w:val="001E08E2"/>
    <w:rsid w:val="001E1295"/>
    <w:rsid w:val="001E4D7E"/>
    <w:rsid w:val="001E7147"/>
    <w:rsid w:val="001E7F65"/>
    <w:rsid w:val="001F1D9C"/>
    <w:rsid w:val="001F409B"/>
    <w:rsid w:val="001F4B9A"/>
    <w:rsid w:val="001F568A"/>
    <w:rsid w:val="001F61D6"/>
    <w:rsid w:val="001F6927"/>
    <w:rsid w:val="001F740E"/>
    <w:rsid w:val="0020121C"/>
    <w:rsid w:val="00202284"/>
    <w:rsid w:val="002027C5"/>
    <w:rsid w:val="002044CC"/>
    <w:rsid w:val="00204CFD"/>
    <w:rsid w:val="0021059B"/>
    <w:rsid w:val="00210981"/>
    <w:rsid w:val="00210C5D"/>
    <w:rsid w:val="00212C80"/>
    <w:rsid w:val="00213C66"/>
    <w:rsid w:val="0021683C"/>
    <w:rsid w:val="002212D5"/>
    <w:rsid w:val="00222623"/>
    <w:rsid w:val="00222CE9"/>
    <w:rsid w:val="00222D53"/>
    <w:rsid w:val="0022577B"/>
    <w:rsid w:val="00227B7D"/>
    <w:rsid w:val="00230022"/>
    <w:rsid w:val="00231E20"/>
    <w:rsid w:val="00234B50"/>
    <w:rsid w:val="00234F92"/>
    <w:rsid w:val="002351A0"/>
    <w:rsid w:val="00235BF4"/>
    <w:rsid w:val="00236A7E"/>
    <w:rsid w:val="002376F7"/>
    <w:rsid w:val="0023777D"/>
    <w:rsid w:val="002416C1"/>
    <w:rsid w:val="002426DD"/>
    <w:rsid w:val="00245F85"/>
    <w:rsid w:val="00246CF2"/>
    <w:rsid w:val="00246E44"/>
    <w:rsid w:val="002473DB"/>
    <w:rsid w:val="0025052C"/>
    <w:rsid w:val="00251268"/>
    <w:rsid w:val="00252291"/>
    <w:rsid w:val="00254790"/>
    <w:rsid w:val="00260869"/>
    <w:rsid w:val="00261A8E"/>
    <w:rsid w:val="00262AE5"/>
    <w:rsid w:val="00262FC6"/>
    <w:rsid w:val="002655A2"/>
    <w:rsid w:val="0026595B"/>
    <w:rsid w:val="00270FFC"/>
    <w:rsid w:val="0027378D"/>
    <w:rsid w:val="00273EB6"/>
    <w:rsid w:val="00277055"/>
    <w:rsid w:val="002771D1"/>
    <w:rsid w:val="002773B4"/>
    <w:rsid w:val="002777EF"/>
    <w:rsid w:val="0027787A"/>
    <w:rsid w:val="00280D49"/>
    <w:rsid w:val="00286E32"/>
    <w:rsid w:val="002878FB"/>
    <w:rsid w:val="002928AE"/>
    <w:rsid w:val="0029322D"/>
    <w:rsid w:val="00293322"/>
    <w:rsid w:val="00294303"/>
    <w:rsid w:val="00294D4F"/>
    <w:rsid w:val="002A389D"/>
    <w:rsid w:val="002B087F"/>
    <w:rsid w:val="002B2048"/>
    <w:rsid w:val="002B5263"/>
    <w:rsid w:val="002B68A4"/>
    <w:rsid w:val="002B7647"/>
    <w:rsid w:val="002B7756"/>
    <w:rsid w:val="002B786C"/>
    <w:rsid w:val="002B7D3E"/>
    <w:rsid w:val="002C2860"/>
    <w:rsid w:val="002C432B"/>
    <w:rsid w:val="002C5CA0"/>
    <w:rsid w:val="002D0E98"/>
    <w:rsid w:val="002D1605"/>
    <w:rsid w:val="002D165E"/>
    <w:rsid w:val="002D5255"/>
    <w:rsid w:val="002D7118"/>
    <w:rsid w:val="002D7F35"/>
    <w:rsid w:val="002E0A4E"/>
    <w:rsid w:val="002E0B26"/>
    <w:rsid w:val="002E1445"/>
    <w:rsid w:val="002E16A3"/>
    <w:rsid w:val="002E292B"/>
    <w:rsid w:val="002E29C1"/>
    <w:rsid w:val="002E41BB"/>
    <w:rsid w:val="002E6883"/>
    <w:rsid w:val="002E747B"/>
    <w:rsid w:val="002E7E6B"/>
    <w:rsid w:val="002F03F7"/>
    <w:rsid w:val="002F3A7B"/>
    <w:rsid w:val="002F7B22"/>
    <w:rsid w:val="002F7C13"/>
    <w:rsid w:val="003015F4"/>
    <w:rsid w:val="003050C5"/>
    <w:rsid w:val="0030599A"/>
    <w:rsid w:val="0030667A"/>
    <w:rsid w:val="00306CAA"/>
    <w:rsid w:val="00306D86"/>
    <w:rsid w:val="00306FFE"/>
    <w:rsid w:val="00307DFB"/>
    <w:rsid w:val="003104E6"/>
    <w:rsid w:val="003111A5"/>
    <w:rsid w:val="00311D6D"/>
    <w:rsid w:val="0031247C"/>
    <w:rsid w:val="00312D5F"/>
    <w:rsid w:val="00315B81"/>
    <w:rsid w:val="00316C6E"/>
    <w:rsid w:val="00320F3E"/>
    <w:rsid w:val="00321A60"/>
    <w:rsid w:val="0032319A"/>
    <w:rsid w:val="003241C6"/>
    <w:rsid w:val="003243F7"/>
    <w:rsid w:val="0032453F"/>
    <w:rsid w:val="00324B9A"/>
    <w:rsid w:val="00325D1A"/>
    <w:rsid w:val="00326A75"/>
    <w:rsid w:val="00331198"/>
    <w:rsid w:val="003332CA"/>
    <w:rsid w:val="0033341F"/>
    <w:rsid w:val="00334D00"/>
    <w:rsid w:val="00335DCB"/>
    <w:rsid w:val="00337E08"/>
    <w:rsid w:val="00342079"/>
    <w:rsid w:val="00345400"/>
    <w:rsid w:val="00352051"/>
    <w:rsid w:val="00352FD1"/>
    <w:rsid w:val="00354BC0"/>
    <w:rsid w:val="00354D8F"/>
    <w:rsid w:val="00356DBE"/>
    <w:rsid w:val="003575EE"/>
    <w:rsid w:val="003577B8"/>
    <w:rsid w:val="00360C70"/>
    <w:rsid w:val="003639FF"/>
    <w:rsid w:val="00365FD4"/>
    <w:rsid w:val="0036647F"/>
    <w:rsid w:val="00366F00"/>
    <w:rsid w:val="0036789A"/>
    <w:rsid w:val="003710D4"/>
    <w:rsid w:val="00375A20"/>
    <w:rsid w:val="00377923"/>
    <w:rsid w:val="00377D7C"/>
    <w:rsid w:val="00380E83"/>
    <w:rsid w:val="00381F06"/>
    <w:rsid w:val="00382DB2"/>
    <w:rsid w:val="00387C88"/>
    <w:rsid w:val="00391897"/>
    <w:rsid w:val="0039549E"/>
    <w:rsid w:val="003954C8"/>
    <w:rsid w:val="0039600B"/>
    <w:rsid w:val="003974BA"/>
    <w:rsid w:val="00397733"/>
    <w:rsid w:val="00397847"/>
    <w:rsid w:val="003A249A"/>
    <w:rsid w:val="003A33E3"/>
    <w:rsid w:val="003A36B2"/>
    <w:rsid w:val="003A3FC9"/>
    <w:rsid w:val="003B0108"/>
    <w:rsid w:val="003B2D20"/>
    <w:rsid w:val="003B2E5A"/>
    <w:rsid w:val="003B41AF"/>
    <w:rsid w:val="003B41DE"/>
    <w:rsid w:val="003B57E0"/>
    <w:rsid w:val="003B6C49"/>
    <w:rsid w:val="003C12A8"/>
    <w:rsid w:val="003C150F"/>
    <w:rsid w:val="003C322D"/>
    <w:rsid w:val="003C42B8"/>
    <w:rsid w:val="003C4C3D"/>
    <w:rsid w:val="003C65D2"/>
    <w:rsid w:val="003C770C"/>
    <w:rsid w:val="003D1799"/>
    <w:rsid w:val="003D404A"/>
    <w:rsid w:val="003D468D"/>
    <w:rsid w:val="003D4C59"/>
    <w:rsid w:val="003D550F"/>
    <w:rsid w:val="003D5610"/>
    <w:rsid w:val="003D5DFA"/>
    <w:rsid w:val="003D708E"/>
    <w:rsid w:val="003E17E7"/>
    <w:rsid w:val="003E2896"/>
    <w:rsid w:val="003E3061"/>
    <w:rsid w:val="003E5634"/>
    <w:rsid w:val="003E5D67"/>
    <w:rsid w:val="003E5F0E"/>
    <w:rsid w:val="003F0C5F"/>
    <w:rsid w:val="003F28C2"/>
    <w:rsid w:val="003F2AB5"/>
    <w:rsid w:val="003F7CA0"/>
    <w:rsid w:val="004006FA"/>
    <w:rsid w:val="00401215"/>
    <w:rsid w:val="004034E7"/>
    <w:rsid w:val="00404984"/>
    <w:rsid w:val="00407590"/>
    <w:rsid w:val="004126FD"/>
    <w:rsid w:val="00412A78"/>
    <w:rsid w:val="00413643"/>
    <w:rsid w:val="00413B48"/>
    <w:rsid w:val="004216AC"/>
    <w:rsid w:val="0042236E"/>
    <w:rsid w:val="00424F8A"/>
    <w:rsid w:val="00426F1D"/>
    <w:rsid w:val="004279AB"/>
    <w:rsid w:val="00427C82"/>
    <w:rsid w:val="00431492"/>
    <w:rsid w:val="00433489"/>
    <w:rsid w:val="00433503"/>
    <w:rsid w:val="00433FDC"/>
    <w:rsid w:val="00437169"/>
    <w:rsid w:val="00440A1F"/>
    <w:rsid w:val="00441DC8"/>
    <w:rsid w:val="0044341A"/>
    <w:rsid w:val="00446B8F"/>
    <w:rsid w:val="00446E3B"/>
    <w:rsid w:val="004471CE"/>
    <w:rsid w:val="004534CE"/>
    <w:rsid w:val="00453C7E"/>
    <w:rsid w:val="004568E5"/>
    <w:rsid w:val="00457B72"/>
    <w:rsid w:val="00457F9F"/>
    <w:rsid w:val="004603DC"/>
    <w:rsid w:val="00467160"/>
    <w:rsid w:val="00467487"/>
    <w:rsid w:val="004675E3"/>
    <w:rsid w:val="00470C45"/>
    <w:rsid w:val="00470DFC"/>
    <w:rsid w:val="004723A7"/>
    <w:rsid w:val="0047327A"/>
    <w:rsid w:val="00474D68"/>
    <w:rsid w:val="00481984"/>
    <w:rsid w:val="0048326A"/>
    <w:rsid w:val="00483DB3"/>
    <w:rsid w:val="0048512E"/>
    <w:rsid w:val="004858FA"/>
    <w:rsid w:val="00485A11"/>
    <w:rsid w:val="00486D1B"/>
    <w:rsid w:val="00486D99"/>
    <w:rsid w:val="00486E65"/>
    <w:rsid w:val="00487163"/>
    <w:rsid w:val="004918BB"/>
    <w:rsid w:val="00492D4F"/>
    <w:rsid w:val="00494156"/>
    <w:rsid w:val="00495085"/>
    <w:rsid w:val="00495F00"/>
    <w:rsid w:val="0049679E"/>
    <w:rsid w:val="004A0883"/>
    <w:rsid w:val="004A0FAA"/>
    <w:rsid w:val="004A1995"/>
    <w:rsid w:val="004A3F28"/>
    <w:rsid w:val="004A4D0A"/>
    <w:rsid w:val="004A547A"/>
    <w:rsid w:val="004A5E36"/>
    <w:rsid w:val="004A6F0B"/>
    <w:rsid w:val="004B0203"/>
    <w:rsid w:val="004B0813"/>
    <w:rsid w:val="004B0A49"/>
    <w:rsid w:val="004B2719"/>
    <w:rsid w:val="004B2B9E"/>
    <w:rsid w:val="004B4B0E"/>
    <w:rsid w:val="004B5504"/>
    <w:rsid w:val="004B5CB8"/>
    <w:rsid w:val="004B6BE8"/>
    <w:rsid w:val="004B7F51"/>
    <w:rsid w:val="004C16E7"/>
    <w:rsid w:val="004C4B8D"/>
    <w:rsid w:val="004C5FC4"/>
    <w:rsid w:val="004C6079"/>
    <w:rsid w:val="004D0989"/>
    <w:rsid w:val="004D119E"/>
    <w:rsid w:val="004D7750"/>
    <w:rsid w:val="004D7E45"/>
    <w:rsid w:val="004E1607"/>
    <w:rsid w:val="004E20C4"/>
    <w:rsid w:val="004E34FA"/>
    <w:rsid w:val="004E58D7"/>
    <w:rsid w:val="004E58E9"/>
    <w:rsid w:val="004E5FDC"/>
    <w:rsid w:val="004F2604"/>
    <w:rsid w:val="004F398D"/>
    <w:rsid w:val="004F6002"/>
    <w:rsid w:val="004F61DC"/>
    <w:rsid w:val="005004FE"/>
    <w:rsid w:val="00503260"/>
    <w:rsid w:val="00505A6F"/>
    <w:rsid w:val="00505B88"/>
    <w:rsid w:val="00506974"/>
    <w:rsid w:val="00506FF3"/>
    <w:rsid w:val="00511083"/>
    <w:rsid w:val="00511146"/>
    <w:rsid w:val="00512344"/>
    <w:rsid w:val="00512AB0"/>
    <w:rsid w:val="00512EF7"/>
    <w:rsid w:val="0051337A"/>
    <w:rsid w:val="0051341E"/>
    <w:rsid w:val="00517072"/>
    <w:rsid w:val="005209C2"/>
    <w:rsid w:val="00521F64"/>
    <w:rsid w:val="00523CE9"/>
    <w:rsid w:val="00525294"/>
    <w:rsid w:val="005254CF"/>
    <w:rsid w:val="005264B3"/>
    <w:rsid w:val="00530140"/>
    <w:rsid w:val="005301BD"/>
    <w:rsid w:val="005316E8"/>
    <w:rsid w:val="00532BEA"/>
    <w:rsid w:val="00533482"/>
    <w:rsid w:val="0053429E"/>
    <w:rsid w:val="00537332"/>
    <w:rsid w:val="00537C98"/>
    <w:rsid w:val="0054064F"/>
    <w:rsid w:val="00540739"/>
    <w:rsid w:val="00546BD0"/>
    <w:rsid w:val="0054725F"/>
    <w:rsid w:val="005514A7"/>
    <w:rsid w:val="005515BB"/>
    <w:rsid w:val="0055598D"/>
    <w:rsid w:val="00555F18"/>
    <w:rsid w:val="005619CB"/>
    <w:rsid w:val="00563483"/>
    <w:rsid w:val="00564822"/>
    <w:rsid w:val="00564B92"/>
    <w:rsid w:val="00567A47"/>
    <w:rsid w:val="00571721"/>
    <w:rsid w:val="0057185E"/>
    <w:rsid w:val="00571887"/>
    <w:rsid w:val="0057265C"/>
    <w:rsid w:val="00573899"/>
    <w:rsid w:val="00573FA6"/>
    <w:rsid w:val="00574B1F"/>
    <w:rsid w:val="00577A2D"/>
    <w:rsid w:val="00581DF1"/>
    <w:rsid w:val="00582CBF"/>
    <w:rsid w:val="00582D40"/>
    <w:rsid w:val="00583098"/>
    <w:rsid w:val="00583C46"/>
    <w:rsid w:val="00585865"/>
    <w:rsid w:val="00586123"/>
    <w:rsid w:val="0058648A"/>
    <w:rsid w:val="00586C90"/>
    <w:rsid w:val="005870EA"/>
    <w:rsid w:val="00587DE0"/>
    <w:rsid w:val="00592C37"/>
    <w:rsid w:val="005941E5"/>
    <w:rsid w:val="00596376"/>
    <w:rsid w:val="00596C9D"/>
    <w:rsid w:val="005A0ACE"/>
    <w:rsid w:val="005A1CFD"/>
    <w:rsid w:val="005A31AF"/>
    <w:rsid w:val="005A31F4"/>
    <w:rsid w:val="005A35C6"/>
    <w:rsid w:val="005A470C"/>
    <w:rsid w:val="005A4718"/>
    <w:rsid w:val="005A48FC"/>
    <w:rsid w:val="005A5536"/>
    <w:rsid w:val="005A7FF4"/>
    <w:rsid w:val="005B0AD7"/>
    <w:rsid w:val="005B1093"/>
    <w:rsid w:val="005B25B7"/>
    <w:rsid w:val="005B2837"/>
    <w:rsid w:val="005B2C41"/>
    <w:rsid w:val="005B49AA"/>
    <w:rsid w:val="005C16B1"/>
    <w:rsid w:val="005C17E9"/>
    <w:rsid w:val="005C17EB"/>
    <w:rsid w:val="005C1FF1"/>
    <w:rsid w:val="005C37BC"/>
    <w:rsid w:val="005C4CC6"/>
    <w:rsid w:val="005C5D10"/>
    <w:rsid w:val="005D499D"/>
    <w:rsid w:val="005D5434"/>
    <w:rsid w:val="005D7F2B"/>
    <w:rsid w:val="005E333F"/>
    <w:rsid w:val="005E447D"/>
    <w:rsid w:val="005E485C"/>
    <w:rsid w:val="005E48E7"/>
    <w:rsid w:val="005E57B6"/>
    <w:rsid w:val="005F03D0"/>
    <w:rsid w:val="005F122E"/>
    <w:rsid w:val="005F1737"/>
    <w:rsid w:val="005F1EC6"/>
    <w:rsid w:val="005F2999"/>
    <w:rsid w:val="005F466C"/>
    <w:rsid w:val="005F69C9"/>
    <w:rsid w:val="005F7B59"/>
    <w:rsid w:val="006000CB"/>
    <w:rsid w:val="00601517"/>
    <w:rsid w:val="0060297D"/>
    <w:rsid w:val="0060334B"/>
    <w:rsid w:val="00604593"/>
    <w:rsid w:val="00607429"/>
    <w:rsid w:val="0061005E"/>
    <w:rsid w:val="00611B8B"/>
    <w:rsid w:val="006130B7"/>
    <w:rsid w:val="006135D9"/>
    <w:rsid w:val="006139F7"/>
    <w:rsid w:val="00613CEB"/>
    <w:rsid w:val="00613D6C"/>
    <w:rsid w:val="00613F96"/>
    <w:rsid w:val="00614DA1"/>
    <w:rsid w:val="006170CA"/>
    <w:rsid w:val="006173F7"/>
    <w:rsid w:val="00617C74"/>
    <w:rsid w:val="00620E59"/>
    <w:rsid w:val="0062242D"/>
    <w:rsid w:val="006251FB"/>
    <w:rsid w:val="006252A5"/>
    <w:rsid w:val="0062635D"/>
    <w:rsid w:val="00626479"/>
    <w:rsid w:val="006315F0"/>
    <w:rsid w:val="006320B3"/>
    <w:rsid w:val="006344BB"/>
    <w:rsid w:val="006344FB"/>
    <w:rsid w:val="00636B26"/>
    <w:rsid w:val="00637FEA"/>
    <w:rsid w:val="00640A83"/>
    <w:rsid w:val="00642D12"/>
    <w:rsid w:val="00643015"/>
    <w:rsid w:val="006462E8"/>
    <w:rsid w:val="00650D4B"/>
    <w:rsid w:val="00651B16"/>
    <w:rsid w:val="0065218A"/>
    <w:rsid w:val="00653083"/>
    <w:rsid w:val="006532EA"/>
    <w:rsid w:val="006543E2"/>
    <w:rsid w:val="00655061"/>
    <w:rsid w:val="00662C76"/>
    <w:rsid w:val="00663093"/>
    <w:rsid w:val="006633BC"/>
    <w:rsid w:val="006647AB"/>
    <w:rsid w:val="006661AA"/>
    <w:rsid w:val="006668AA"/>
    <w:rsid w:val="006674C0"/>
    <w:rsid w:val="0066795E"/>
    <w:rsid w:val="00671BE4"/>
    <w:rsid w:val="00672191"/>
    <w:rsid w:val="006729FD"/>
    <w:rsid w:val="0067428B"/>
    <w:rsid w:val="00674582"/>
    <w:rsid w:val="006745AF"/>
    <w:rsid w:val="00676D47"/>
    <w:rsid w:val="00680971"/>
    <w:rsid w:val="006813F5"/>
    <w:rsid w:val="00682E72"/>
    <w:rsid w:val="00682F6C"/>
    <w:rsid w:val="006833F9"/>
    <w:rsid w:val="006853FA"/>
    <w:rsid w:val="006860B8"/>
    <w:rsid w:val="0069098D"/>
    <w:rsid w:val="0069109A"/>
    <w:rsid w:val="0069233C"/>
    <w:rsid w:val="00693129"/>
    <w:rsid w:val="00694059"/>
    <w:rsid w:val="00694396"/>
    <w:rsid w:val="00696E7A"/>
    <w:rsid w:val="00697504"/>
    <w:rsid w:val="006978DE"/>
    <w:rsid w:val="00697929"/>
    <w:rsid w:val="006A04C3"/>
    <w:rsid w:val="006A1A11"/>
    <w:rsid w:val="006A1D27"/>
    <w:rsid w:val="006A6760"/>
    <w:rsid w:val="006B17B1"/>
    <w:rsid w:val="006B326B"/>
    <w:rsid w:val="006B3A19"/>
    <w:rsid w:val="006C00A5"/>
    <w:rsid w:val="006C096C"/>
    <w:rsid w:val="006C2BCE"/>
    <w:rsid w:val="006D0561"/>
    <w:rsid w:val="006D0697"/>
    <w:rsid w:val="006D0A1C"/>
    <w:rsid w:val="006D25D1"/>
    <w:rsid w:val="006D350B"/>
    <w:rsid w:val="006D3F4A"/>
    <w:rsid w:val="006D3FFC"/>
    <w:rsid w:val="006D6D3F"/>
    <w:rsid w:val="006E1238"/>
    <w:rsid w:val="006E39C2"/>
    <w:rsid w:val="006E3D01"/>
    <w:rsid w:val="006E429C"/>
    <w:rsid w:val="006E4E45"/>
    <w:rsid w:val="006E6E4B"/>
    <w:rsid w:val="006E7863"/>
    <w:rsid w:val="006F0A22"/>
    <w:rsid w:val="006F19AD"/>
    <w:rsid w:val="006F1FED"/>
    <w:rsid w:val="006F3556"/>
    <w:rsid w:val="006F3EE0"/>
    <w:rsid w:val="006F6FE7"/>
    <w:rsid w:val="00700FDD"/>
    <w:rsid w:val="00701BAD"/>
    <w:rsid w:val="00703530"/>
    <w:rsid w:val="00703686"/>
    <w:rsid w:val="00704AC3"/>
    <w:rsid w:val="00705E1D"/>
    <w:rsid w:val="00711B77"/>
    <w:rsid w:val="00714A69"/>
    <w:rsid w:val="00715976"/>
    <w:rsid w:val="00715E3F"/>
    <w:rsid w:val="00717F1A"/>
    <w:rsid w:val="007204C3"/>
    <w:rsid w:val="00720BB5"/>
    <w:rsid w:val="00721D52"/>
    <w:rsid w:val="00723389"/>
    <w:rsid w:val="00725A71"/>
    <w:rsid w:val="00725B4A"/>
    <w:rsid w:val="00726C9D"/>
    <w:rsid w:val="00730888"/>
    <w:rsid w:val="00731FA9"/>
    <w:rsid w:val="0073290C"/>
    <w:rsid w:val="00733507"/>
    <w:rsid w:val="00735051"/>
    <w:rsid w:val="0073744B"/>
    <w:rsid w:val="00741D34"/>
    <w:rsid w:val="007459B6"/>
    <w:rsid w:val="007521A6"/>
    <w:rsid w:val="007556A7"/>
    <w:rsid w:val="00755F30"/>
    <w:rsid w:val="007628F8"/>
    <w:rsid w:val="00763065"/>
    <w:rsid w:val="00763FAB"/>
    <w:rsid w:val="007642AF"/>
    <w:rsid w:val="00764664"/>
    <w:rsid w:val="0076473F"/>
    <w:rsid w:val="0076611D"/>
    <w:rsid w:val="007667A9"/>
    <w:rsid w:val="00770173"/>
    <w:rsid w:val="00771C29"/>
    <w:rsid w:val="007756FF"/>
    <w:rsid w:val="007808FF"/>
    <w:rsid w:val="007832ED"/>
    <w:rsid w:val="00783892"/>
    <w:rsid w:val="00785A53"/>
    <w:rsid w:val="00794090"/>
    <w:rsid w:val="00795195"/>
    <w:rsid w:val="0079590B"/>
    <w:rsid w:val="00797FA9"/>
    <w:rsid w:val="007A0CE5"/>
    <w:rsid w:val="007A3EE9"/>
    <w:rsid w:val="007A706D"/>
    <w:rsid w:val="007A72A7"/>
    <w:rsid w:val="007A797C"/>
    <w:rsid w:val="007B1DFA"/>
    <w:rsid w:val="007B3936"/>
    <w:rsid w:val="007B3ED0"/>
    <w:rsid w:val="007B66A1"/>
    <w:rsid w:val="007B6818"/>
    <w:rsid w:val="007B6E5E"/>
    <w:rsid w:val="007C2BB0"/>
    <w:rsid w:val="007C5571"/>
    <w:rsid w:val="007C571C"/>
    <w:rsid w:val="007C59B9"/>
    <w:rsid w:val="007C61BC"/>
    <w:rsid w:val="007C6E67"/>
    <w:rsid w:val="007C7990"/>
    <w:rsid w:val="007C79CD"/>
    <w:rsid w:val="007D04F4"/>
    <w:rsid w:val="007D2CC6"/>
    <w:rsid w:val="007D3043"/>
    <w:rsid w:val="007D318F"/>
    <w:rsid w:val="007D4E4B"/>
    <w:rsid w:val="007D4FDA"/>
    <w:rsid w:val="007D68E2"/>
    <w:rsid w:val="007D7B59"/>
    <w:rsid w:val="007E26E7"/>
    <w:rsid w:val="007E27BA"/>
    <w:rsid w:val="007E50FC"/>
    <w:rsid w:val="007F10E5"/>
    <w:rsid w:val="007F28A1"/>
    <w:rsid w:val="007F327C"/>
    <w:rsid w:val="007F4982"/>
    <w:rsid w:val="007F4F64"/>
    <w:rsid w:val="007F5420"/>
    <w:rsid w:val="007F6A4C"/>
    <w:rsid w:val="00801727"/>
    <w:rsid w:val="00801835"/>
    <w:rsid w:val="0080236B"/>
    <w:rsid w:val="0080386C"/>
    <w:rsid w:val="00803CA3"/>
    <w:rsid w:val="008040CC"/>
    <w:rsid w:val="00805800"/>
    <w:rsid w:val="008078B1"/>
    <w:rsid w:val="0081092D"/>
    <w:rsid w:val="0081240B"/>
    <w:rsid w:val="00821B8E"/>
    <w:rsid w:val="00822DA4"/>
    <w:rsid w:val="008237FA"/>
    <w:rsid w:val="00823D74"/>
    <w:rsid w:val="008252CF"/>
    <w:rsid w:val="00825B6D"/>
    <w:rsid w:val="00826A26"/>
    <w:rsid w:val="0083050A"/>
    <w:rsid w:val="008309B6"/>
    <w:rsid w:val="00833453"/>
    <w:rsid w:val="0083445D"/>
    <w:rsid w:val="00834CF8"/>
    <w:rsid w:val="00835A3F"/>
    <w:rsid w:val="00835DF4"/>
    <w:rsid w:val="00837255"/>
    <w:rsid w:val="00843D74"/>
    <w:rsid w:val="00844A44"/>
    <w:rsid w:val="00844CD2"/>
    <w:rsid w:val="00845F4E"/>
    <w:rsid w:val="00847139"/>
    <w:rsid w:val="00847623"/>
    <w:rsid w:val="00847915"/>
    <w:rsid w:val="008501A9"/>
    <w:rsid w:val="00850DD6"/>
    <w:rsid w:val="00854C8C"/>
    <w:rsid w:val="00860AAE"/>
    <w:rsid w:val="00862EA2"/>
    <w:rsid w:val="00863B6E"/>
    <w:rsid w:val="0086536C"/>
    <w:rsid w:val="008677CA"/>
    <w:rsid w:val="00867E28"/>
    <w:rsid w:val="00870023"/>
    <w:rsid w:val="0087342C"/>
    <w:rsid w:val="008749A7"/>
    <w:rsid w:val="0087657C"/>
    <w:rsid w:val="008766EF"/>
    <w:rsid w:val="00877E3C"/>
    <w:rsid w:val="00881F51"/>
    <w:rsid w:val="008822D9"/>
    <w:rsid w:val="00883575"/>
    <w:rsid w:val="008840F0"/>
    <w:rsid w:val="00884A26"/>
    <w:rsid w:val="0088520D"/>
    <w:rsid w:val="00885D05"/>
    <w:rsid w:val="00886686"/>
    <w:rsid w:val="008914EE"/>
    <w:rsid w:val="008927F7"/>
    <w:rsid w:val="00896616"/>
    <w:rsid w:val="008969E4"/>
    <w:rsid w:val="00897B1C"/>
    <w:rsid w:val="008A1AE1"/>
    <w:rsid w:val="008A1ED5"/>
    <w:rsid w:val="008A2DD1"/>
    <w:rsid w:val="008A439B"/>
    <w:rsid w:val="008A6144"/>
    <w:rsid w:val="008B193C"/>
    <w:rsid w:val="008B2C08"/>
    <w:rsid w:val="008B4CE3"/>
    <w:rsid w:val="008C2DF9"/>
    <w:rsid w:val="008C36F0"/>
    <w:rsid w:val="008C6B4E"/>
    <w:rsid w:val="008C7362"/>
    <w:rsid w:val="008D1B3C"/>
    <w:rsid w:val="008D27AD"/>
    <w:rsid w:val="008D2C9E"/>
    <w:rsid w:val="008D3175"/>
    <w:rsid w:val="008D3FD8"/>
    <w:rsid w:val="008D45E9"/>
    <w:rsid w:val="008D4CD8"/>
    <w:rsid w:val="008D78F8"/>
    <w:rsid w:val="008E0A78"/>
    <w:rsid w:val="008E2A0F"/>
    <w:rsid w:val="008E5324"/>
    <w:rsid w:val="008E6169"/>
    <w:rsid w:val="008E6796"/>
    <w:rsid w:val="008E7DDC"/>
    <w:rsid w:val="008F03F3"/>
    <w:rsid w:val="008F0AC5"/>
    <w:rsid w:val="008F15EC"/>
    <w:rsid w:val="008F1F2E"/>
    <w:rsid w:val="008F3A8C"/>
    <w:rsid w:val="0090029A"/>
    <w:rsid w:val="00904EE4"/>
    <w:rsid w:val="00905939"/>
    <w:rsid w:val="00905AA7"/>
    <w:rsid w:val="00906FC8"/>
    <w:rsid w:val="00910287"/>
    <w:rsid w:val="0091180A"/>
    <w:rsid w:val="0091289B"/>
    <w:rsid w:val="009147CE"/>
    <w:rsid w:val="0091699D"/>
    <w:rsid w:val="00917495"/>
    <w:rsid w:val="00920865"/>
    <w:rsid w:val="009216B6"/>
    <w:rsid w:val="00924831"/>
    <w:rsid w:val="009266A2"/>
    <w:rsid w:val="009269A7"/>
    <w:rsid w:val="00934522"/>
    <w:rsid w:val="009351F9"/>
    <w:rsid w:val="00935D44"/>
    <w:rsid w:val="00935FD0"/>
    <w:rsid w:val="00937D81"/>
    <w:rsid w:val="00940F2F"/>
    <w:rsid w:val="00941AC7"/>
    <w:rsid w:val="0094217B"/>
    <w:rsid w:val="00942CCF"/>
    <w:rsid w:val="00944DB6"/>
    <w:rsid w:val="009453F0"/>
    <w:rsid w:val="00945DE4"/>
    <w:rsid w:val="0094609E"/>
    <w:rsid w:val="00950872"/>
    <w:rsid w:val="00950C3C"/>
    <w:rsid w:val="00950C45"/>
    <w:rsid w:val="00952E2A"/>
    <w:rsid w:val="00954646"/>
    <w:rsid w:val="00955082"/>
    <w:rsid w:val="00955EA5"/>
    <w:rsid w:val="00956D31"/>
    <w:rsid w:val="00960468"/>
    <w:rsid w:val="009633A0"/>
    <w:rsid w:val="009646A5"/>
    <w:rsid w:val="00964BAE"/>
    <w:rsid w:val="0096677F"/>
    <w:rsid w:val="00967C6B"/>
    <w:rsid w:val="00970D46"/>
    <w:rsid w:val="009737B5"/>
    <w:rsid w:val="00974BE9"/>
    <w:rsid w:val="00975237"/>
    <w:rsid w:val="009773A7"/>
    <w:rsid w:val="009779FC"/>
    <w:rsid w:val="009810C6"/>
    <w:rsid w:val="00982B18"/>
    <w:rsid w:val="00985554"/>
    <w:rsid w:val="009864D7"/>
    <w:rsid w:val="00987D77"/>
    <w:rsid w:val="009900B3"/>
    <w:rsid w:val="009900CB"/>
    <w:rsid w:val="00991EC6"/>
    <w:rsid w:val="00992F40"/>
    <w:rsid w:val="00993399"/>
    <w:rsid w:val="00995AEF"/>
    <w:rsid w:val="00996B23"/>
    <w:rsid w:val="00996F55"/>
    <w:rsid w:val="009A0B97"/>
    <w:rsid w:val="009A1C1D"/>
    <w:rsid w:val="009A3180"/>
    <w:rsid w:val="009A52E0"/>
    <w:rsid w:val="009A5AC4"/>
    <w:rsid w:val="009A6D32"/>
    <w:rsid w:val="009B1AC2"/>
    <w:rsid w:val="009B2F57"/>
    <w:rsid w:val="009B3026"/>
    <w:rsid w:val="009B3BD0"/>
    <w:rsid w:val="009B65AA"/>
    <w:rsid w:val="009C001D"/>
    <w:rsid w:val="009C27EA"/>
    <w:rsid w:val="009C4D82"/>
    <w:rsid w:val="009C54E5"/>
    <w:rsid w:val="009C5F1F"/>
    <w:rsid w:val="009D1FF5"/>
    <w:rsid w:val="009D25D6"/>
    <w:rsid w:val="009D2E58"/>
    <w:rsid w:val="009D2FE6"/>
    <w:rsid w:val="009D40A8"/>
    <w:rsid w:val="009E213F"/>
    <w:rsid w:val="009E289A"/>
    <w:rsid w:val="009E49ED"/>
    <w:rsid w:val="009F16F8"/>
    <w:rsid w:val="009F1F5E"/>
    <w:rsid w:val="009F378D"/>
    <w:rsid w:val="009F530D"/>
    <w:rsid w:val="009F5C61"/>
    <w:rsid w:val="009F5EF9"/>
    <w:rsid w:val="009F6763"/>
    <w:rsid w:val="00A00136"/>
    <w:rsid w:val="00A00550"/>
    <w:rsid w:val="00A016AD"/>
    <w:rsid w:val="00A01C46"/>
    <w:rsid w:val="00A039A3"/>
    <w:rsid w:val="00A03D1F"/>
    <w:rsid w:val="00A056E6"/>
    <w:rsid w:val="00A069EC"/>
    <w:rsid w:val="00A075BF"/>
    <w:rsid w:val="00A12681"/>
    <w:rsid w:val="00A13B7B"/>
    <w:rsid w:val="00A1417A"/>
    <w:rsid w:val="00A14C7B"/>
    <w:rsid w:val="00A17419"/>
    <w:rsid w:val="00A206AF"/>
    <w:rsid w:val="00A206EE"/>
    <w:rsid w:val="00A209C1"/>
    <w:rsid w:val="00A215C6"/>
    <w:rsid w:val="00A21A74"/>
    <w:rsid w:val="00A21E7F"/>
    <w:rsid w:val="00A22883"/>
    <w:rsid w:val="00A312F7"/>
    <w:rsid w:val="00A31381"/>
    <w:rsid w:val="00A317E6"/>
    <w:rsid w:val="00A32FFC"/>
    <w:rsid w:val="00A34019"/>
    <w:rsid w:val="00A34516"/>
    <w:rsid w:val="00A34BA5"/>
    <w:rsid w:val="00A3675D"/>
    <w:rsid w:val="00A414CC"/>
    <w:rsid w:val="00A419B5"/>
    <w:rsid w:val="00A41C8B"/>
    <w:rsid w:val="00A42419"/>
    <w:rsid w:val="00A4285F"/>
    <w:rsid w:val="00A42A31"/>
    <w:rsid w:val="00A43C92"/>
    <w:rsid w:val="00A457F5"/>
    <w:rsid w:val="00A45FEB"/>
    <w:rsid w:val="00A462B1"/>
    <w:rsid w:val="00A4763D"/>
    <w:rsid w:val="00A47C62"/>
    <w:rsid w:val="00A500C4"/>
    <w:rsid w:val="00A50AA8"/>
    <w:rsid w:val="00A55094"/>
    <w:rsid w:val="00A556F3"/>
    <w:rsid w:val="00A5673E"/>
    <w:rsid w:val="00A57BC7"/>
    <w:rsid w:val="00A6091C"/>
    <w:rsid w:val="00A63165"/>
    <w:rsid w:val="00A63642"/>
    <w:rsid w:val="00A66E2A"/>
    <w:rsid w:val="00A66FC0"/>
    <w:rsid w:val="00A6704B"/>
    <w:rsid w:val="00A70E89"/>
    <w:rsid w:val="00A717E4"/>
    <w:rsid w:val="00A71A19"/>
    <w:rsid w:val="00A72094"/>
    <w:rsid w:val="00A73A00"/>
    <w:rsid w:val="00A757C8"/>
    <w:rsid w:val="00A75AFA"/>
    <w:rsid w:val="00A76DCC"/>
    <w:rsid w:val="00A8100E"/>
    <w:rsid w:val="00A8166D"/>
    <w:rsid w:val="00A81E3F"/>
    <w:rsid w:val="00A909AD"/>
    <w:rsid w:val="00A90CA6"/>
    <w:rsid w:val="00A9247D"/>
    <w:rsid w:val="00A94B9F"/>
    <w:rsid w:val="00A97C7E"/>
    <w:rsid w:val="00AA26AC"/>
    <w:rsid w:val="00AA3C93"/>
    <w:rsid w:val="00AA4485"/>
    <w:rsid w:val="00AB06E0"/>
    <w:rsid w:val="00AB3D1C"/>
    <w:rsid w:val="00AB6CCB"/>
    <w:rsid w:val="00AB7658"/>
    <w:rsid w:val="00AC060F"/>
    <w:rsid w:val="00AC2F83"/>
    <w:rsid w:val="00AC42AC"/>
    <w:rsid w:val="00AC66C2"/>
    <w:rsid w:val="00AC78B3"/>
    <w:rsid w:val="00AC7C74"/>
    <w:rsid w:val="00AD08C8"/>
    <w:rsid w:val="00AD08F9"/>
    <w:rsid w:val="00AD0FEE"/>
    <w:rsid w:val="00AD3167"/>
    <w:rsid w:val="00AD4576"/>
    <w:rsid w:val="00AD51FC"/>
    <w:rsid w:val="00AD5DC7"/>
    <w:rsid w:val="00AE0AFD"/>
    <w:rsid w:val="00AE1157"/>
    <w:rsid w:val="00AE3B8E"/>
    <w:rsid w:val="00AE46A5"/>
    <w:rsid w:val="00AE5114"/>
    <w:rsid w:val="00AE5FCF"/>
    <w:rsid w:val="00AE7B03"/>
    <w:rsid w:val="00AF1BED"/>
    <w:rsid w:val="00AF2178"/>
    <w:rsid w:val="00AF219C"/>
    <w:rsid w:val="00AF3348"/>
    <w:rsid w:val="00AF353A"/>
    <w:rsid w:val="00AF54A4"/>
    <w:rsid w:val="00B00810"/>
    <w:rsid w:val="00B00D7B"/>
    <w:rsid w:val="00B0118C"/>
    <w:rsid w:val="00B012B0"/>
    <w:rsid w:val="00B024C2"/>
    <w:rsid w:val="00B0334F"/>
    <w:rsid w:val="00B045B4"/>
    <w:rsid w:val="00B0484E"/>
    <w:rsid w:val="00B05D92"/>
    <w:rsid w:val="00B06156"/>
    <w:rsid w:val="00B0781B"/>
    <w:rsid w:val="00B079D2"/>
    <w:rsid w:val="00B122E0"/>
    <w:rsid w:val="00B13908"/>
    <w:rsid w:val="00B14FB9"/>
    <w:rsid w:val="00B15145"/>
    <w:rsid w:val="00B15CA3"/>
    <w:rsid w:val="00B16D38"/>
    <w:rsid w:val="00B20317"/>
    <w:rsid w:val="00B22AC4"/>
    <w:rsid w:val="00B26B2F"/>
    <w:rsid w:val="00B3352D"/>
    <w:rsid w:val="00B34E75"/>
    <w:rsid w:val="00B35865"/>
    <w:rsid w:val="00B367F6"/>
    <w:rsid w:val="00B3773F"/>
    <w:rsid w:val="00B37AF1"/>
    <w:rsid w:val="00B40972"/>
    <w:rsid w:val="00B42419"/>
    <w:rsid w:val="00B42510"/>
    <w:rsid w:val="00B426CB"/>
    <w:rsid w:val="00B50584"/>
    <w:rsid w:val="00B53907"/>
    <w:rsid w:val="00B53A48"/>
    <w:rsid w:val="00B53FE1"/>
    <w:rsid w:val="00B55FDA"/>
    <w:rsid w:val="00B60688"/>
    <w:rsid w:val="00B64383"/>
    <w:rsid w:val="00B65DEE"/>
    <w:rsid w:val="00B70CE6"/>
    <w:rsid w:val="00B71349"/>
    <w:rsid w:val="00B73818"/>
    <w:rsid w:val="00B76F03"/>
    <w:rsid w:val="00B80910"/>
    <w:rsid w:val="00B81268"/>
    <w:rsid w:val="00B83167"/>
    <w:rsid w:val="00B8438E"/>
    <w:rsid w:val="00B8502C"/>
    <w:rsid w:val="00B85AC0"/>
    <w:rsid w:val="00B8727C"/>
    <w:rsid w:val="00B87AB7"/>
    <w:rsid w:val="00B90BBD"/>
    <w:rsid w:val="00B9179C"/>
    <w:rsid w:val="00B930C9"/>
    <w:rsid w:val="00B9528E"/>
    <w:rsid w:val="00B96EEF"/>
    <w:rsid w:val="00B976BC"/>
    <w:rsid w:val="00BA249C"/>
    <w:rsid w:val="00BA3BE1"/>
    <w:rsid w:val="00BA3C22"/>
    <w:rsid w:val="00BA5988"/>
    <w:rsid w:val="00BA6FD8"/>
    <w:rsid w:val="00BB0D60"/>
    <w:rsid w:val="00BB4771"/>
    <w:rsid w:val="00BB4DCB"/>
    <w:rsid w:val="00BB525D"/>
    <w:rsid w:val="00BB61BA"/>
    <w:rsid w:val="00BB7690"/>
    <w:rsid w:val="00BC0B2C"/>
    <w:rsid w:val="00BC191E"/>
    <w:rsid w:val="00BC4A45"/>
    <w:rsid w:val="00BC7798"/>
    <w:rsid w:val="00BD1150"/>
    <w:rsid w:val="00BD20EB"/>
    <w:rsid w:val="00BD3BE9"/>
    <w:rsid w:val="00BD73CE"/>
    <w:rsid w:val="00BE06DC"/>
    <w:rsid w:val="00BE1B08"/>
    <w:rsid w:val="00BE4B0F"/>
    <w:rsid w:val="00BE4FA5"/>
    <w:rsid w:val="00BE7167"/>
    <w:rsid w:val="00BF07C1"/>
    <w:rsid w:val="00BF1168"/>
    <w:rsid w:val="00BF162B"/>
    <w:rsid w:val="00BF2543"/>
    <w:rsid w:val="00BF3100"/>
    <w:rsid w:val="00BF38C6"/>
    <w:rsid w:val="00BF438B"/>
    <w:rsid w:val="00C00F5D"/>
    <w:rsid w:val="00C0177F"/>
    <w:rsid w:val="00C04EA1"/>
    <w:rsid w:val="00C05501"/>
    <w:rsid w:val="00C06A7B"/>
    <w:rsid w:val="00C11779"/>
    <w:rsid w:val="00C11AAC"/>
    <w:rsid w:val="00C122B7"/>
    <w:rsid w:val="00C13511"/>
    <w:rsid w:val="00C15B5C"/>
    <w:rsid w:val="00C1630C"/>
    <w:rsid w:val="00C20274"/>
    <w:rsid w:val="00C2042F"/>
    <w:rsid w:val="00C21767"/>
    <w:rsid w:val="00C24407"/>
    <w:rsid w:val="00C2616C"/>
    <w:rsid w:val="00C26975"/>
    <w:rsid w:val="00C31ED8"/>
    <w:rsid w:val="00C3287A"/>
    <w:rsid w:val="00C34101"/>
    <w:rsid w:val="00C347E2"/>
    <w:rsid w:val="00C34D49"/>
    <w:rsid w:val="00C378F5"/>
    <w:rsid w:val="00C40D0F"/>
    <w:rsid w:val="00C4150D"/>
    <w:rsid w:val="00C442D7"/>
    <w:rsid w:val="00C46028"/>
    <w:rsid w:val="00C46CDA"/>
    <w:rsid w:val="00C50B8F"/>
    <w:rsid w:val="00C50C85"/>
    <w:rsid w:val="00C51C29"/>
    <w:rsid w:val="00C51F82"/>
    <w:rsid w:val="00C52353"/>
    <w:rsid w:val="00C54D36"/>
    <w:rsid w:val="00C55C67"/>
    <w:rsid w:val="00C55CF2"/>
    <w:rsid w:val="00C610B5"/>
    <w:rsid w:val="00C61EFC"/>
    <w:rsid w:val="00C6205C"/>
    <w:rsid w:val="00C64114"/>
    <w:rsid w:val="00C64152"/>
    <w:rsid w:val="00C65129"/>
    <w:rsid w:val="00C667BE"/>
    <w:rsid w:val="00C704BB"/>
    <w:rsid w:val="00C70642"/>
    <w:rsid w:val="00C710E9"/>
    <w:rsid w:val="00C715D9"/>
    <w:rsid w:val="00C72160"/>
    <w:rsid w:val="00C7231D"/>
    <w:rsid w:val="00C7254E"/>
    <w:rsid w:val="00C72764"/>
    <w:rsid w:val="00C7408B"/>
    <w:rsid w:val="00C7441F"/>
    <w:rsid w:val="00C748D3"/>
    <w:rsid w:val="00C76CFE"/>
    <w:rsid w:val="00C81E1D"/>
    <w:rsid w:val="00C854B9"/>
    <w:rsid w:val="00C86624"/>
    <w:rsid w:val="00C869A4"/>
    <w:rsid w:val="00C86B44"/>
    <w:rsid w:val="00C90779"/>
    <w:rsid w:val="00C92A09"/>
    <w:rsid w:val="00C93D11"/>
    <w:rsid w:val="00C96A51"/>
    <w:rsid w:val="00CA0ACA"/>
    <w:rsid w:val="00CA0FCA"/>
    <w:rsid w:val="00CA3C40"/>
    <w:rsid w:val="00CA5184"/>
    <w:rsid w:val="00CA56C9"/>
    <w:rsid w:val="00CA5775"/>
    <w:rsid w:val="00CA7397"/>
    <w:rsid w:val="00CB0FF5"/>
    <w:rsid w:val="00CB22B2"/>
    <w:rsid w:val="00CB5B9A"/>
    <w:rsid w:val="00CB6CC6"/>
    <w:rsid w:val="00CB764A"/>
    <w:rsid w:val="00CC1DB6"/>
    <w:rsid w:val="00CC34F1"/>
    <w:rsid w:val="00CC3DCF"/>
    <w:rsid w:val="00CC642B"/>
    <w:rsid w:val="00CC6C59"/>
    <w:rsid w:val="00CC7415"/>
    <w:rsid w:val="00CC757F"/>
    <w:rsid w:val="00CC7EA9"/>
    <w:rsid w:val="00CD12C2"/>
    <w:rsid w:val="00CD12C9"/>
    <w:rsid w:val="00CD3A1F"/>
    <w:rsid w:val="00CD652A"/>
    <w:rsid w:val="00CD6F69"/>
    <w:rsid w:val="00CE0803"/>
    <w:rsid w:val="00CE0DDA"/>
    <w:rsid w:val="00CE3BD0"/>
    <w:rsid w:val="00CE4231"/>
    <w:rsid w:val="00CE5296"/>
    <w:rsid w:val="00CE680F"/>
    <w:rsid w:val="00CE6880"/>
    <w:rsid w:val="00CF0CD2"/>
    <w:rsid w:val="00CF1B85"/>
    <w:rsid w:val="00CF1BB7"/>
    <w:rsid w:val="00CF3BAC"/>
    <w:rsid w:val="00CF497C"/>
    <w:rsid w:val="00CF5EA5"/>
    <w:rsid w:val="00CF619B"/>
    <w:rsid w:val="00CF66A9"/>
    <w:rsid w:val="00CF71D8"/>
    <w:rsid w:val="00D001EC"/>
    <w:rsid w:val="00D00FA8"/>
    <w:rsid w:val="00D02970"/>
    <w:rsid w:val="00D02C02"/>
    <w:rsid w:val="00D03AAB"/>
    <w:rsid w:val="00D04535"/>
    <w:rsid w:val="00D04D83"/>
    <w:rsid w:val="00D05A04"/>
    <w:rsid w:val="00D05AA8"/>
    <w:rsid w:val="00D06EF1"/>
    <w:rsid w:val="00D11251"/>
    <w:rsid w:val="00D12040"/>
    <w:rsid w:val="00D20ADB"/>
    <w:rsid w:val="00D20BFD"/>
    <w:rsid w:val="00D21AB9"/>
    <w:rsid w:val="00D23974"/>
    <w:rsid w:val="00D30BF1"/>
    <w:rsid w:val="00D31290"/>
    <w:rsid w:val="00D31A6A"/>
    <w:rsid w:val="00D33245"/>
    <w:rsid w:val="00D33C8A"/>
    <w:rsid w:val="00D33CD8"/>
    <w:rsid w:val="00D35043"/>
    <w:rsid w:val="00D364F2"/>
    <w:rsid w:val="00D400D2"/>
    <w:rsid w:val="00D403F8"/>
    <w:rsid w:val="00D42C5D"/>
    <w:rsid w:val="00D44B49"/>
    <w:rsid w:val="00D44D93"/>
    <w:rsid w:val="00D53064"/>
    <w:rsid w:val="00D53570"/>
    <w:rsid w:val="00D563C1"/>
    <w:rsid w:val="00D56B08"/>
    <w:rsid w:val="00D57E36"/>
    <w:rsid w:val="00D61650"/>
    <w:rsid w:val="00D61D01"/>
    <w:rsid w:val="00D61EA8"/>
    <w:rsid w:val="00D62EF7"/>
    <w:rsid w:val="00D63393"/>
    <w:rsid w:val="00D6456E"/>
    <w:rsid w:val="00D65AB7"/>
    <w:rsid w:val="00D65B6F"/>
    <w:rsid w:val="00D6673A"/>
    <w:rsid w:val="00D67397"/>
    <w:rsid w:val="00D714EE"/>
    <w:rsid w:val="00D715D8"/>
    <w:rsid w:val="00D74634"/>
    <w:rsid w:val="00D7463E"/>
    <w:rsid w:val="00D77238"/>
    <w:rsid w:val="00D77418"/>
    <w:rsid w:val="00D81A08"/>
    <w:rsid w:val="00D83892"/>
    <w:rsid w:val="00D83AFD"/>
    <w:rsid w:val="00D84111"/>
    <w:rsid w:val="00D848A0"/>
    <w:rsid w:val="00D84ACA"/>
    <w:rsid w:val="00D859D3"/>
    <w:rsid w:val="00D86806"/>
    <w:rsid w:val="00D869D2"/>
    <w:rsid w:val="00D86D55"/>
    <w:rsid w:val="00D873FA"/>
    <w:rsid w:val="00D875C6"/>
    <w:rsid w:val="00D87B1D"/>
    <w:rsid w:val="00D87C9D"/>
    <w:rsid w:val="00D901DF"/>
    <w:rsid w:val="00D919B7"/>
    <w:rsid w:val="00D94CE0"/>
    <w:rsid w:val="00D95808"/>
    <w:rsid w:val="00D95964"/>
    <w:rsid w:val="00D9789F"/>
    <w:rsid w:val="00DA12A6"/>
    <w:rsid w:val="00DA1AB1"/>
    <w:rsid w:val="00DA2097"/>
    <w:rsid w:val="00DA2500"/>
    <w:rsid w:val="00DA392D"/>
    <w:rsid w:val="00DA7132"/>
    <w:rsid w:val="00DB121C"/>
    <w:rsid w:val="00DB1C44"/>
    <w:rsid w:val="00DB52C5"/>
    <w:rsid w:val="00DB6862"/>
    <w:rsid w:val="00DB69F7"/>
    <w:rsid w:val="00DB6E1C"/>
    <w:rsid w:val="00DC0C1F"/>
    <w:rsid w:val="00DC4FB9"/>
    <w:rsid w:val="00DC5516"/>
    <w:rsid w:val="00DC68F4"/>
    <w:rsid w:val="00DC6AE3"/>
    <w:rsid w:val="00DD017E"/>
    <w:rsid w:val="00DD040A"/>
    <w:rsid w:val="00DD0A08"/>
    <w:rsid w:val="00DD0AA1"/>
    <w:rsid w:val="00DD0B4E"/>
    <w:rsid w:val="00DD0C90"/>
    <w:rsid w:val="00DD1E19"/>
    <w:rsid w:val="00DD42CE"/>
    <w:rsid w:val="00DD52FC"/>
    <w:rsid w:val="00DD6AF1"/>
    <w:rsid w:val="00DD6FB3"/>
    <w:rsid w:val="00DD7C48"/>
    <w:rsid w:val="00DE0FF9"/>
    <w:rsid w:val="00DE1EAC"/>
    <w:rsid w:val="00DE3650"/>
    <w:rsid w:val="00DF038C"/>
    <w:rsid w:val="00DF2299"/>
    <w:rsid w:val="00DF41B5"/>
    <w:rsid w:val="00DF4AEA"/>
    <w:rsid w:val="00DF4AFA"/>
    <w:rsid w:val="00DF7A88"/>
    <w:rsid w:val="00DF7E74"/>
    <w:rsid w:val="00E074DB"/>
    <w:rsid w:val="00E10763"/>
    <w:rsid w:val="00E10E68"/>
    <w:rsid w:val="00E121CF"/>
    <w:rsid w:val="00E12588"/>
    <w:rsid w:val="00E152E4"/>
    <w:rsid w:val="00E1535D"/>
    <w:rsid w:val="00E17800"/>
    <w:rsid w:val="00E21505"/>
    <w:rsid w:val="00E237CC"/>
    <w:rsid w:val="00E25228"/>
    <w:rsid w:val="00E25C20"/>
    <w:rsid w:val="00E263B4"/>
    <w:rsid w:val="00E26B7A"/>
    <w:rsid w:val="00E27033"/>
    <w:rsid w:val="00E27D46"/>
    <w:rsid w:val="00E30447"/>
    <w:rsid w:val="00E31472"/>
    <w:rsid w:val="00E31744"/>
    <w:rsid w:val="00E31CBC"/>
    <w:rsid w:val="00E358C3"/>
    <w:rsid w:val="00E3773B"/>
    <w:rsid w:val="00E4228B"/>
    <w:rsid w:val="00E43144"/>
    <w:rsid w:val="00E442C8"/>
    <w:rsid w:val="00E44E40"/>
    <w:rsid w:val="00E44F94"/>
    <w:rsid w:val="00E45056"/>
    <w:rsid w:val="00E46383"/>
    <w:rsid w:val="00E46EFB"/>
    <w:rsid w:val="00E5020E"/>
    <w:rsid w:val="00E5048C"/>
    <w:rsid w:val="00E50BE1"/>
    <w:rsid w:val="00E5241E"/>
    <w:rsid w:val="00E53228"/>
    <w:rsid w:val="00E53728"/>
    <w:rsid w:val="00E5479C"/>
    <w:rsid w:val="00E5543E"/>
    <w:rsid w:val="00E56EE1"/>
    <w:rsid w:val="00E607C8"/>
    <w:rsid w:val="00E610B5"/>
    <w:rsid w:val="00E64435"/>
    <w:rsid w:val="00E64B5D"/>
    <w:rsid w:val="00E65CAC"/>
    <w:rsid w:val="00E6686E"/>
    <w:rsid w:val="00E671E4"/>
    <w:rsid w:val="00E71950"/>
    <w:rsid w:val="00E71B02"/>
    <w:rsid w:val="00E73DBE"/>
    <w:rsid w:val="00E76A6E"/>
    <w:rsid w:val="00E81C18"/>
    <w:rsid w:val="00E828AD"/>
    <w:rsid w:val="00E86318"/>
    <w:rsid w:val="00E867AC"/>
    <w:rsid w:val="00E9019A"/>
    <w:rsid w:val="00E90BF4"/>
    <w:rsid w:val="00E9305C"/>
    <w:rsid w:val="00E936BB"/>
    <w:rsid w:val="00E9582C"/>
    <w:rsid w:val="00E96762"/>
    <w:rsid w:val="00EA1A2F"/>
    <w:rsid w:val="00EA3ECF"/>
    <w:rsid w:val="00EA4690"/>
    <w:rsid w:val="00EA5005"/>
    <w:rsid w:val="00EA7B3A"/>
    <w:rsid w:val="00EB08DC"/>
    <w:rsid w:val="00EB337C"/>
    <w:rsid w:val="00EB4583"/>
    <w:rsid w:val="00EB4F40"/>
    <w:rsid w:val="00EC1564"/>
    <w:rsid w:val="00EC7166"/>
    <w:rsid w:val="00ED0AB9"/>
    <w:rsid w:val="00ED12A6"/>
    <w:rsid w:val="00ED1909"/>
    <w:rsid w:val="00ED5019"/>
    <w:rsid w:val="00EE14CC"/>
    <w:rsid w:val="00EE2BDF"/>
    <w:rsid w:val="00EE75F1"/>
    <w:rsid w:val="00EE7CA9"/>
    <w:rsid w:val="00EF0CCA"/>
    <w:rsid w:val="00EF1B07"/>
    <w:rsid w:val="00EF3128"/>
    <w:rsid w:val="00EF343E"/>
    <w:rsid w:val="00EF4656"/>
    <w:rsid w:val="00EF5A06"/>
    <w:rsid w:val="00EF6860"/>
    <w:rsid w:val="00F00226"/>
    <w:rsid w:val="00F00DBA"/>
    <w:rsid w:val="00F01FAE"/>
    <w:rsid w:val="00F044E5"/>
    <w:rsid w:val="00F04CA5"/>
    <w:rsid w:val="00F04DCC"/>
    <w:rsid w:val="00F0656D"/>
    <w:rsid w:val="00F109B0"/>
    <w:rsid w:val="00F14199"/>
    <w:rsid w:val="00F14611"/>
    <w:rsid w:val="00F15666"/>
    <w:rsid w:val="00F15A25"/>
    <w:rsid w:val="00F20E8D"/>
    <w:rsid w:val="00F24205"/>
    <w:rsid w:val="00F25132"/>
    <w:rsid w:val="00F2601D"/>
    <w:rsid w:val="00F2737D"/>
    <w:rsid w:val="00F30620"/>
    <w:rsid w:val="00F3108C"/>
    <w:rsid w:val="00F3504A"/>
    <w:rsid w:val="00F35D5C"/>
    <w:rsid w:val="00F377EE"/>
    <w:rsid w:val="00F40CA6"/>
    <w:rsid w:val="00F42762"/>
    <w:rsid w:val="00F45C1A"/>
    <w:rsid w:val="00F54E3B"/>
    <w:rsid w:val="00F554AA"/>
    <w:rsid w:val="00F55BE4"/>
    <w:rsid w:val="00F57D0F"/>
    <w:rsid w:val="00F57D1F"/>
    <w:rsid w:val="00F62876"/>
    <w:rsid w:val="00F64680"/>
    <w:rsid w:val="00F6735E"/>
    <w:rsid w:val="00F678F0"/>
    <w:rsid w:val="00F70470"/>
    <w:rsid w:val="00F708D4"/>
    <w:rsid w:val="00F7387F"/>
    <w:rsid w:val="00F74CC8"/>
    <w:rsid w:val="00F76BB9"/>
    <w:rsid w:val="00F81177"/>
    <w:rsid w:val="00F8255C"/>
    <w:rsid w:val="00F82ABA"/>
    <w:rsid w:val="00F849AA"/>
    <w:rsid w:val="00F87D95"/>
    <w:rsid w:val="00F90B7C"/>
    <w:rsid w:val="00F90E2A"/>
    <w:rsid w:val="00F9187F"/>
    <w:rsid w:val="00F91BA9"/>
    <w:rsid w:val="00F91F9E"/>
    <w:rsid w:val="00F9515A"/>
    <w:rsid w:val="00F967B4"/>
    <w:rsid w:val="00FA1922"/>
    <w:rsid w:val="00FA2152"/>
    <w:rsid w:val="00FA49CC"/>
    <w:rsid w:val="00FA5752"/>
    <w:rsid w:val="00FA5CF3"/>
    <w:rsid w:val="00FA74CF"/>
    <w:rsid w:val="00FA7DE9"/>
    <w:rsid w:val="00FB0CEF"/>
    <w:rsid w:val="00FB1591"/>
    <w:rsid w:val="00FB3F91"/>
    <w:rsid w:val="00FB582E"/>
    <w:rsid w:val="00FB642E"/>
    <w:rsid w:val="00FB7D9A"/>
    <w:rsid w:val="00FC06A0"/>
    <w:rsid w:val="00FC12AD"/>
    <w:rsid w:val="00FC29EE"/>
    <w:rsid w:val="00FC7E81"/>
    <w:rsid w:val="00FD016E"/>
    <w:rsid w:val="00FD1E08"/>
    <w:rsid w:val="00FD2395"/>
    <w:rsid w:val="00FD5769"/>
    <w:rsid w:val="00FD5C00"/>
    <w:rsid w:val="00FD5C33"/>
    <w:rsid w:val="00FD6037"/>
    <w:rsid w:val="00FD6D9C"/>
    <w:rsid w:val="00FE017D"/>
    <w:rsid w:val="00FE018E"/>
    <w:rsid w:val="00FE189A"/>
    <w:rsid w:val="00FE4185"/>
    <w:rsid w:val="00FE601C"/>
    <w:rsid w:val="00FF4795"/>
    <w:rsid w:val="00FF67F3"/>
    <w:rsid w:val="00FF69C9"/>
    <w:rsid w:val="02E15BF9"/>
    <w:rsid w:val="0D480A57"/>
    <w:rsid w:val="10BB601E"/>
    <w:rsid w:val="118627B3"/>
    <w:rsid w:val="1B8D49C2"/>
    <w:rsid w:val="21510C9D"/>
    <w:rsid w:val="22A6739A"/>
    <w:rsid w:val="244D243E"/>
    <w:rsid w:val="25380F83"/>
    <w:rsid w:val="28230DCE"/>
    <w:rsid w:val="2B2844CF"/>
    <w:rsid w:val="2C4B7F0E"/>
    <w:rsid w:val="2CFB4C20"/>
    <w:rsid w:val="394005D3"/>
    <w:rsid w:val="3B9F2653"/>
    <w:rsid w:val="3DE87628"/>
    <w:rsid w:val="3EC86A4C"/>
    <w:rsid w:val="46324B98"/>
    <w:rsid w:val="463A698E"/>
    <w:rsid w:val="467E0835"/>
    <w:rsid w:val="4D06320B"/>
    <w:rsid w:val="555B6441"/>
    <w:rsid w:val="56373594"/>
    <w:rsid w:val="65D36BE3"/>
    <w:rsid w:val="66CA23CC"/>
    <w:rsid w:val="67EE17C0"/>
    <w:rsid w:val="6C5320C1"/>
    <w:rsid w:val="71580D3D"/>
    <w:rsid w:val="717D67B9"/>
    <w:rsid w:val="73335EE5"/>
    <w:rsid w:val="7A7FE7EE"/>
    <w:rsid w:val="7FEF46E5"/>
    <w:rsid w:val="7FEF7422"/>
    <w:rsid w:val="ABFF3E80"/>
    <w:rsid w:val="E6FE2698"/>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tabs>
        <w:tab w:val="left" w:pos="672"/>
      </w:tabs>
      <w:spacing w:before="60" w:after="60" w:line="400" w:lineRule="exact"/>
      <w:ind w:left="672" w:right="113" w:hanging="432"/>
      <w:jc w:val="left"/>
      <w:outlineLvl w:val="0"/>
    </w:pPr>
    <w:rPr>
      <w:rFonts w:ascii="Arial" w:hAnsi="Arial"/>
      <w:b/>
      <w:sz w:val="24"/>
      <w:szCs w:val="20"/>
    </w:rPr>
  </w:style>
  <w:style w:type="paragraph" w:styleId="5">
    <w:name w:val="heading 2"/>
    <w:basedOn w:val="1"/>
    <w:next w:val="1"/>
    <w:qFormat/>
    <w:uiPriority w:val="0"/>
    <w:pPr>
      <w:keepNext/>
      <w:tabs>
        <w:tab w:val="left" w:pos="816"/>
      </w:tabs>
      <w:spacing w:before="60" w:after="60" w:line="400" w:lineRule="exact"/>
      <w:ind w:left="816" w:hanging="576"/>
      <w:jc w:val="left"/>
      <w:outlineLvl w:val="1"/>
    </w:pPr>
    <w:rPr>
      <w:rFonts w:ascii="Arial" w:hAnsi="Arial"/>
      <w:b/>
      <w:sz w:val="24"/>
      <w:szCs w:val="20"/>
    </w:rPr>
  </w:style>
  <w:style w:type="paragraph" w:styleId="6">
    <w:name w:val="heading 3"/>
    <w:basedOn w:val="1"/>
    <w:next w:val="1"/>
    <w:qFormat/>
    <w:uiPriority w:val="0"/>
    <w:pPr>
      <w:keepNext/>
      <w:tabs>
        <w:tab w:val="left" w:pos="960"/>
      </w:tabs>
      <w:adjustRightInd w:val="0"/>
      <w:snapToGrid w:val="0"/>
      <w:spacing w:before="60" w:after="60" w:line="400" w:lineRule="atLeast"/>
      <w:ind w:left="960" w:hanging="720"/>
      <w:jc w:val="left"/>
      <w:outlineLvl w:val="2"/>
    </w:pPr>
    <w:rPr>
      <w:rFonts w:ascii="Arial" w:hAnsi="Arial"/>
      <w:b/>
      <w:sz w:val="24"/>
      <w:szCs w:val="20"/>
    </w:rPr>
  </w:style>
  <w:style w:type="paragraph" w:styleId="7">
    <w:name w:val="heading 4"/>
    <w:basedOn w:val="1"/>
    <w:next w:val="1"/>
    <w:qFormat/>
    <w:uiPriority w:val="0"/>
    <w:pPr>
      <w:keepNext/>
      <w:shd w:val="clear" w:color="FFFFFF" w:fill="auto"/>
      <w:tabs>
        <w:tab w:val="left" w:pos="1104"/>
      </w:tabs>
      <w:spacing w:before="60" w:after="60" w:line="400" w:lineRule="exact"/>
      <w:ind w:left="1072" w:hanging="862"/>
      <w:jc w:val="left"/>
      <w:outlineLvl w:val="3"/>
    </w:pPr>
    <w:rPr>
      <w:rFonts w:ascii="Arial" w:hAnsi="Arial" w:cs="Arial"/>
      <w:b/>
      <w:sz w:val="24"/>
      <w:szCs w:val="20"/>
      <w:shd w:val="clear" w:color="auto" w:fill="FFFFFF"/>
    </w:rPr>
  </w:style>
  <w:style w:type="paragraph" w:styleId="8">
    <w:name w:val="heading 5"/>
    <w:basedOn w:val="1"/>
    <w:next w:val="1"/>
    <w:qFormat/>
    <w:uiPriority w:val="0"/>
    <w:pPr>
      <w:keepNext/>
      <w:tabs>
        <w:tab w:val="left" w:pos="1248"/>
      </w:tabs>
      <w:adjustRightInd w:val="0"/>
      <w:snapToGrid w:val="0"/>
      <w:spacing w:before="60" w:after="60" w:line="400" w:lineRule="atLeast"/>
      <w:ind w:left="1219" w:hanging="1009"/>
      <w:outlineLvl w:val="4"/>
    </w:pPr>
    <w:rPr>
      <w:rFonts w:ascii="Arial" w:hAnsi="Arial"/>
      <w:b/>
      <w:sz w:val="24"/>
      <w:szCs w:val="20"/>
      <w:shd w:val="pct10" w:color="FFFFFF" w:fill="FFFFFF"/>
    </w:rPr>
  </w:style>
  <w:style w:type="paragraph" w:styleId="9">
    <w:name w:val="heading 6"/>
    <w:basedOn w:val="1"/>
    <w:next w:val="1"/>
    <w:qFormat/>
    <w:uiPriority w:val="0"/>
    <w:pPr>
      <w:widowControl/>
      <w:tabs>
        <w:tab w:val="left" w:pos="1392"/>
      </w:tabs>
      <w:overflowPunct w:val="0"/>
      <w:autoSpaceDE w:val="0"/>
      <w:autoSpaceDN w:val="0"/>
      <w:spacing w:before="60" w:after="60" w:line="400" w:lineRule="atLeast"/>
      <w:ind w:left="1361" w:hanging="1151"/>
      <w:jc w:val="left"/>
      <w:textAlignment w:val="baseline"/>
      <w:outlineLvl w:val="5"/>
    </w:pPr>
    <w:rPr>
      <w:rFonts w:ascii="Arial" w:hAnsi="Arial"/>
      <w:b/>
      <w:kern w:val="0"/>
      <w:sz w:val="24"/>
      <w:szCs w:val="20"/>
      <w:lang w:val="en-GB"/>
    </w:rPr>
  </w:style>
  <w:style w:type="paragraph" w:styleId="10">
    <w:name w:val="heading 7"/>
    <w:basedOn w:val="1"/>
    <w:next w:val="1"/>
    <w:qFormat/>
    <w:uiPriority w:val="0"/>
    <w:pPr>
      <w:widowControl/>
      <w:tabs>
        <w:tab w:val="left" w:pos="1536"/>
      </w:tabs>
      <w:overflowPunct w:val="0"/>
      <w:autoSpaceDE w:val="0"/>
      <w:autoSpaceDN w:val="0"/>
      <w:adjustRightInd w:val="0"/>
      <w:spacing w:before="240" w:after="60"/>
      <w:ind w:left="1536" w:hanging="1296"/>
      <w:jc w:val="left"/>
      <w:textAlignment w:val="baseline"/>
      <w:outlineLvl w:val="6"/>
    </w:pPr>
    <w:rPr>
      <w:rFonts w:ascii="Arial" w:hAnsi="Arial"/>
      <w:kern w:val="0"/>
      <w:sz w:val="24"/>
      <w:szCs w:val="20"/>
      <w:lang w:val="en-GB"/>
    </w:rPr>
  </w:style>
  <w:style w:type="paragraph" w:styleId="11">
    <w:name w:val="heading 8"/>
    <w:basedOn w:val="1"/>
    <w:next w:val="1"/>
    <w:qFormat/>
    <w:uiPriority w:val="0"/>
    <w:pPr>
      <w:widowControl/>
      <w:tabs>
        <w:tab w:val="left" w:pos="1680"/>
      </w:tabs>
      <w:overflowPunct w:val="0"/>
      <w:autoSpaceDE w:val="0"/>
      <w:autoSpaceDN w:val="0"/>
      <w:adjustRightInd w:val="0"/>
      <w:spacing w:before="240" w:after="60"/>
      <w:ind w:left="1680" w:hanging="1440"/>
      <w:jc w:val="left"/>
      <w:textAlignment w:val="baseline"/>
      <w:outlineLvl w:val="7"/>
    </w:pPr>
    <w:rPr>
      <w:rFonts w:ascii="Arial" w:hAnsi="Arial"/>
      <w:i/>
      <w:kern w:val="0"/>
      <w:sz w:val="24"/>
      <w:szCs w:val="20"/>
      <w:lang w:val="en-GB"/>
    </w:rPr>
  </w:style>
  <w:style w:type="paragraph" w:styleId="12">
    <w:name w:val="heading 9"/>
    <w:basedOn w:val="1"/>
    <w:next w:val="1"/>
    <w:qFormat/>
    <w:uiPriority w:val="0"/>
    <w:pPr>
      <w:widowControl/>
      <w:tabs>
        <w:tab w:val="left" w:pos="1824"/>
      </w:tabs>
      <w:overflowPunct w:val="0"/>
      <w:autoSpaceDE w:val="0"/>
      <w:autoSpaceDN w:val="0"/>
      <w:adjustRightInd w:val="0"/>
      <w:spacing w:before="240" w:after="60"/>
      <w:ind w:left="1824" w:hanging="1584"/>
      <w:jc w:val="left"/>
      <w:textAlignment w:val="baseline"/>
      <w:outlineLvl w:val="8"/>
    </w:pPr>
    <w:rPr>
      <w:rFonts w:ascii="Arial" w:hAnsi="Arial"/>
      <w:i/>
      <w:kern w:val="0"/>
      <w:sz w:val="18"/>
      <w:szCs w:val="20"/>
      <w:lang w:val="en-GB"/>
    </w:rPr>
  </w:style>
  <w:style w:type="character" w:default="1" w:styleId="24">
    <w:name w:val="Default Paragraph Font"/>
    <w:unhideWhenUsed/>
    <w:qFormat/>
    <w:uiPriority w:val="1"/>
  </w:style>
  <w:style w:type="table" w:default="1" w:styleId="22">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13">
    <w:name w:val="Document Map"/>
    <w:basedOn w:val="1"/>
    <w:link w:val="29"/>
    <w:qFormat/>
    <w:uiPriority w:val="0"/>
    <w:rPr>
      <w:rFonts w:ascii="宋体"/>
      <w:sz w:val="18"/>
      <w:szCs w:val="18"/>
    </w:rPr>
  </w:style>
  <w:style w:type="paragraph" w:styleId="14">
    <w:name w:val="annotation text"/>
    <w:basedOn w:val="1"/>
    <w:link w:val="38"/>
    <w:unhideWhenUsed/>
    <w:qFormat/>
    <w:uiPriority w:val="0"/>
    <w:pPr>
      <w:jc w:val="left"/>
    </w:pPr>
  </w:style>
  <w:style w:type="paragraph" w:styleId="15">
    <w:name w:val="Plain Text"/>
    <w:basedOn w:val="1"/>
    <w:link w:val="28"/>
    <w:qFormat/>
    <w:uiPriority w:val="0"/>
    <w:rPr>
      <w:rFonts w:ascii="宋体" w:hAnsi="Courier New"/>
      <w:szCs w:val="20"/>
    </w:rPr>
  </w:style>
  <w:style w:type="paragraph" w:styleId="16">
    <w:name w:val="Balloon Text"/>
    <w:basedOn w:val="1"/>
    <w:semiHidden/>
    <w:qFormat/>
    <w:uiPriority w:val="0"/>
    <w:rPr>
      <w:sz w:val="18"/>
      <w:szCs w:val="18"/>
    </w:rPr>
  </w:style>
  <w:style w:type="paragraph" w:styleId="17">
    <w:name w:val="footer"/>
    <w:basedOn w:val="1"/>
    <w:link w:val="30"/>
    <w:qFormat/>
    <w:uiPriority w:val="99"/>
    <w:pPr>
      <w:tabs>
        <w:tab w:val="center" w:pos="4153"/>
        <w:tab w:val="right" w:pos="8306"/>
      </w:tabs>
      <w:snapToGrid w:val="0"/>
      <w:jc w:val="left"/>
    </w:pPr>
    <w:rPr>
      <w:sz w:val="18"/>
      <w:szCs w:val="18"/>
    </w:rPr>
  </w:style>
  <w:style w:type="paragraph" w:styleId="18">
    <w:name w:val="header"/>
    <w:basedOn w:val="1"/>
    <w:link w:val="31"/>
    <w:qFormat/>
    <w:uiPriority w:val="99"/>
    <w:pPr>
      <w:pBdr>
        <w:bottom w:val="single" w:color="auto" w:sz="6" w:space="1"/>
      </w:pBdr>
      <w:tabs>
        <w:tab w:val="center" w:pos="4153"/>
        <w:tab w:val="right" w:pos="8306"/>
      </w:tabs>
      <w:snapToGrid w:val="0"/>
      <w:jc w:val="center"/>
    </w:pPr>
    <w:rPr>
      <w:sz w:val="18"/>
      <w:szCs w:val="18"/>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color w:val="000000"/>
      <w:kern w:val="0"/>
      <w:sz w:val="24"/>
    </w:rPr>
  </w:style>
  <w:style w:type="paragraph" w:styleId="20">
    <w:name w:val="annotation subject"/>
    <w:basedOn w:val="14"/>
    <w:next w:val="14"/>
    <w:link w:val="39"/>
    <w:unhideWhenUsed/>
    <w:qFormat/>
    <w:uiPriority w:val="0"/>
    <w:rPr>
      <w:b/>
      <w:bCs/>
    </w:rPr>
  </w:style>
  <w:style w:type="paragraph" w:styleId="21">
    <w:name w:val="Body Text First Indent"/>
    <w:basedOn w:val="2"/>
    <w:unhideWhenUsed/>
    <w:qFormat/>
    <w:uiPriority w:val="0"/>
    <w:pPr>
      <w:ind w:firstLine="420" w:firstLineChars="100"/>
    </w:pPr>
    <w:rPr>
      <w:szCs w:val="20"/>
    </w:rPr>
  </w:style>
  <w:style w:type="table" w:styleId="23">
    <w:name w:val="Table Grid"/>
    <w:basedOn w:val="2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5">
    <w:name w:val="Strong"/>
    <w:qFormat/>
    <w:uiPriority w:val="22"/>
    <w:rPr>
      <w:b/>
      <w:bCs/>
    </w:rPr>
  </w:style>
  <w:style w:type="character" w:styleId="26">
    <w:name w:val="page number"/>
    <w:basedOn w:val="24"/>
    <w:qFormat/>
    <w:uiPriority w:val="0"/>
  </w:style>
  <w:style w:type="character" w:styleId="27">
    <w:name w:val="annotation reference"/>
    <w:basedOn w:val="24"/>
    <w:unhideWhenUsed/>
    <w:qFormat/>
    <w:uiPriority w:val="0"/>
    <w:rPr>
      <w:sz w:val="21"/>
      <w:szCs w:val="21"/>
    </w:rPr>
  </w:style>
  <w:style w:type="character" w:customStyle="1" w:styleId="28">
    <w:name w:val="纯文本 Char"/>
    <w:link w:val="15"/>
    <w:qFormat/>
    <w:uiPriority w:val="0"/>
    <w:rPr>
      <w:rFonts w:ascii="宋体" w:hAnsi="Courier New"/>
      <w:kern w:val="2"/>
      <w:sz w:val="21"/>
    </w:rPr>
  </w:style>
  <w:style w:type="character" w:customStyle="1" w:styleId="29">
    <w:name w:val="文档结构图 Char"/>
    <w:link w:val="13"/>
    <w:qFormat/>
    <w:uiPriority w:val="0"/>
    <w:rPr>
      <w:rFonts w:ascii="宋体"/>
      <w:kern w:val="2"/>
      <w:sz w:val="18"/>
      <w:szCs w:val="18"/>
    </w:rPr>
  </w:style>
  <w:style w:type="character" w:customStyle="1" w:styleId="30">
    <w:name w:val="页脚 Char"/>
    <w:link w:val="17"/>
    <w:qFormat/>
    <w:locked/>
    <w:uiPriority w:val="99"/>
    <w:rPr>
      <w:kern w:val="2"/>
      <w:sz w:val="18"/>
      <w:szCs w:val="18"/>
    </w:rPr>
  </w:style>
  <w:style w:type="character" w:customStyle="1" w:styleId="31">
    <w:name w:val="页眉 Char"/>
    <w:link w:val="18"/>
    <w:qFormat/>
    <w:uiPriority w:val="99"/>
    <w:rPr>
      <w:kern w:val="2"/>
      <w:sz w:val="18"/>
      <w:szCs w:val="18"/>
    </w:rPr>
  </w:style>
  <w:style w:type="character" w:customStyle="1" w:styleId="32">
    <w:name w:val="普通文字 Char Char"/>
    <w:qFormat/>
    <w:uiPriority w:val="0"/>
    <w:rPr>
      <w:rFonts w:ascii="宋体" w:hAnsi="Courier New" w:eastAsia="宋体" w:cs="Times New Roman"/>
      <w:szCs w:val="20"/>
    </w:rPr>
  </w:style>
  <w:style w:type="paragraph" w:customStyle="1" w:styleId="33">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4">
    <w:name w:val="纯文本1"/>
    <w:basedOn w:val="1"/>
    <w:qFormat/>
    <w:uiPriority w:val="0"/>
    <w:pPr>
      <w:adjustRightInd w:val="0"/>
      <w:textAlignment w:val="baseline"/>
    </w:pPr>
    <w:rPr>
      <w:rFonts w:ascii="宋体"/>
      <w:kern w:val="0"/>
      <w:sz w:val="24"/>
      <w:szCs w:val="20"/>
    </w:rPr>
  </w:style>
  <w:style w:type="paragraph" w:customStyle="1" w:styleId="35">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
    <w:name w:val="List Paragraph"/>
    <w:basedOn w:val="1"/>
    <w:qFormat/>
    <w:uiPriority w:val="99"/>
    <w:pPr>
      <w:ind w:firstLine="420" w:firstLineChars="200"/>
    </w:pPr>
    <w:rPr>
      <w:rFonts w:ascii="Calibri" w:hAnsi="Calibri"/>
      <w:szCs w:val="22"/>
    </w:rPr>
  </w:style>
  <w:style w:type="paragraph" w:customStyle="1" w:styleId="3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8">
    <w:name w:val="批注文字 Char"/>
    <w:basedOn w:val="24"/>
    <w:link w:val="14"/>
    <w:semiHidden/>
    <w:qFormat/>
    <w:uiPriority w:val="0"/>
    <w:rPr>
      <w:kern w:val="2"/>
      <w:sz w:val="21"/>
      <w:szCs w:val="24"/>
    </w:rPr>
  </w:style>
  <w:style w:type="character" w:customStyle="1" w:styleId="39">
    <w:name w:val="批注主题 Char"/>
    <w:basedOn w:val="38"/>
    <w:link w:val="20"/>
    <w:semiHidden/>
    <w:qFormat/>
    <w:uiPriority w:val="0"/>
    <w:rPr>
      <w:b/>
      <w:bCs/>
      <w:kern w:val="2"/>
      <w:sz w:val="21"/>
      <w:szCs w:val="24"/>
    </w:rPr>
  </w:style>
  <w:style w:type="paragraph" w:customStyle="1" w:styleId="40">
    <w:name w:val="CM284"/>
    <w:basedOn w:val="1"/>
    <w:next w:val="1"/>
    <w:qFormat/>
    <w:uiPriority w:val="99"/>
    <w:pPr>
      <w:autoSpaceDE w:val="0"/>
      <w:autoSpaceDN w:val="0"/>
      <w:adjustRightInd w:val="0"/>
      <w:jc w:val="left"/>
    </w:pPr>
    <w:rPr>
      <w:rFonts w:ascii="FZHei-B01" w:hAnsi="Calibri" w:eastAsia="FZHei-B01" w:cs="FZHei-B01"/>
      <w:kern w:val="0"/>
      <w:sz w:val="24"/>
    </w:rPr>
  </w:style>
  <w:style w:type="character" w:customStyle="1" w:styleId="41">
    <w:name w:val="font41"/>
    <w:basedOn w:val="24"/>
    <w:qFormat/>
    <w:uiPriority w:val="0"/>
    <w:rPr>
      <w:rFonts w:hint="eastAsia" w:ascii="仿宋" w:hAnsi="仿宋" w:eastAsia="仿宋" w:cs="仿宋"/>
      <w:color w:val="000000"/>
      <w:sz w:val="20"/>
      <w:szCs w:val="20"/>
      <w:u w:val="none"/>
    </w:rPr>
  </w:style>
  <w:style w:type="paragraph" w:customStyle="1" w:styleId="42">
    <w:name w:val="二级无标题条"/>
    <w:basedOn w:val="43"/>
    <w:qFormat/>
    <w:uiPriority w:val="0"/>
    <w:pPr>
      <w:tabs>
        <w:tab w:val="left" w:pos="360"/>
        <w:tab w:val="left" w:pos="420"/>
        <w:tab w:val="left" w:pos="525"/>
      </w:tabs>
    </w:pPr>
  </w:style>
  <w:style w:type="paragraph" w:customStyle="1" w:styleId="43">
    <w:name w:val="二级条标题"/>
    <w:basedOn w:val="44"/>
    <w:next w:val="46"/>
    <w:qFormat/>
    <w:uiPriority w:val="0"/>
    <w:pPr>
      <w:numPr>
        <w:ilvl w:val="3"/>
      </w:numPr>
      <w:tabs>
        <w:tab w:val="left" w:pos="360"/>
        <w:tab w:val="left" w:pos="420"/>
        <w:tab w:val="left" w:pos="525"/>
      </w:tabs>
      <w:outlineLvl w:val="3"/>
    </w:pPr>
  </w:style>
  <w:style w:type="paragraph" w:customStyle="1" w:styleId="44">
    <w:name w:val="一级条标题"/>
    <w:basedOn w:val="45"/>
    <w:next w:val="46"/>
    <w:qFormat/>
    <w:uiPriority w:val="0"/>
    <w:pPr>
      <w:numPr>
        <w:ilvl w:val="2"/>
      </w:numPr>
      <w:tabs>
        <w:tab w:val="left" w:pos="360"/>
        <w:tab w:val="left" w:pos="420"/>
        <w:tab w:val="left" w:pos="525"/>
      </w:tabs>
      <w:spacing w:before="0" w:after="0"/>
      <w:outlineLvl w:val="2"/>
    </w:pPr>
    <w:rPr>
      <w:rFonts w:ascii="宋体" w:hAnsi="宋体" w:eastAsia="宋体"/>
    </w:rPr>
  </w:style>
  <w:style w:type="paragraph" w:customStyle="1" w:styleId="45">
    <w:name w:val="章标题"/>
    <w:next w:val="1"/>
    <w:qFormat/>
    <w:uiPriority w:val="0"/>
    <w:pPr>
      <w:numPr>
        <w:ilvl w:val="1"/>
        <w:numId w:val="1"/>
      </w:numPr>
      <w:tabs>
        <w:tab w:val="left" w:pos="420"/>
      </w:tabs>
      <w:spacing w:before="120" w:after="120" w:line="360" w:lineRule="auto"/>
      <w:jc w:val="both"/>
      <w:outlineLvl w:val="1"/>
    </w:pPr>
    <w:rPr>
      <w:rFonts w:ascii="黑体" w:hAnsi="Times New Roman" w:eastAsia="黑体" w:cs="Times New Roman"/>
      <w:sz w:val="24"/>
      <w:lang w:val="en-US" w:eastAsia="zh-CN" w:bidi="ar-SA"/>
    </w:rPr>
  </w:style>
  <w:style w:type="paragraph" w:customStyle="1" w:styleId="4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微软中国</Company>
  <Pages>32</Pages>
  <Words>2944</Words>
  <Characters>3121</Characters>
  <Lines>1</Lines>
  <Paragraphs>1</Paragraphs>
  <TotalTime>8</TotalTime>
  <ScaleCrop>false</ScaleCrop>
  <LinksUpToDate>false</LinksUpToDate>
  <CharactersWithSpaces>5934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2017-06-29T21:35:00Z</dcterms:created>
  <dc:creator>chenweiguo</dc:creator>
  <cp:lastModifiedBy>邹兴德</cp:lastModifiedBy>
  <cp:lastPrinted>2017-06-29T11:05:00Z</cp:lastPrinted>
  <dcterms:modified xsi:type="dcterms:W3CDTF">2026-05-12T02:21:30Z</dcterms:modified>
  <dc:title>安全协议书</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5A61EE65CFFB4656B72F82828CF9E72D</vt:lpwstr>
  </property>
</Properties>
</file>