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883ED1">
      <w:pPr>
        <w:jc w:val="left"/>
        <w:rPr>
          <w:rFonts w:hint="eastAsia"/>
          <w:b/>
          <w:bCs/>
          <w:sz w:val="24"/>
          <w:szCs w:val="24"/>
          <w:lang w:val="en-US" w:eastAsia="zh-CN"/>
        </w:rPr>
      </w:pPr>
      <w:bookmarkStart w:id="0" w:name="_GoBack"/>
      <w:bookmarkEnd w:id="0"/>
      <w:r>
        <w:rPr>
          <w:rFonts w:hint="eastAsia"/>
          <w:b/>
          <w:bCs/>
          <w:sz w:val="24"/>
          <w:szCs w:val="24"/>
          <w:lang w:val="en-US" w:eastAsia="zh-CN"/>
        </w:rPr>
        <w:t>附件：</w:t>
      </w:r>
    </w:p>
    <w:p w14:paraId="448D3400">
      <w:pPr>
        <w:jc w:val="center"/>
        <w:rPr>
          <w:rFonts w:hint="eastAsia"/>
          <w:b/>
          <w:bCs/>
          <w:sz w:val="32"/>
          <w:szCs w:val="36"/>
          <w:lang w:val="en-US" w:eastAsia="zh-CN"/>
        </w:rPr>
      </w:pPr>
      <w:r>
        <w:rPr>
          <w:rFonts w:hint="eastAsia"/>
          <w:b/>
          <w:bCs/>
          <w:sz w:val="32"/>
          <w:szCs w:val="36"/>
          <w:lang w:val="en-US" w:eastAsia="zh-CN"/>
        </w:rPr>
        <w:t>报价表</w:t>
      </w:r>
    </w:p>
    <w:p w14:paraId="4C830382">
      <w:pPr>
        <w:jc w:val="center"/>
      </w:pPr>
      <w:r>
        <w:rPr>
          <w:rFonts w:hint="eastAsia" w:ascii="宋体" w:hAnsi="宋体" w:eastAsia="宋体" w:cs="宋体"/>
          <w:b/>
          <w:bCs/>
          <w:sz w:val="22"/>
          <w:szCs w:val="22"/>
          <w:highlight w:val="none"/>
          <w:lang w:val="en-US" w:eastAsia="zh-CN"/>
        </w:rPr>
        <w:t>标的</w:t>
      </w:r>
      <w:r>
        <w:rPr>
          <w:rFonts w:hint="eastAsia" w:ascii="宋体" w:hAnsi="宋体" w:cs="宋体"/>
          <w:b/>
          <w:bCs/>
          <w:sz w:val="22"/>
          <w:szCs w:val="22"/>
          <w:highlight w:val="none"/>
          <w:lang w:val="en-US" w:eastAsia="zh-CN"/>
        </w:rPr>
        <w:t>名称：标的8</w:t>
      </w:r>
      <w:r>
        <w:rPr>
          <w:rFonts w:hint="eastAsia" w:ascii="宋体" w:hAnsi="宋体" w:eastAsia="宋体" w:cs="宋体"/>
          <w:b/>
          <w:bCs/>
          <w:sz w:val="22"/>
          <w:szCs w:val="22"/>
          <w:highlight w:val="none"/>
          <w:lang w:val="en-US" w:eastAsia="zh-CN"/>
        </w:rPr>
        <w:t>面向超充电站的储能系统规划配置、主动支撑控制与集成示范技术研究开发服务</w:t>
      </w:r>
    </w:p>
    <w:p w14:paraId="062318DC">
      <w:pPr>
        <w:pStyle w:val="2"/>
      </w:pPr>
    </w:p>
    <w:tbl>
      <w:tblPr>
        <w:tblStyle w:val="3"/>
        <w:tblW w:w="9926" w:type="dxa"/>
        <w:tblInd w:w="-7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969"/>
        <w:gridCol w:w="1476"/>
        <w:gridCol w:w="1433"/>
        <w:gridCol w:w="817"/>
        <w:gridCol w:w="1583"/>
        <w:gridCol w:w="2103"/>
      </w:tblGrid>
      <w:tr w14:paraId="12EB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2514" w:type="dxa"/>
            <w:gridSpan w:val="2"/>
            <w:noWrap w:val="0"/>
            <w:vAlign w:val="center"/>
          </w:tcPr>
          <w:p w14:paraId="52B84777">
            <w:pPr>
              <w:jc w:val="center"/>
              <w:rPr>
                <w:rFonts w:hint="eastAsia" w:ascii="宋体" w:hAnsi="宋体" w:cs="宋体"/>
                <w:b/>
                <w:bCs/>
                <w:sz w:val="21"/>
                <w:szCs w:val="21"/>
              </w:rPr>
            </w:pPr>
            <w:r>
              <w:rPr>
                <w:rFonts w:hint="eastAsia" w:ascii="宋体" w:hAnsi="宋体" w:cs="宋体"/>
                <w:b/>
                <w:bCs/>
                <w:sz w:val="21"/>
                <w:szCs w:val="21"/>
                <w:lang w:val="en-US" w:eastAsia="zh-CN"/>
              </w:rPr>
              <w:t>费用</w:t>
            </w:r>
            <w:r>
              <w:rPr>
                <w:rFonts w:hint="eastAsia" w:ascii="宋体" w:hAnsi="宋体" w:cs="宋体"/>
                <w:b/>
                <w:bCs/>
                <w:sz w:val="21"/>
                <w:szCs w:val="21"/>
              </w:rPr>
              <w:t>科目</w:t>
            </w:r>
          </w:p>
        </w:tc>
        <w:tc>
          <w:tcPr>
            <w:tcW w:w="1476" w:type="dxa"/>
            <w:noWrap w:val="0"/>
            <w:vAlign w:val="center"/>
          </w:tcPr>
          <w:p w14:paraId="1370C76A">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含税</w:t>
            </w:r>
          </w:p>
          <w:p w14:paraId="3AC71DA6">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限价</w:t>
            </w:r>
          </w:p>
          <w:p w14:paraId="7AC37C63">
            <w:pPr>
              <w:jc w:val="center"/>
              <w:rPr>
                <w:rFonts w:hint="eastAsia" w:ascii="宋体" w:hAnsi="宋体" w:cs="宋体"/>
                <w:b/>
                <w:bCs/>
                <w:sz w:val="21"/>
                <w:szCs w:val="21"/>
                <w:highlight w:val="none"/>
              </w:rPr>
            </w:pP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元</w:t>
            </w:r>
            <w:r>
              <w:rPr>
                <w:rFonts w:hint="eastAsia" w:ascii="宋体" w:hAnsi="宋体" w:cs="宋体"/>
                <w:b/>
                <w:bCs/>
                <w:sz w:val="21"/>
                <w:szCs w:val="21"/>
                <w:highlight w:val="none"/>
              </w:rPr>
              <w:t>）</w:t>
            </w:r>
          </w:p>
        </w:tc>
        <w:tc>
          <w:tcPr>
            <w:tcW w:w="1433" w:type="dxa"/>
            <w:noWrap w:val="0"/>
            <w:vAlign w:val="center"/>
          </w:tcPr>
          <w:p w14:paraId="083F1D87">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含税报价</w:t>
            </w:r>
          </w:p>
          <w:p w14:paraId="0FE54572">
            <w:pPr>
              <w:jc w:val="center"/>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（元，四舍五入保留2位小数）</w:t>
            </w:r>
          </w:p>
        </w:tc>
        <w:tc>
          <w:tcPr>
            <w:tcW w:w="817" w:type="dxa"/>
            <w:noWrap w:val="0"/>
            <w:vAlign w:val="center"/>
          </w:tcPr>
          <w:p w14:paraId="7B5556C3">
            <w:pPr>
              <w:jc w:val="center"/>
              <w:rPr>
                <w:rFonts w:hint="default"/>
                <w:lang w:val="en-US" w:eastAsia="zh-CN"/>
              </w:rPr>
            </w:pPr>
            <w:r>
              <w:rPr>
                <w:rFonts w:hint="eastAsia" w:ascii="宋体" w:hAnsi="宋体" w:cs="宋体"/>
                <w:b/>
                <w:bCs/>
                <w:sz w:val="21"/>
                <w:szCs w:val="21"/>
                <w:lang w:val="en-US" w:eastAsia="zh-CN"/>
              </w:rPr>
              <w:t>增值税税率（%）</w:t>
            </w:r>
          </w:p>
        </w:tc>
        <w:tc>
          <w:tcPr>
            <w:tcW w:w="1583" w:type="dxa"/>
            <w:noWrap w:val="0"/>
            <w:vAlign w:val="center"/>
          </w:tcPr>
          <w:p w14:paraId="55763557">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不含税</w:t>
            </w:r>
          </w:p>
          <w:p w14:paraId="56AB6DF2">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报价</w:t>
            </w:r>
          </w:p>
          <w:p w14:paraId="3FFCE197">
            <w:pPr>
              <w:jc w:val="center"/>
              <w:rPr>
                <w:rFonts w:hint="eastAsia" w:ascii="宋体" w:hAnsi="宋体" w:cs="宋体"/>
                <w:b/>
                <w:bCs/>
                <w:sz w:val="21"/>
                <w:szCs w:val="21"/>
                <w:lang w:val="en-US" w:eastAsia="zh-CN"/>
              </w:rPr>
            </w:pPr>
            <w:r>
              <w:rPr>
                <w:rFonts w:hint="eastAsia" w:ascii="宋体" w:hAnsi="宋体" w:cs="宋体"/>
                <w:b/>
                <w:bCs/>
                <w:sz w:val="21"/>
                <w:szCs w:val="21"/>
                <w:highlight w:val="none"/>
                <w:lang w:val="en-US" w:eastAsia="zh-CN"/>
              </w:rPr>
              <w:t>（元，四舍五入保留2位小数）</w:t>
            </w:r>
          </w:p>
        </w:tc>
        <w:tc>
          <w:tcPr>
            <w:tcW w:w="2103" w:type="dxa"/>
            <w:noWrap w:val="0"/>
            <w:vAlign w:val="center"/>
          </w:tcPr>
          <w:p w14:paraId="4906B7E5">
            <w:pPr>
              <w:jc w:val="cente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备注（投标方不需填写）</w:t>
            </w:r>
          </w:p>
        </w:tc>
      </w:tr>
      <w:tr w14:paraId="3B27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545" w:type="dxa"/>
            <w:vMerge w:val="restart"/>
            <w:noWrap w:val="0"/>
            <w:vAlign w:val="center"/>
          </w:tcPr>
          <w:p w14:paraId="3188F840">
            <w:pPr>
              <w:jc w:val="center"/>
              <w:rPr>
                <w:rFonts w:hint="default" w:ascii="宋体" w:hAnsi="宋体" w:eastAsia="宋体" w:cs="宋体"/>
                <w:sz w:val="21"/>
                <w:szCs w:val="21"/>
                <w:lang w:val="en-US" w:eastAsia="zh-CN"/>
              </w:rPr>
            </w:pPr>
            <w:r>
              <w:rPr>
                <w:rFonts w:hint="eastAsia" w:ascii="宋体" w:hAnsi="宋体" w:cs="宋体"/>
                <w:b/>
                <w:bCs/>
                <w:sz w:val="21"/>
                <w:szCs w:val="21"/>
                <w:lang w:val="en-US" w:eastAsia="zh-CN"/>
              </w:rPr>
              <w:t>成本性</w:t>
            </w:r>
          </w:p>
        </w:tc>
        <w:tc>
          <w:tcPr>
            <w:tcW w:w="1969" w:type="dxa"/>
            <w:noWrap w:val="0"/>
            <w:vAlign w:val="center"/>
          </w:tcPr>
          <w:p w14:paraId="61521D3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1、人工费</w:t>
            </w:r>
          </w:p>
        </w:tc>
        <w:tc>
          <w:tcPr>
            <w:tcW w:w="1476" w:type="dxa"/>
            <w:noWrap w:val="0"/>
            <w:vAlign w:val="center"/>
          </w:tcPr>
          <w:p w14:paraId="603D0258">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140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0</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559285F6">
            <w:pPr>
              <w:jc w:val="left"/>
              <w:rPr>
                <w:rFonts w:hint="eastAsia" w:ascii="宋体" w:hAnsi="宋体" w:cs="宋体"/>
                <w:sz w:val="21"/>
                <w:szCs w:val="21"/>
              </w:rPr>
            </w:pPr>
          </w:p>
        </w:tc>
        <w:tc>
          <w:tcPr>
            <w:tcW w:w="817" w:type="dxa"/>
            <w:noWrap w:val="0"/>
            <w:vAlign w:val="top"/>
          </w:tcPr>
          <w:p w14:paraId="682C2D68">
            <w:pPr>
              <w:keepNext w:val="0"/>
              <w:keepLines w:val="0"/>
              <w:pageBreakBefore w:val="0"/>
              <w:widowControl w:val="0"/>
              <w:kinsoku/>
              <w:wordWrap/>
              <w:overflowPunct/>
              <w:topLinePunct w:val="0"/>
              <w:autoSpaceDE/>
              <w:autoSpaceDN/>
              <w:bidi w:val="0"/>
              <w:adjustRightInd w:val="0"/>
              <w:snapToGrid w:val="0"/>
              <w:spacing w:line="240" w:lineRule="auto"/>
              <w:ind w:left="0" w:firstLine="0"/>
              <w:jc w:val="center"/>
              <w:textAlignment w:val="auto"/>
              <w:rPr>
                <w:rFonts w:hint="default" w:ascii="宋体" w:hAnsi="宋体" w:eastAsia="宋体" w:cs="宋体"/>
                <w:sz w:val="21"/>
                <w:szCs w:val="21"/>
                <w:lang w:val="en-US" w:eastAsia="zh-CN"/>
              </w:rPr>
            </w:pPr>
          </w:p>
        </w:tc>
        <w:tc>
          <w:tcPr>
            <w:tcW w:w="1583" w:type="dxa"/>
            <w:noWrap w:val="0"/>
            <w:vAlign w:val="top"/>
          </w:tcPr>
          <w:p w14:paraId="31D1B996">
            <w:pPr>
              <w:keepNext w:val="0"/>
              <w:keepLines w:val="0"/>
              <w:pageBreakBefore w:val="0"/>
              <w:widowControl w:val="0"/>
              <w:kinsoku/>
              <w:wordWrap/>
              <w:overflowPunct/>
              <w:topLinePunct w:val="0"/>
              <w:autoSpaceDE/>
              <w:autoSpaceDN/>
              <w:bidi w:val="0"/>
              <w:adjustRightInd w:val="0"/>
              <w:snapToGrid w:val="0"/>
              <w:spacing w:line="240" w:lineRule="auto"/>
              <w:ind w:left="0" w:firstLine="0"/>
              <w:textAlignment w:val="auto"/>
              <w:rPr>
                <w:rFonts w:hint="eastAsia" w:ascii="宋体" w:hAnsi="宋体" w:eastAsia="宋体" w:cs="宋体"/>
                <w:sz w:val="21"/>
                <w:szCs w:val="21"/>
                <w:lang w:val="en-US" w:eastAsia="zh-CN"/>
              </w:rPr>
            </w:pPr>
          </w:p>
        </w:tc>
        <w:tc>
          <w:tcPr>
            <w:tcW w:w="2103" w:type="dxa"/>
            <w:vMerge w:val="restart"/>
            <w:noWrap w:val="0"/>
            <w:vAlign w:val="center"/>
          </w:tcPr>
          <w:p w14:paraId="091FBB0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both"/>
              <w:textAlignment w:val="auto"/>
              <w:rPr>
                <w:rFonts w:hint="eastAsia"/>
                <w:sz w:val="20"/>
                <w:szCs w:val="20"/>
                <w:lang w:val="en-US" w:eastAsia="zh-CN"/>
              </w:rPr>
            </w:pPr>
            <w:r>
              <w:rPr>
                <w:rFonts w:hint="eastAsia"/>
                <w:sz w:val="20"/>
                <w:szCs w:val="20"/>
                <w:lang w:val="en-US" w:eastAsia="zh-CN"/>
              </w:rPr>
              <w:t>1.不含税报价=含税报价/（1+增值税税率）；</w:t>
            </w:r>
          </w:p>
          <w:p w14:paraId="60A7608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both"/>
              <w:textAlignment w:val="auto"/>
              <w:rPr>
                <w:rFonts w:hint="eastAsia" w:ascii="宋体" w:hAnsi="宋体" w:eastAsia="宋体" w:cs="宋体"/>
                <w:sz w:val="20"/>
                <w:szCs w:val="20"/>
                <w:lang w:val="en-US" w:eastAsia="zh-CN"/>
              </w:rPr>
            </w:pPr>
            <w:r>
              <w:rPr>
                <w:rFonts w:hint="eastAsia"/>
                <w:sz w:val="20"/>
                <w:szCs w:val="20"/>
                <w:lang w:val="en-US" w:eastAsia="zh-CN"/>
              </w:rPr>
              <w:t>2.人工费</w:t>
            </w:r>
            <w:r>
              <w:rPr>
                <w:rFonts w:hint="eastAsia" w:ascii="宋体" w:hAnsi="宋体" w:eastAsia="宋体" w:cs="宋体"/>
                <w:sz w:val="20"/>
                <w:szCs w:val="20"/>
                <w:lang w:val="en-US" w:eastAsia="zh-CN"/>
              </w:rPr>
              <w:t>限价说明：投入高级研究人员（主要为副教授、副研究员、高级工程师及以上级别研究人员）至少24人月，投入其他研究人员（含中初级研究人员、技术工人等其他研究人员）至少12人月。</w:t>
            </w:r>
          </w:p>
          <w:p w14:paraId="7CB1B6C3">
            <w:pPr>
              <w:jc w:val="both"/>
              <w:rPr>
                <w:rFonts w:hint="default"/>
                <w:sz w:val="20"/>
                <w:szCs w:val="20"/>
                <w:lang w:val="en-US" w:eastAsia="zh-CN"/>
              </w:rPr>
            </w:pPr>
            <w:r>
              <w:rPr>
                <w:rFonts w:hint="eastAsia" w:cs="Times New Roman"/>
                <w:color w:val="FF0000"/>
                <w:kern w:val="2"/>
                <w:sz w:val="20"/>
                <w:szCs w:val="20"/>
                <w:lang w:val="en-US" w:eastAsia="zh-CN" w:bidi="ar-SA"/>
              </w:rPr>
              <w:t>3.费用性税率为6%，如有其他税率情况请提供相应税率优惠佐证（例如国家/地方电子税局内纳税人信息截图、税务机关出具的文件、国家税率优惠相关政策文件）</w:t>
            </w:r>
          </w:p>
        </w:tc>
      </w:tr>
      <w:tr w14:paraId="0471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23" w:hRule="atLeast"/>
        </w:trPr>
        <w:tc>
          <w:tcPr>
            <w:tcW w:w="545" w:type="dxa"/>
            <w:vMerge w:val="continue"/>
            <w:noWrap w:val="0"/>
            <w:vAlign w:val="top"/>
          </w:tcPr>
          <w:p w14:paraId="3CF5AAEF">
            <w:pPr>
              <w:rPr>
                <w:rFonts w:hint="eastAsia" w:ascii="宋体" w:hAnsi="宋体" w:cs="宋体"/>
                <w:sz w:val="21"/>
                <w:szCs w:val="21"/>
              </w:rPr>
            </w:pPr>
          </w:p>
        </w:tc>
        <w:tc>
          <w:tcPr>
            <w:tcW w:w="1969" w:type="dxa"/>
            <w:noWrap w:val="0"/>
            <w:vAlign w:val="center"/>
          </w:tcPr>
          <w:p w14:paraId="6C19B02A">
            <w:pP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、测试化验加工费</w:t>
            </w:r>
          </w:p>
        </w:tc>
        <w:tc>
          <w:tcPr>
            <w:tcW w:w="1476" w:type="dxa"/>
            <w:noWrap w:val="0"/>
            <w:vAlign w:val="center"/>
          </w:tcPr>
          <w:p w14:paraId="02EA7AA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0</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3F289893">
            <w:pPr>
              <w:jc w:val="center"/>
              <w:rPr>
                <w:rFonts w:hint="eastAsia" w:ascii="宋体" w:hAnsi="宋体" w:cs="宋体"/>
                <w:sz w:val="21"/>
                <w:szCs w:val="21"/>
              </w:rPr>
            </w:pPr>
          </w:p>
        </w:tc>
        <w:tc>
          <w:tcPr>
            <w:tcW w:w="817" w:type="dxa"/>
            <w:noWrap w:val="0"/>
            <w:vAlign w:val="top"/>
          </w:tcPr>
          <w:p w14:paraId="6253B385">
            <w:pPr>
              <w:rPr>
                <w:rFonts w:hint="eastAsia" w:ascii="宋体" w:hAnsi="宋体" w:cs="宋体"/>
                <w:sz w:val="21"/>
                <w:szCs w:val="21"/>
              </w:rPr>
            </w:pPr>
          </w:p>
        </w:tc>
        <w:tc>
          <w:tcPr>
            <w:tcW w:w="1583" w:type="dxa"/>
            <w:noWrap w:val="0"/>
            <w:vAlign w:val="top"/>
          </w:tcPr>
          <w:p w14:paraId="45999570">
            <w:pPr>
              <w:rPr>
                <w:rFonts w:hint="eastAsia" w:ascii="宋体" w:hAnsi="宋体" w:cs="宋体"/>
                <w:sz w:val="21"/>
                <w:szCs w:val="21"/>
              </w:rPr>
            </w:pPr>
          </w:p>
        </w:tc>
        <w:tc>
          <w:tcPr>
            <w:tcW w:w="2103" w:type="dxa"/>
            <w:vMerge w:val="continue"/>
            <w:noWrap w:val="0"/>
            <w:vAlign w:val="top"/>
          </w:tcPr>
          <w:p w14:paraId="4CECAE8A">
            <w:pPr>
              <w:rPr>
                <w:rFonts w:hint="eastAsia" w:ascii="宋体" w:hAnsi="宋体" w:cs="宋体"/>
                <w:sz w:val="20"/>
                <w:szCs w:val="20"/>
              </w:rPr>
            </w:pPr>
          </w:p>
        </w:tc>
      </w:tr>
      <w:tr w14:paraId="697C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trPr>
        <w:tc>
          <w:tcPr>
            <w:tcW w:w="545" w:type="dxa"/>
            <w:vMerge w:val="continue"/>
            <w:noWrap w:val="0"/>
            <w:vAlign w:val="top"/>
          </w:tcPr>
          <w:p w14:paraId="154F5074">
            <w:pPr>
              <w:rPr>
                <w:rFonts w:hint="eastAsia" w:ascii="宋体" w:hAnsi="宋体" w:cs="宋体"/>
                <w:sz w:val="21"/>
                <w:szCs w:val="21"/>
              </w:rPr>
            </w:pPr>
          </w:p>
        </w:tc>
        <w:tc>
          <w:tcPr>
            <w:tcW w:w="1969" w:type="dxa"/>
            <w:noWrap w:val="0"/>
            <w:vAlign w:val="center"/>
          </w:tcPr>
          <w:p w14:paraId="49AF01B0">
            <w:pPr>
              <w:rPr>
                <w:rFonts w:hint="default"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装备调试费</w:t>
            </w:r>
          </w:p>
        </w:tc>
        <w:tc>
          <w:tcPr>
            <w:tcW w:w="1476" w:type="dxa"/>
            <w:noWrap w:val="0"/>
            <w:vAlign w:val="center"/>
          </w:tcPr>
          <w:p w14:paraId="53DD97A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val="0"/>
                <w:bCs w:val="0"/>
                <w:i w:val="0"/>
                <w:iCs w:val="0"/>
                <w:color w:val="auto"/>
                <w:kern w:val="0"/>
                <w:sz w:val="22"/>
                <w:szCs w:val="22"/>
                <w:u w:val="none"/>
                <w:lang w:val="en-US" w:eastAsia="zh-CN" w:bidi="ar"/>
              </w:rPr>
              <w:t>786</w:t>
            </w:r>
            <w:r>
              <w:rPr>
                <w:rFonts w:hint="eastAsia" w:ascii="宋体" w:hAnsi="宋体" w:cs="宋体"/>
                <w:b w:val="0"/>
                <w:bCs w:val="0"/>
                <w:i w:val="0"/>
                <w:iCs w:val="0"/>
                <w:color w:val="auto"/>
                <w:kern w:val="0"/>
                <w:sz w:val="22"/>
                <w:szCs w:val="22"/>
                <w:u w:val="none"/>
                <w:lang w:val="en-US" w:eastAsia="zh-CN" w:bidi="ar"/>
              </w:rPr>
              <w:t>,</w:t>
            </w:r>
            <w:r>
              <w:rPr>
                <w:rFonts w:hint="eastAsia" w:ascii="宋体" w:hAnsi="宋体" w:eastAsia="宋体" w:cs="宋体"/>
                <w:b w:val="0"/>
                <w:bCs w:val="0"/>
                <w:i w:val="0"/>
                <w:iCs w:val="0"/>
                <w:color w:val="auto"/>
                <w:kern w:val="0"/>
                <w:sz w:val="22"/>
                <w:szCs w:val="22"/>
                <w:u w:val="none"/>
                <w:lang w:val="en-US" w:eastAsia="zh-CN" w:bidi="ar"/>
              </w:rPr>
              <w:t>25</w:t>
            </w:r>
            <w:r>
              <w:rPr>
                <w:rFonts w:hint="eastAsia" w:ascii="宋体" w:hAnsi="宋体" w:cs="宋体"/>
                <w:b w:val="0"/>
                <w:bCs w:val="0"/>
                <w:i w:val="0"/>
                <w:iCs w:val="0"/>
                <w:color w:val="auto"/>
                <w:kern w:val="0"/>
                <w:sz w:val="22"/>
                <w:szCs w:val="22"/>
                <w:u w:val="none"/>
                <w:lang w:val="en-US" w:eastAsia="zh-CN" w:bidi="ar"/>
              </w:rPr>
              <w:t>0.00</w:t>
            </w:r>
          </w:p>
        </w:tc>
        <w:tc>
          <w:tcPr>
            <w:tcW w:w="1433" w:type="dxa"/>
            <w:noWrap w:val="0"/>
            <w:vAlign w:val="center"/>
          </w:tcPr>
          <w:p w14:paraId="12160E62">
            <w:pPr>
              <w:jc w:val="center"/>
              <w:rPr>
                <w:rFonts w:hint="eastAsia" w:ascii="宋体" w:hAnsi="宋体" w:cs="宋体"/>
                <w:sz w:val="21"/>
                <w:szCs w:val="21"/>
              </w:rPr>
            </w:pPr>
          </w:p>
        </w:tc>
        <w:tc>
          <w:tcPr>
            <w:tcW w:w="817" w:type="dxa"/>
            <w:noWrap w:val="0"/>
            <w:vAlign w:val="center"/>
          </w:tcPr>
          <w:p w14:paraId="70CE37BF">
            <w:pPr>
              <w:rPr>
                <w:rFonts w:hint="eastAsia" w:ascii="宋体" w:hAnsi="宋体" w:cs="宋体"/>
                <w:sz w:val="21"/>
                <w:szCs w:val="21"/>
              </w:rPr>
            </w:pPr>
          </w:p>
        </w:tc>
        <w:tc>
          <w:tcPr>
            <w:tcW w:w="1583" w:type="dxa"/>
            <w:noWrap w:val="0"/>
            <w:vAlign w:val="center"/>
          </w:tcPr>
          <w:p w14:paraId="57978529">
            <w:pPr>
              <w:rPr>
                <w:rFonts w:hint="eastAsia" w:ascii="宋体" w:hAnsi="宋体" w:cs="宋体"/>
                <w:sz w:val="21"/>
                <w:szCs w:val="21"/>
              </w:rPr>
            </w:pPr>
          </w:p>
        </w:tc>
        <w:tc>
          <w:tcPr>
            <w:tcW w:w="2103" w:type="dxa"/>
            <w:vMerge w:val="continue"/>
            <w:noWrap w:val="0"/>
            <w:vAlign w:val="center"/>
          </w:tcPr>
          <w:p w14:paraId="6B570E42">
            <w:pPr>
              <w:rPr>
                <w:rFonts w:hint="eastAsia" w:ascii="宋体" w:hAnsi="宋体" w:cs="宋体"/>
                <w:sz w:val="20"/>
                <w:szCs w:val="20"/>
              </w:rPr>
            </w:pPr>
          </w:p>
        </w:tc>
      </w:tr>
      <w:tr w14:paraId="62DA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545" w:type="dxa"/>
            <w:vMerge w:val="continue"/>
            <w:noWrap w:val="0"/>
            <w:vAlign w:val="top"/>
          </w:tcPr>
          <w:p w14:paraId="0C9B6C67">
            <w:pPr>
              <w:rPr>
                <w:rFonts w:hint="eastAsia" w:ascii="宋体" w:hAnsi="宋体" w:cs="宋体"/>
                <w:sz w:val="21"/>
                <w:szCs w:val="21"/>
              </w:rPr>
            </w:pPr>
          </w:p>
        </w:tc>
        <w:tc>
          <w:tcPr>
            <w:tcW w:w="1969" w:type="dxa"/>
            <w:noWrap w:val="0"/>
            <w:vAlign w:val="center"/>
          </w:tcPr>
          <w:p w14:paraId="47A4CA75">
            <w:pPr>
              <w:rPr>
                <w:rFonts w:hint="eastAsia" w:ascii="宋体" w:hAnsi="宋体" w:eastAsia="宋体" w:cs="宋体"/>
                <w:sz w:val="21"/>
                <w:szCs w:val="21"/>
                <w:lang w:val="en-US" w:eastAsia="zh-CN"/>
              </w:rPr>
            </w:pPr>
            <w:r>
              <w:rPr>
                <w:rFonts w:hint="eastAsia" w:ascii="宋体" w:hAnsi="宋体" w:cs="宋体"/>
                <w:sz w:val="21"/>
                <w:szCs w:val="21"/>
                <w:lang w:val="en-US" w:eastAsia="zh-CN"/>
              </w:rPr>
              <w:t>4</w:t>
            </w:r>
            <w:r>
              <w:rPr>
                <w:rFonts w:hint="eastAsia" w:ascii="宋体" w:hAnsi="宋体" w:eastAsia="宋体" w:cs="宋体"/>
                <w:sz w:val="21"/>
                <w:szCs w:val="21"/>
                <w:lang w:val="en-US" w:eastAsia="zh-CN"/>
              </w:rPr>
              <w:t>、会议</w:t>
            </w: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差旅及国际合作交流费</w:t>
            </w:r>
          </w:p>
        </w:tc>
        <w:tc>
          <w:tcPr>
            <w:tcW w:w="1476" w:type="dxa"/>
            <w:noWrap w:val="0"/>
            <w:vAlign w:val="center"/>
          </w:tcPr>
          <w:p w14:paraId="3433F27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0</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6E2CD1E9">
            <w:pPr>
              <w:jc w:val="center"/>
              <w:rPr>
                <w:rFonts w:hint="eastAsia" w:ascii="宋体" w:hAnsi="宋体" w:cs="宋体"/>
                <w:sz w:val="21"/>
                <w:szCs w:val="21"/>
              </w:rPr>
            </w:pPr>
          </w:p>
        </w:tc>
        <w:tc>
          <w:tcPr>
            <w:tcW w:w="817" w:type="dxa"/>
            <w:noWrap w:val="0"/>
            <w:vAlign w:val="top"/>
          </w:tcPr>
          <w:p w14:paraId="1C922B44">
            <w:pPr>
              <w:rPr>
                <w:rFonts w:hint="eastAsia" w:ascii="宋体" w:hAnsi="宋体" w:cs="宋体"/>
                <w:sz w:val="21"/>
                <w:szCs w:val="21"/>
              </w:rPr>
            </w:pPr>
          </w:p>
        </w:tc>
        <w:tc>
          <w:tcPr>
            <w:tcW w:w="1583" w:type="dxa"/>
            <w:noWrap w:val="0"/>
            <w:vAlign w:val="top"/>
          </w:tcPr>
          <w:p w14:paraId="4817CBB8">
            <w:pPr>
              <w:rPr>
                <w:rFonts w:hint="eastAsia" w:ascii="宋体" w:hAnsi="宋体" w:cs="宋体"/>
                <w:sz w:val="21"/>
                <w:szCs w:val="21"/>
              </w:rPr>
            </w:pPr>
          </w:p>
        </w:tc>
        <w:tc>
          <w:tcPr>
            <w:tcW w:w="2103" w:type="dxa"/>
            <w:vMerge w:val="continue"/>
            <w:noWrap w:val="0"/>
            <w:vAlign w:val="top"/>
          </w:tcPr>
          <w:p w14:paraId="625B1620">
            <w:pPr>
              <w:rPr>
                <w:rFonts w:hint="eastAsia" w:ascii="宋体" w:hAnsi="宋体" w:eastAsia="宋体" w:cs="宋体"/>
                <w:sz w:val="20"/>
                <w:szCs w:val="20"/>
                <w:lang w:val="en-US" w:eastAsia="zh-CN"/>
              </w:rPr>
            </w:pPr>
          </w:p>
        </w:tc>
      </w:tr>
      <w:tr w14:paraId="784B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545" w:type="dxa"/>
            <w:vMerge w:val="continue"/>
            <w:noWrap w:val="0"/>
            <w:vAlign w:val="top"/>
          </w:tcPr>
          <w:p w14:paraId="38D39433">
            <w:pPr>
              <w:rPr>
                <w:rFonts w:hint="eastAsia" w:ascii="宋体" w:hAnsi="宋体" w:cs="宋体"/>
                <w:sz w:val="21"/>
                <w:szCs w:val="21"/>
              </w:rPr>
            </w:pPr>
          </w:p>
        </w:tc>
        <w:tc>
          <w:tcPr>
            <w:tcW w:w="1969" w:type="dxa"/>
            <w:noWrap w:val="0"/>
            <w:vAlign w:val="center"/>
          </w:tcPr>
          <w:p w14:paraId="203E48F7">
            <w:pPr>
              <w:rPr>
                <w:rFonts w:hint="eastAsia" w:ascii="宋体" w:hAnsi="宋体" w:eastAsia="宋体" w:cs="宋体"/>
                <w:sz w:val="21"/>
                <w:szCs w:val="21"/>
                <w:lang w:val="en-US" w:eastAsia="zh-CN"/>
              </w:rPr>
            </w:pPr>
            <w:r>
              <w:rPr>
                <w:rFonts w:hint="eastAsia" w:ascii="宋体" w:hAnsi="宋体" w:cs="宋体"/>
                <w:sz w:val="21"/>
                <w:szCs w:val="21"/>
                <w:lang w:val="en-US" w:eastAsia="zh-CN"/>
              </w:rPr>
              <w:t>5</w:t>
            </w:r>
            <w:r>
              <w:rPr>
                <w:rFonts w:hint="eastAsia" w:ascii="宋体" w:hAnsi="宋体" w:eastAsia="宋体" w:cs="宋体"/>
                <w:sz w:val="21"/>
                <w:szCs w:val="21"/>
                <w:lang w:val="en-US" w:eastAsia="zh-CN"/>
              </w:rPr>
              <w:t>、出版/文献/信息传播/知识产权事务费</w:t>
            </w:r>
          </w:p>
        </w:tc>
        <w:tc>
          <w:tcPr>
            <w:tcW w:w="1476" w:type="dxa"/>
            <w:noWrap w:val="0"/>
            <w:vAlign w:val="center"/>
          </w:tcPr>
          <w:p w14:paraId="4B92A27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0</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27C79861">
            <w:pPr>
              <w:jc w:val="center"/>
              <w:rPr>
                <w:rFonts w:hint="eastAsia" w:ascii="宋体" w:hAnsi="宋体" w:cs="宋体"/>
                <w:sz w:val="21"/>
                <w:szCs w:val="21"/>
              </w:rPr>
            </w:pPr>
          </w:p>
        </w:tc>
        <w:tc>
          <w:tcPr>
            <w:tcW w:w="817" w:type="dxa"/>
            <w:noWrap w:val="0"/>
            <w:vAlign w:val="top"/>
          </w:tcPr>
          <w:p w14:paraId="686511BD">
            <w:pPr>
              <w:rPr>
                <w:rFonts w:hint="eastAsia" w:ascii="宋体" w:hAnsi="宋体" w:cs="宋体"/>
                <w:sz w:val="21"/>
                <w:szCs w:val="21"/>
              </w:rPr>
            </w:pPr>
          </w:p>
        </w:tc>
        <w:tc>
          <w:tcPr>
            <w:tcW w:w="1583" w:type="dxa"/>
            <w:noWrap w:val="0"/>
            <w:vAlign w:val="top"/>
          </w:tcPr>
          <w:p w14:paraId="0ED97ABD">
            <w:pPr>
              <w:rPr>
                <w:rFonts w:hint="eastAsia" w:ascii="宋体" w:hAnsi="宋体" w:cs="宋体"/>
                <w:sz w:val="21"/>
                <w:szCs w:val="21"/>
              </w:rPr>
            </w:pPr>
          </w:p>
        </w:tc>
        <w:tc>
          <w:tcPr>
            <w:tcW w:w="2103" w:type="dxa"/>
            <w:vMerge w:val="continue"/>
            <w:noWrap w:val="0"/>
            <w:vAlign w:val="top"/>
          </w:tcPr>
          <w:p w14:paraId="1CF03683">
            <w:pPr>
              <w:rPr>
                <w:rFonts w:hint="eastAsia" w:ascii="宋体" w:hAnsi="宋体" w:eastAsia="宋体" w:cs="宋体"/>
                <w:sz w:val="20"/>
                <w:szCs w:val="20"/>
                <w:lang w:val="en-US" w:eastAsia="zh-CN"/>
              </w:rPr>
            </w:pPr>
          </w:p>
        </w:tc>
      </w:tr>
      <w:tr w14:paraId="757AD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545" w:type="dxa"/>
            <w:vMerge w:val="continue"/>
            <w:noWrap w:val="0"/>
            <w:vAlign w:val="top"/>
          </w:tcPr>
          <w:p w14:paraId="117B20F8">
            <w:pPr>
              <w:rPr>
                <w:rFonts w:hint="eastAsia" w:ascii="宋体" w:hAnsi="宋体" w:cs="宋体"/>
                <w:sz w:val="21"/>
                <w:szCs w:val="21"/>
              </w:rPr>
            </w:pPr>
          </w:p>
        </w:tc>
        <w:tc>
          <w:tcPr>
            <w:tcW w:w="1969" w:type="dxa"/>
            <w:noWrap w:val="0"/>
            <w:vAlign w:val="center"/>
          </w:tcPr>
          <w:p w14:paraId="032419C0">
            <w:pPr>
              <w:rPr>
                <w:rFonts w:hint="eastAsia" w:ascii="宋体" w:hAnsi="宋体" w:eastAsia="宋体" w:cs="宋体"/>
                <w:sz w:val="21"/>
                <w:szCs w:val="21"/>
                <w:lang w:val="en-US" w:eastAsia="zh-CN"/>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、专家咨询费</w:t>
            </w:r>
          </w:p>
        </w:tc>
        <w:tc>
          <w:tcPr>
            <w:tcW w:w="1476" w:type="dxa"/>
            <w:noWrap w:val="0"/>
            <w:vAlign w:val="center"/>
          </w:tcPr>
          <w:p w14:paraId="2EB0FDA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0</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6D4877D7">
            <w:pPr>
              <w:jc w:val="center"/>
              <w:rPr>
                <w:rFonts w:hint="eastAsia" w:ascii="宋体" w:hAnsi="宋体" w:cs="宋体"/>
                <w:sz w:val="21"/>
                <w:szCs w:val="21"/>
              </w:rPr>
            </w:pPr>
          </w:p>
        </w:tc>
        <w:tc>
          <w:tcPr>
            <w:tcW w:w="817" w:type="dxa"/>
            <w:noWrap w:val="0"/>
            <w:vAlign w:val="top"/>
          </w:tcPr>
          <w:p w14:paraId="49EDA475">
            <w:pPr>
              <w:rPr>
                <w:rFonts w:hint="eastAsia" w:ascii="宋体" w:hAnsi="宋体" w:cs="宋体"/>
                <w:sz w:val="21"/>
                <w:szCs w:val="21"/>
              </w:rPr>
            </w:pPr>
          </w:p>
        </w:tc>
        <w:tc>
          <w:tcPr>
            <w:tcW w:w="1583" w:type="dxa"/>
            <w:noWrap w:val="0"/>
            <w:vAlign w:val="top"/>
          </w:tcPr>
          <w:p w14:paraId="44221F4D">
            <w:pPr>
              <w:rPr>
                <w:rFonts w:hint="eastAsia" w:ascii="宋体" w:hAnsi="宋体" w:cs="宋体"/>
                <w:sz w:val="21"/>
                <w:szCs w:val="21"/>
              </w:rPr>
            </w:pPr>
          </w:p>
        </w:tc>
        <w:tc>
          <w:tcPr>
            <w:tcW w:w="2103" w:type="dxa"/>
            <w:vMerge w:val="continue"/>
            <w:noWrap w:val="0"/>
            <w:vAlign w:val="top"/>
          </w:tcPr>
          <w:p w14:paraId="00F03D62">
            <w:pPr>
              <w:rPr>
                <w:rFonts w:hint="eastAsia" w:ascii="宋体" w:hAnsi="宋体" w:eastAsia="宋体" w:cs="宋体"/>
                <w:sz w:val="20"/>
                <w:szCs w:val="20"/>
                <w:lang w:val="en-US" w:eastAsia="zh-CN"/>
              </w:rPr>
            </w:pPr>
          </w:p>
        </w:tc>
      </w:tr>
      <w:tr w14:paraId="354B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545" w:type="dxa"/>
            <w:vMerge w:val="continue"/>
            <w:noWrap w:val="0"/>
            <w:vAlign w:val="top"/>
          </w:tcPr>
          <w:p w14:paraId="30E82837">
            <w:pPr>
              <w:rPr>
                <w:rFonts w:hint="eastAsia" w:ascii="宋体" w:hAnsi="宋体" w:cs="宋体"/>
                <w:sz w:val="21"/>
                <w:szCs w:val="21"/>
              </w:rPr>
            </w:pPr>
          </w:p>
        </w:tc>
        <w:tc>
          <w:tcPr>
            <w:tcW w:w="1969" w:type="dxa"/>
            <w:noWrap w:val="0"/>
            <w:vAlign w:val="center"/>
          </w:tcPr>
          <w:p w14:paraId="0E96E8A1">
            <w:pPr>
              <w:keepNext w:val="0"/>
              <w:keepLines w:val="0"/>
              <w:suppressLineNumbers w:val="0"/>
              <w:spacing w:before="0" w:beforeAutospacing="0" w:after="0" w:afterAutospacing="0"/>
              <w:ind w:left="0" w:leftChars="0" w:right="0" w:rightChars="0"/>
              <w:rPr>
                <w:rFonts w:hint="eastAsia" w:ascii="宋体" w:hAnsi="宋体" w:cs="宋体"/>
                <w:sz w:val="21"/>
                <w:szCs w:val="21"/>
              </w:rPr>
            </w:pPr>
            <w:r>
              <w:rPr>
                <w:rFonts w:hint="eastAsia" w:ascii="宋体" w:hAnsi="宋体" w:cs="宋体"/>
                <w:sz w:val="21"/>
                <w:szCs w:val="21"/>
                <w:lang w:val="en-US" w:eastAsia="zh-CN"/>
              </w:rPr>
              <w:t>7</w:t>
            </w:r>
            <w:r>
              <w:rPr>
                <w:rFonts w:hint="default" w:ascii="宋体" w:hAnsi="宋体" w:eastAsia="宋体" w:cs="宋体"/>
                <w:sz w:val="21"/>
                <w:szCs w:val="21"/>
                <w:lang w:val="en-US" w:eastAsia="zh-CN"/>
              </w:rPr>
              <w:t>、其他成本性费用</w:t>
            </w:r>
          </w:p>
        </w:tc>
        <w:tc>
          <w:tcPr>
            <w:tcW w:w="1476" w:type="dxa"/>
            <w:noWrap w:val="0"/>
            <w:vAlign w:val="center"/>
          </w:tcPr>
          <w:p w14:paraId="54A821C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65</w:t>
            </w:r>
            <w:r>
              <w:rPr>
                <w:rFonts w:hint="eastAsia" w:ascii="宋体" w:hAnsi="宋体" w:cs="宋体"/>
                <w:i w:val="0"/>
                <w:iCs w:val="0"/>
                <w:color w:val="000000"/>
                <w:kern w:val="0"/>
                <w:sz w:val="22"/>
                <w:szCs w:val="22"/>
                <w:u w:val="none"/>
                <w:lang w:val="en-US" w:eastAsia="zh-CN" w:bidi="ar"/>
              </w:rPr>
              <w:t>0.00</w:t>
            </w:r>
          </w:p>
        </w:tc>
        <w:tc>
          <w:tcPr>
            <w:tcW w:w="1433" w:type="dxa"/>
            <w:noWrap w:val="0"/>
            <w:vAlign w:val="center"/>
          </w:tcPr>
          <w:p w14:paraId="467195DA">
            <w:pPr>
              <w:jc w:val="center"/>
              <w:rPr>
                <w:rFonts w:hint="eastAsia" w:ascii="宋体" w:hAnsi="宋体" w:cs="宋体"/>
                <w:sz w:val="21"/>
                <w:szCs w:val="21"/>
              </w:rPr>
            </w:pPr>
          </w:p>
        </w:tc>
        <w:tc>
          <w:tcPr>
            <w:tcW w:w="817" w:type="dxa"/>
            <w:noWrap w:val="0"/>
            <w:vAlign w:val="top"/>
          </w:tcPr>
          <w:p w14:paraId="4DA4E1C3">
            <w:pPr>
              <w:rPr>
                <w:rFonts w:hint="eastAsia" w:ascii="宋体" w:hAnsi="宋体" w:cs="宋体"/>
                <w:sz w:val="21"/>
                <w:szCs w:val="21"/>
              </w:rPr>
            </w:pPr>
          </w:p>
        </w:tc>
        <w:tc>
          <w:tcPr>
            <w:tcW w:w="1583" w:type="dxa"/>
            <w:noWrap w:val="0"/>
            <w:vAlign w:val="top"/>
          </w:tcPr>
          <w:p w14:paraId="7FD0827A">
            <w:pPr>
              <w:rPr>
                <w:rFonts w:hint="eastAsia" w:ascii="宋体" w:hAnsi="宋体" w:cs="宋体"/>
                <w:sz w:val="21"/>
                <w:szCs w:val="21"/>
              </w:rPr>
            </w:pPr>
          </w:p>
        </w:tc>
        <w:tc>
          <w:tcPr>
            <w:tcW w:w="2103" w:type="dxa"/>
            <w:vMerge w:val="continue"/>
            <w:noWrap w:val="0"/>
            <w:vAlign w:val="top"/>
          </w:tcPr>
          <w:p w14:paraId="774E4946">
            <w:pPr>
              <w:rPr>
                <w:rFonts w:hint="eastAsia" w:ascii="宋体" w:hAnsi="宋体" w:cs="宋体"/>
                <w:sz w:val="20"/>
                <w:szCs w:val="20"/>
              </w:rPr>
            </w:pPr>
          </w:p>
        </w:tc>
      </w:tr>
      <w:tr w14:paraId="0244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45" w:type="dxa"/>
            <w:noWrap w:val="0"/>
            <w:vAlign w:val="center"/>
          </w:tcPr>
          <w:p w14:paraId="3E029443">
            <w:pPr>
              <w:rPr>
                <w:rFonts w:hint="eastAsia" w:ascii="宋体" w:hAnsi="宋体" w:cs="宋体"/>
                <w:sz w:val="21"/>
                <w:szCs w:val="21"/>
              </w:rPr>
            </w:pPr>
            <w:r>
              <w:rPr>
                <w:rFonts w:hint="eastAsia" w:ascii="宋体" w:hAnsi="宋体" w:cs="宋体"/>
                <w:b/>
                <w:bCs/>
                <w:sz w:val="21"/>
                <w:szCs w:val="21"/>
              </w:rPr>
              <w:t>资本性</w:t>
            </w:r>
          </w:p>
        </w:tc>
        <w:tc>
          <w:tcPr>
            <w:tcW w:w="1969" w:type="dxa"/>
            <w:noWrap w:val="0"/>
            <w:vAlign w:val="center"/>
          </w:tcPr>
          <w:p w14:paraId="2DD58BE2">
            <w:pPr>
              <w:keepNext w:val="0"/>
              <w:keepLines w:val="0"/>
              <w:suppressLineNumbers w:val="0"/>
              <w:spacing w:before="0" w:beforeAutospacing="0" w:after="0" w:afterAutospacing="0"/>
              <w:ind w:left="0" w:leftChars="0" w:right="0" w:righ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1、设备试制费</w:t>
            </w:r>
          </w:p>
        </w:tc>
        <w:tc>
          <w:tcPr>
            <w:tcW w:w="1476" w:type="dxa"/>
            <w:noWrap w:val="0"/>
            <w:vAlign w:val="center"/>
          </w:tcPr>
          <w:p w14:paraId="7825597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649</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4</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138AEF9D">
            <w:pPr>
              <w:jc w:val="center"/>
              <w:rPr>
                <w:rFonts w:hint="default" w:ascii="宋体" w:hAnsi="宋体" w:eastAsia="宋体" w:cs="宋体"/>
                <w:sz w:val="21"/>
                <w:szCs w:val="21"/>
                <w:lang w:val="en-US" w:eastAsia="zh-CN"/>
              </w:rPr>
            </w:pPr>
          </w:p>
        </w:tc>
        <w:tc>
          <w:tcPr>
            <w:tcW w:w="817" w:type="dxa"/>
            <w:noWrap w:val="0"/>
            <w:vAlign w:val="center"/>
          </w:tcPr>
          <w:p w14:paraId="023ECC61">
            <w:pPr>
              <w:jc w:val="center"/>
              <w:rPr>
                <w:rFonts w:hint="default" w:ascii="宋体" w:hAnsi="宋体" w:eastAsia="宋体" w:cs="宋体"/>
                <w:sz w:val="21"/>
                <w:szCs w:val="21"/>
                <w:lang w:val="en-US" w:eastAsia="zh-CN"/>
              </w:rPr>
            </w:pPr>
          </w:p>
        </w:tc>
        <w:tc>
          <w:tcPr>
            <w:tcW w:w="1583" w:type="dxa"/>
            <w:noWrap w:val="0"/>
            <w:vAlign w:val="top"/>
          </w:tcPr>
          <w:p w14:paraId="18CDB587">
            <w:pPr>
              <w:rPr>
                <w:rFonts w:hint="eastAsia" w:ascii="宋体" w:hAnsi="宋体" w:cs="宋体"/>
                <w:sz w:val="21"/>
                <w:szCs w:val="21"/>
              </w:rPr>
            </w:pPr>
          </w:p>
        </w:tc>
        <w:tc>
          <w:tcPr>
            <w:tcW w:w="2103" w:type="dxa"/>
            <w:noWrap w:val="0"/>
            <w:vAlign w:val="center"/>
          </w:tcPr>
          <w:p w14:paraId="1E7882AB">
            <w:pPr>
              <w:jc w:val="both"/>
              <w:rPr>
                <w:rFonts w:hint="eastAsia"/>
                <w:sz w:val="20"/>
                <w:szCs w:val="20"/>
                <w:lang w:val="en-US" w:eastAsia="zh-CN"/>
              </w:rPr>
            </w:pPr>
            <w:r>
              <w:rPr>
                <w:rFonts w:hint="eastAsia"/>
                <w:sz w:val="20"/>
                <w:szCs w:val="20"/>
                <w:lang w:val="en-US" w:eastAsia="zh-CN"/>
              </w:rPr>
              <w:t>1.不含税报价=含税报价/（1+增值税税率）</w:t>
            </w:r>
          </w:p>
          <w:p w14:paraId="503175B3">
            <w:pPr>
              <w:jc w:val="both"/>
              <w:rPr>
                <w:rFonts w:hint="eastAsia" w:ascii="宋体" w:hAnsi="宋体" w:cs="宋体"/>
                <w:b w:val="0"/>
                <w:bCs w:val="0"/>
                <w:sz w:val="20"/>
                <w:szCs w:val="20"/>
              </w:rPr>
            </w:pPr>
            <w:r>
              <w:rPr>
                <w:rFonts w:hint="eastAsia"/>
                <w:color w:val="FF0000"/>
                <w:sz w:val="20"/>
                <w:szCs w:val="20"/>
                <w:lang w:val="en-US" w:eastAsia="zh-CN"/>
              </w:rPr>
              <w:t>2.设备试制费税率为13%</w:t>
            </w:r>
            <w:r>
              <w:rPr>
                <w:rFonts w:hint="eastAsia" w:cs="Times New Roman"/>
                <w:color w:val="FF0000"/>
                <w:kern w:val="2"/>
                <w:sz w:val="20"/>
                <w:szCs w:val="20"/>
                <w:lang w:val="en-US" w:eastAsia="zh-CN" w:bidi="ar-SA"/>
              </w:rPr>
              <w:t>，如有其他税率情况请提供相应税率优惠佐证（例如国家/地方电子税局内纳税人信息截图、税务机关出具的文件、国家税率优惠相关政策文件）</w:t>
            </w:r>
          </w:p>
        </w:tc>
      </w:tr>
      <w:tr w14:paraId="5F48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4" w:hRule="atLeast"/>
        </w:trPr>
        <w:tc>
          <w:tcPr>
            <w:tcW w:w="2514" w:type="dxa"/>
            <w:gridSpan w:val="2"/>
            <w:noWrap w:val="0"/>
            <w:vAlign w:val="center"/>
          </w:tcPr>
          <w:p w14:paraId="22F7A0E9">
            <w:pPr>
              <w:jc w:val="center"/>
              <w:rPr>
                <w:rFonts w:hint="default" w:ascii="宋体" w:hAnsi="宋体" w:eastAsia="宋体" w:cs="宋体"/>
                <w:b/>
                <w:sz w:val="21"/>
                <w:szCs w:val="21"/>
                <w:lang w:val="en-US" w:eastAsia="zh-CN"/>
              </w:rPr>
            </w:pPr>
            <w:r>
              <w:rPr>
                <w:rFonts w:hint="eastAsia" w:ascii="宋体" w:hAnsi="宋体" w:cs="宋体"/>
                <w:b/>
                <w:sz w:val="21"/>
                <w:szCs w:val="21"/>
              </w:rPr>
              <w:t>总计</w:t>
            </w:r>
            <w:r>
              <w:rPr>
                <w:rFonts w:hint="eastAsia" w:ascii="宋体" w:hAnsi="宋体" w:cs="宋体"/>
                <w:b/>
                <w:sz w:val="21"/>
                <w:szCs w:val="21"/>
                <w:lang w:eastAsia="zh-CN"/>
              </w:rPr>
              <w:t>（</w:t>
            </w:r>
            <w:r>
              <w:rPr>
                <w:rFonts w:hint="eastAsia" w:ascii="宋体" w:hAnsi="宋体" w:cs="宋体"/>
                <w:b/>
                <w:sz w:val="21"/>
                <w:szCs w:val="21"/>
                <w:lang w:val="en-US" w:eastAsia="zh-CN"/>
              </w:rPr>
              <w:t>小写）</w:t>
            </w:r>
          </w:p>
        </w:tc>
        <w:tc>
          <w:tcPr>
            <w:tcW w:w="1476" w:type="dxa"/>
            <w:noWrap w:val="0"/>
            <w:vAlign w:val="center"/>
          </w:tcPr>
          <w:p w14:paraId="741EBE58">
            <w:pPr>
              <w:keepNext w:val="0"/>
              <w:keepLines w:val="0"/>
              <w:widowControl/>
              <w:suppressLineNumbers w:val="0"/>
              <w:jc w:val="center"/>
              <w:textAlignment w:val="center"/>
              <w:rPr>
                <w:rFonts w:hint="default" w:ascii="Times New Roman" w:hAnsi="Times New Roman" w:eastAsia="宋体" w:cs="Times New Roman"/>
                <w:i w:val="0"/>
                <w:color w:val="000000"/>
                <w:kern w:val="2"/>
                <w:sz w:val="24"/>
                <w:szCs w:val="24"/>
                <w:u w:val="none"/>
                <w:lang w:val="en-US" w:eastAsia="zh-CN" w:bidi="ar-SA"/>
              </w:rPr>
            </w:pPr>
            <w:r>
              <w:rPr>
                <w:rFonts w:hint="default" w:ascii="宋体" w:hAnsi="宋体" w:eastAsia="宋体" w:cs="宋体"/>
                <w:i w:val="0"/>
                <w:iCs w:val="0"/>
                <w:color w:val="000000"/>
                <w:kern w:val="0"/>
                <w:sz w:val="22"/>
                <w:szCs w:val="22"/>
                <w:u w:val="none"/>
                <w:lang w:val="en-US" w:eastAsia="zh-CN" w:bidi="ar"/>
              </w:rPr>
              <w:t>3</w:t>
            </w:r>
            <w:r>
              <w:rPr>
                <w:rFonts w:hint="eastAsia" w:ascii="宋体" w:hAnsi="宋体" w:cs="宋体"/>
                <w:i w:val="0"/>
                <w:iCs w:val="0"/>
                <w:color w:val="000000"/>
                <w:kern w:val="0"/>
                <w:sz w:val="22"/>
                <w:szCs w:val="22"/>
                <w:u w:val="none"/>
                <w:lang w:val="en-US" w:eastAsia="zh-CN" w:bidi="ar"/>
              </w:rPr>
              <w:t>,</w:t>
            </w:r>
            <w:r>
              <w:rPr>
                <w:rFonts w:hint="default" w:ascii="宋体" w:hAnsi="宋体" w:eastAsia="宋体" w:cs="宋体"/>
                <w:i w:val="0"/>
                <w:iCs w:val="0"/>
                <w:color w:val="000000"/>
                <w:kern w:val="0"/>
                <w:sz w:val="22"/>
                <w:szCs w:val="22"/>
                <w:u w:val="none"/>
                <w:lang w:val="en-US" w:eastAsia="zh-CN" w:bidi="ar"/>
              </w:rPr>
              <w:t>969</w:t>
            </w:r>
            <w:r>
              <w:rPr>
                <w:rFonts w:hint="eastAsia" w:ascii="宋体" w:hAnsi="宋体" w:cs="宋体"/>
                <w:i w:val="0"/>
                <w:iCs w:val="0"/>
                <w:color w:val="000000"/>
                <w:kern w:val="0"/>
                <w:sz w:val="22"/>
                <w:szCs w:val="22"/>
                <w:u w:val="none"/>
                <w:lang w:val="en-US" w:eastAsia="zh-CN" w:bidi="ar"/>
              </w:rPr>
              <w:t>,</w:t>
            </w:r>
            <w:r>
              <w:rPr>
                <w:rFonts w:hint="default" w:ascii="宋体" w:hAnsi="宋体" w:eastAsia="宋体" w:cs="宋体"/>
                <w:i w:val="0"/>
                <w:iCs w:val="0"/>
                <w:color w:val="000000"/>
                <w:kern w:val="0"/>
                <w:sz w:val="22"/>
                <w:szCs w:val="22"/>
                <w:u w:val="none"/>
                <w:lang w:val="en-US" w:eastAsia="zh-CN" w:bidi="ar"/>
              </w:rPr>
              <w:t>3</w:t>
            </w:r>
            <w:r>
              <w:rPr>
                <w:rFonts w:hint="eastAsia" w:ascii="宋体" w:hAnsi="宋体" w:cs="宋体"/>
                <w:i w:val="0"/>
                <w:iCs w:val="0"/>
                <w:color w:val="000000"/>
                <w:kern w:val="0"/>
                <w:sz w:val="22"/>
                <w:szCs w:val="22"/>
                <w:u w:val="none"/>
                <w:lang w:val="en-US" w:eastAsia="zh-CN" w:bidi="ar"/>
              </w:rPr>
              <w:t>00.00</w:t>
            </w:r>
          </w:p>
        </w:tc>
        <w:tc>
          <w:tcPr>
            <w:tcW w:w="1433" w:type="dxa"/>
            <w:noWrap w:val="0"/>
            <w:vAlign w:val="center"/>
          </w:tcPr>
          <w:p w14:paraId="2E2339FC">
            <w:pPr>
              <w:jc w:val="center"/>
              <w:rPr>
                <w:rFonts w:hint="eastAsia" w:ascii="宋体" w:hAnsi="宋体" w:cs="宋体"/>
                <w:sz w:val="21"/>
                <w:szCs w:val="21"/>
              </w:rPr>
            </w:pPr>
          </w:p>
        </w:tc>
        <w:tc>
          <w:tcPr>
            <w:tcW w:w="817" w:type="dxa"/>
            <w:noWrap w:val="0"/>
            <w:vAlign w:val="center"/>
          </w:tcPr>
          <w:p w14:paraId="4D2F11DE">
            <w:pPr>
              <w:jc w:val="center"/>
              <w:rPr>
                <w:rFonts w:hint="default" w:ascii="宋体" w:hAnsi="宋体" w:eastAsia="宋体" w:cs="宋体"/>
                <w:sz w:val="21"/>
                <w:szCs w:val="21"/>
                <w:lang w:val="en-US" w:eastAsia="zh-CN"/>
              </w:rPr>
            </w:pPr>
            <w:r>
              <w:rPr>
                <w:rFonts w:hint="eastAsia" w:ascii="宋体" w:hAnsi="宋体" w:cs="宋体"/>
                <w:b/>
                <w:bCs/>
                <w:sz w:val="24"/>
                <w:szCs w:val="24"/>
                <w:lang w:val="en-US" w:eastAsia="zh-CN"/>
              </w:rPr>
              <w:t>此处不填</w:t>
            </w:r>
          </w:p>
        </w:tc>
        <w:tc>
          <w:tcPr>
            <w:tcW w:w="1583" w:type="dxa"/>
            <w:noWrap w:val="0"/>
            <w:vAlign w:val="top"/>
          </w:tcPr>
          <w:p w14:paraId="5D1DE745">
            <w:pPr>
              <w:rPr>
                <w:rFonts w:hint="default" w:ascii="宋体" w:hAnsi="宋体" w:eastAsia="宋体" w:cs="宋体"/>
                <w:sz w:val="21"/>
                <w:szCs w:val="21"/>
                <w:lang w:val="en-US" w:eastAsia="zh-CN"/>
              </w:rPr>
            </w:pPr>
          </w:p>
        </w:tc>
        <w:tc>
          <w:tcPr>
            <w:tcW w:w="2103" w:type="dxa"/>
            <w:vMerge w:val="restart"/>
            <w:noWrap w:val="0"/>
            <w:vAlign w:val="top"/>
          </w:tcPr>
          <w:p w14:paraId="743E71E2">
            <w:pPr>
              <w:jc w:val="left"/>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含税报价总计=各分项含税报价之和</w:t>
            </w:r>
          </w:p>
          <w:p w14:paraId="605954CB">
            <w:pPr>
              <w:jc w:val="left"/>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不含税报价总计=各分项不含税报价之和</w:t>
            </w:r>
          </w:p>
          <w:p w14:paraId="5E00CCCE">
            <w:pPr>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注意大写和小写金额保持一致。</w:t>
            </w:r>
          </w:p>
          <w:p w14:paraId="1DA051A3">
            <w:pPr>
              <w:rPr>
                <w:rFonts w:hint="default"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开标一览表请填写含税报价合计。</w:t>
            </w:r>
          </w:p>
          <w:p w14:paraId="0BF4D6A7">
            <w:pPr>
              <w:rPr>
                <w:rFonts w:hint="default" w:ascii="宋体" w:hAnsi="宋体" w:eastAsia="宋体" w:cs="宋体"/>
                <w:b w:val="0"/>
                <w:bCs w:val="0"/>
                <w:sz w:val="21"/>
                <w:szCs w:val="21"/>
                <w:lang w:val="en-US" w:eastAsia="zh-CN"/>
              </w:rPr>
            </w:pPr>
            <w:r>
              <w:rPr>
                <w:rFonts w:hint="eastAsia" w:ascii="宋体" w:hAnsi="宋体" w:cs="宋体"/>
                <w:b w:val="0"/>
                <w:bCs w:val="0"/>
                <w:color w:val="FF0000"/>
                <w:sz w:val="21"/>
                <w:szCs w:val="21"/>
                <w:highlight w:val="none"/>
                <w:lang w:val="en-US" w:eastAsia="zh-CN"/>
              </w:rPr>
              <w:t>本项不含税报价仅用于计算投标价格分。</w:t>
            </w:r>
          </w:p>
        </w:tc>
      </w:tr>
      <w:tr w14:paraId="3159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2514" w:type="dxa"/>
            <w:gridSpan w:val="2"/>
            <w:noWrap w:val="0"/>
            <w:vAlign w:val="center"/>
          </w:tcPr>
          <w:p w14:paraId="53428232">
            <w:pPr>
              <w:jc w:val="center"/>
              <w:rPr>
                <w:rFonts w:hint="default" w:ascii="宋体" w:hAnsi="宋体" w:eastAsia="宋体" w:cs="宋体"/>
                <w:b/>
                <w:sz w:val="21"/>
                <w:szCs w:val="21"/>
                <w:lang w:val="en-US" w:eastAsia="zh-CN"/>
              </w:rPr>
            </w:pPr>
            <w:r>
              <w:rPr>
                <w:rFonts w:hint="eastAsia" w:ascii="宋体" w:hAnsi="宋体" w:cs="宋体"/>
                <w:b/>
                <w:sz w:val="21"/>
                <w:szCs w:val="21"/>
                <w:lang w:val="en-US" w:eastAsia="zh-CN"/>
              </w:rPr>
              <w:t>总计（大写）</w:t>
            </w:r>
          </w:p>
        </w:tc>
        <w:tc>
          <w:tcPr>
            <w:tcW w:w="1476" w:type="dxa"/>
            <w:noWrap w:val="0"/>
            <w:vAlign w:val="center"/>
          </w:tcPr>
          <w:p w14:paraId="42637DCD">
            <w:pPr>
              <w:keepNext w:val="0"/>
              <w:keepLines w:val="0"/>
              <w:widowControl/>
              <w:suppressLineNumbers w:val="0"/>
              <w:jc w:val="center"/>
              <w:textAlignment w:val="center"/>
              <w:rPr>
                <w:rFonts w:hint="default" w:ascii="Times New Roman" w:hAnsi="Times New Roman" w:eastAsia="宋体" w:cs="Times New Roman"/>
                <w:i w:val="0"/>
                <w:color w:val="000000"/>
                <w:kern w:val="2"/>
                <w:sz w:val="24"/>
                <w:szCs w:val="24"/>
                <w:u w:val="none"/>
                <w:lang w:val="en-US" w:eastAsia="zh-CN" w:bidi="ar-SA"/>
              </w:rPr>
            </w:pPr>
            <w:r>
              <w:rPr>
                <w:rFonts w:hint="default" w:ascii="宋体" w:hAnsi="宋体" w:eastAsia="宋体" w:cs="宋体"/>
                <w:i w:val="0"/>
                <w:iCs w:val="0"/>
                <w:color w:val="000000"/>
                <w:kern w:val="0"/>
                <w:sz w:val="22"/>
                <w:szCs w:val="22"/>
                <w:u w:val="none"/>
                <w:lang w:val="en-US" w:eastAsia="zh-CN" w:bidi="ar"/>
              </w:rPr>
              <w:t>叁佰玖拾陆万玖仟叁佰元整</w:t>
            </w:r>
          </w:p>
        </w:tc>
        <w:tc>
          <w:tcPr>
            <w:tcW w:w="1433" w:type="dxa"/>
            <w:noWrap w:val="0"/>
            <w:vAlign w:val="center"/>
          </w:tcPr>
          <w:p w14:paraId="2433A947">
            <w:pPr>
              <w:jc w:val="center"/>
              <w:rPr>
                <w:rFonts w:hint="eastAsia" w:ascii="宋体" w:hAnsi="宋体" w:cs="宋体"/>
                <w:sz w:val="21"/>
                <w:szCs w:val="21"/>
              </w:rPr>
            </w:pPr>
          </w:p>
        </w:tc>
        <w:tc>
          <w:tcPr>
            <w:tcW w:w="817" w:type="dxa"/>
            <w:noWrap w:val="0"/>
            <w:vAlign w:val="center"/>
          </w:tcPr>
          <w:p w14:paraId="2715A3D0">
            <w:pPr>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此处不填</w:t>
            </w:r>
          </w:p>
        </w:tc>
        <w:tc>
          <w:tcPr>
            <w:tcW w:w="1583" w:type="dxa"/>
            <w:noWrap w:val="0"/>
            <w:vAlign w:val="top"/>
          </w:tcPr>
          <w:p w14:paraId="4677476F">
            <w:pPr>
              <w:rPr>
                <w:rFonts w:hint="default" w:ascii="宋体" w:hAnsi="宋体" w:eastAsia="宋体" w:cs="宋体"/>
                <w:sz w:val="21"/>
                <w:szCs w:val="21"/>
                <w:lang w:val="en-US" w:eastAsia="zh-CN"/>
              </w:rPr>
            </w:pPr>
          </w:p>
        </w:tc>
        <w:tc>
          <w:tcPr>
            <w:tcW w:w="2103" w:type="dxa"/>
            <w:vMerge w:val="continue"/>
            <w:noWrap w:val="0"/>
            <w:vAlign w:val="top"/>
          </w:tcPr>
          <w:p w14:paraId="6EF6F5E1">
            <w:pPr>
              <w:rPr>
                <w:rFonts w:hint="eastAsia" w:ascii="宋体" w:hAnsi="宋体" w:cs="宋体"/>
                <w:b w:val="0"/>
                <w:bCs w:val="0"/>
                <w:color w:val="FF0000"/>
                <w:sz w:val="21"/>
                <w:szCs w:val="21"/>
                <w:lang w:val="en-US" w:eastAsia="zh-CN"/>
              </w:rPr>
            </w:pPr>
          </w:p>
        </w:tc>
      </w:tr>
    </w:tbl>
    <w:p w14:paraId="1ADC87C3">
      <w:pPr>
        <w:rPr>
          <w:rFonts w:hint="default"/>
          <w:lang w:val="en-US" w:eastAsia="zh-CN"/>
        </w:rPr>
      </w:pPr>
    </w:p>
    <w:p w14:paraId="62ADFAF8">
      <w:pPr>
        <w:pStyle w:val="2"/>
        <w:rPr>
          <w:rFonts w:hint="eastAsia"/>
          <w:color w:val="auto"/>
          <w:sz w:val="24"/>
          <w:szCs w:val="16"/>
          <w:highlight w:val="none"/>
          <w:lang w:val="en-US" w:eastAsia="zh-CN"/>
        </w:rPr>
      </w:pPr>
      <w:r>
        <w:rPr>
          <w:rFonts w:hint="eastAsia"/>
          <w:color w:val="auto"/>
          <w:sz w:val="24"/>
          <w:szCs w:val="16"/>
          <w:highlight w:val="none"/>
          <w:lang w:val="en-US" w:eastAsia="zh-CN"/>
        </w:rPr>
        <w:t>报价要求：</w:t>
      </w:r>
    </w:p>
    <w:p w14:paraId="44833B1E">
      <w:pPr>
        <w:pStyle w:val="2"/>
        <w:rPr>
          <w:rFonts w:hint="eastAsia"/>
          <w:color w:val="auto"/>
          <w:sz w:val="24"/>
          <w:szCs w:val="16"/>
          <w:highlight w:val="none"/>
          <w:lang w:val="en-US" w:eastAsia="zh-CN"/>
        </w:rPr>
      </w:pPr>
      <w:r>
        <w:rPr>
          <w:rFonts w:hint="eastAsia"/>
          <w:color w:val="auto"/>
          <w:sz w:val="24"/>
          <w:szCs w:val="16"/>
          <w:highlight w:val="none"/>
          <w:lang w:val="en-US" w:eastAsia="zh-CN"/>
        </w:rPr>
        <w:t>1.请按报价表备注列要求进行含税价、税率和不含税价报价，否则视为无效报价。</w:t>
      </w:r>
    </w:p>
    <w:p w14:paraId="769E88B9">
      <w:pPr>
        <w:pStyle w:val="2"/>
        <w:numPr>
          <w:ilvl w:val="0"/>
          <w:numId w:val="0"/>
        </w:numPr>
        <w:ind w:firstLine="480" w:firstLineChars="200"/>
        <w:rPr>
          <w:rFonts w:hint="eastAsia"/>
          <w:color w:val="auto"/>
          <w:sz w:val="24"/>
          <w:szCs w:val="16"/>
          <w:highlight w:val="none"/>
          <w:lang w:val="en-US" w:eastAsia="zh-CN"/>
        </w:rPr>
      </w:pPr>
      <w:r>
        <w:rPr>
          <w:rFonts w:hint="eastAsia"/>
          <w:color w:val="auto"/>
          <w:sz w:val="24"/>
          <w:szCs w:val="16"/>
          <w:highlight w:val="none"/>
          <w:lang w:val="en-US" w:eastAsia="zh-CN"/>
        </w:rPr>
        <w:t>2.本标的最高限价3,969,300.00元，投标有效报价为最高限价及以下。投标价低于最高限价的85%的（3,373,905.00元），需提供成本分析报告(通过数据表格及文字分析说明，阐明本项目成本构成内容，提供成本控制具体方案，以及各项成本的节约措施，并证明成本节约的实际成效)。</w:t>
      </w:r>
    </w:p>
    <w:p w14:paraId="73875333">
      <w:pPr>
        <w:pStyle w:val="2"/>
        <w:numPr>
          <w:ilvl w:val="0"/>
          <w:numId w:val="0"/>
        </w:numPr>
        <w:ind w:firstLine="480" w:firstLineChars="200"/>
        <w:rPr>
          <w:rFonts w:hint="eastAsia"/>
          <w:color w:val="auto"/>
          <w:sz w:val="24"/>
          <w:szCs w:val="16"/>
          <w:highlight w:val="none"/>
          <w:lang w:val="en-US" w:eastAsia="zh-CN"/>
        </w:rPr>
      </w:pPr>
      <w:r>
        <w:rPr>
          <w:rFonts w:hint="eastAsia"/>
          <w:color w:val="auto"/>
          <w:sz w:val="24"/>
          <w:szCs w:val="16"/>
          <w:highlight w:val="none"/>
          <w:lang w:val="en-US" w:eastAsia="zh-CN"/>
        </w:rPr>
        <w:t>3.以上计得不含税报价总计值仅用于计算投标价格分。</w:t>
      </w:r>
    </w:p>
    <w:p w14:paraId="7F09F6F3">
      <w:pPr>
        <w:pStyle w:val="2"/>
        <w:numPr>
          <w:ilvl w:val="0"/>
          <w:numId w:val="0"/>
        </w:numPr>
        <w:ind w:firstLine="480" w:firstLineChars="200"/>
        <w:rPr>
          <w:rFonts w:hint="eastAsia"/>
          <w:color w:val="auto"/>
          <w:sz w:val="24"/>
          <w:szCs w:val="16"/>
          <w:highlight w:val="none"/>
          <w:lang w:val="en-US" w:eastAsia="zh-CN"/>
        </w:rPr>
      </w:pPr>
      <w:r>
        <w:rPr>
          <w:rFonts w:hint="eastAsia"/>
          <w:color w:val="auto"/>
          <w:sz w:val="24"/>
          <w:szCs w:val="16"/>
          <w:highlight w:val="none"/>
          <w:lang w:val="en-US" w:eastAsia="zh-CN"/>
        </w:rPr>
        <w:t>4.报价税率即为结算税率，结算时须提供增值税专用发票（税率与报价税率一致）。</w:t>
      </w:r>
    </w:p>
    <w:p w14:paraId="254DAE40">
      <w:pPr>
        <w:pStyle w:val="2"/>
        <w:numPr>
          <w:ilvl w:val="0"/>
          <w:numId w:val="0"/>
        </w:numPr>
        <w:ind w:firstLine="480" w:firstLineChars="200"/>
        <w:rPr>
          <w:rFonts w:hint="eastAsia"/>
          <w:color w:val="auto"/>
          <w:sz w:val="24"/>
          <w:szCs w:val="16"/>
          <w:highlight w:val="none"/>
          <w:lang w:val="en-US" w:eastAsia="zh-CN"/>
        </w:rPr>
      </w:pPr>
      <w:r>
        <w:rPr>
          <w:rFonts w:hint="eastAsia"/>
          <w:color w:val="auto"/>
          <w:sz w:val="24"/>
          <w:szCs w:val="16"/>
          <w:highlight w:val="none"/>
          <w:lang w:val="en-US" w:eastAsia="zh-CN"/>
        </w:rPr>
        <w:t>5.当含税报价与不含税报价*税率得出的结果不一致时，以不含税修正含税价。</w:t>
      </w:r>
    </w:p>
    <w:p w14:paraId="04D08CCC">
      <w:pPr>
        <w:pStyle w:val="2"/>
        <w:numPr>
          <w:ilvl w:val="0"/>
          <w:numId w:val="0"/>
        </w:numPr>
        <w:ind w:firstLine="480" w:firstLineChars="200"/>
        <w:rPr>
          <w:rFonts w:hint="eastAsia"/>
          <w:color w:val="auto"/>
          <w:sz w:val="24"/>
          <w:szCs w:val="16"/>
          <w:highlight w:val="none"/>
          <w:lang w:val="en-US" w:eastAsia="zh-CN"/>
        </w:rPr>
      </w:pPr>
      <w:r>
        <w:rPr>
          <w:rFonts w:hint="eastAsia"/>
          <w:color w:val="auto"/>
          <w:sz w:val="24"/>
          <w:szCs w:val="16"/>
          <w:highlight w:val="none"/>
          <w:lang w:val="en-US" w:eastAsia="zh-CN"/>
        </w:rPr>
        <w:t>6.含税价及不含税价统一保留2位小数，若未按要求填写，则按四舍五入规则计算。</w:t>
      </w:r>
    </w:p>
    <w:p w14:paraId="1026D93C">
      <w:pPr>
        <w:pStyle w:val="2"/>
        <w:ind w:firstLine="480"/>
        <w:rPr>
          <w:rFonts w:hint="eastAsia"/>
          <w:color w:val="auto"/>
          <w:sz w:val="24"/>
          <w:szCs w:val="16"/>
          <w:highlight w:val="none"/>
          <w:lang w:val="en-US" w:eastAsia="zh-CN"/>
        </w:rPr>
      </w:pPr>
      <w:r>
        <w:rPr>
          <w:rFonts w:hint="eastAsia"/>
          <w:color w:val="auto"/>
          <w:sz w:val="24"/>
          <w:szCs w:val="16"/>
          <w:highlight w:val="none"/>
          <w:lang w:val="en-US" w:eastAsia="zh-CN"/>
        </w:rPr>
        <w:t>7.报价表修正原则参照招标文件要求执行。</w:t>
      </w:r>
    </w:p>
    <w:p w14:paraId="61CA45DA">
      <w:pPr>
        <w:pStyle w:val="2"/>
        <w:ind w:firstLine="480"/>
        <w:rPr>
          <w:rFonts w:hint="eastAsia"/>
          <w:color w:val="auto"/>
          <w:sz w:val="24"/>
          <w:szCs w:val="16"/>
          <w:highlight w:val="none"/>
          <w:lang w:val="en-US" w:eastAsia="zh-CN"/>
        </w:rPr>
      </w:pPr>
      <w:r>
        <w:rPr>
          <w:rFonts w:hint="eastAsia"/>
          <w:color w:val="auto"/>
          <w:sz w:val="24"/>
          <w:szCs w:val="16"/>
          <w:highlight w:val="none"/>
          <w:lang w:val="en-US" w:eastAsia="zh-CN"/>
        </w:rPr>
        <w:t>8.报价表中各分项报价合计金额应与开标一览表中投标总报价保持一致，若不一致，视为两个报价，作否决处理。</w:t>
      </w:r>
    </w:p>
    <w:p w14:paraId="664EEC7B">
      <w:pPr>
        <w:pStyle w:val="2"/>
        <w:ind w:firstLine="480"/>
        <w:rPr>
          <w:rFonts w:hint="eastAsia"/>
          <w:color w:val="FF0000"/>
          <w:sz w:val="24"/>
          <w:szCs w:val="16"/>
          <w:highlight w:val="none"/>
          <w:lang w:val="en-US" w:eastAsia="zh-CN"/>
        </w:rPr>
      </w:pPr>
      <w:r>
        <w:rPr>
          <w:rFonts w:hint="eastAsia"/>
          <w:color w:val="FF0000"/>
          <w:sz w:val="24"/>
          <w:szCs w:val="16"/>
          <w:highlight w:val="none"/>
          <w:lang w:val="en-US" w:eastAsia="zh-CN"/>
        </w:rPr>
        <w:t>9.小规模纳税人增值税税率执行国家优惠税率政策的，须在下方粘贴税率优惠政策文件（例如国家/地方电子税局内纳税人信息截图、税务机关出具的文件、国家税率优惠相关政策文件）</w:t>
      </w:r>
    </w:p>
    <w:p w14:paraId="0838E395">
      <w:pPr>
        <w:rPr>
          <w:rFonts w:hint="eastAsia"/>
          <w:color w:val="auto"/>
          <w:sz w:val="24"/>
          <w:szCs w:val="16"/>
          <w:highlight w:val="none"/>
          <w:lang w:val="en-US" w:eastAsia="zh-CN"/>
        </w:rPr>
      </w:pPr>
    </w:p>
    <w:p w14:paraId="1B3CB901">
      <w:pPr>
        <w:pStyle w:val="2"/>
        <w:jc w:val="right"/>
        <w:rPr>
          <w:rFonts w:hint="eastAsia"/>
          <w:highlight w:val="none"/>
          <w:lang w:val="en-US" w:eastAsia="zh-CN"/>
        </w:rPr>
      </w:pPr>
      <w:r>
        <w:rPr>
          <w:rFonts w:hint="eastAsia"/>
          <w:highlight w:val="none"/>
          <w:lang w:val="en-US" w:eastAsia="zh-CN"/>
        </w:rPr>
        <w:t>投 标 人：（盖单位公章或电子印章）</w:t>
      </w:r>
    </w:p>
    <w:p w14:paraId="6D38B39A">
      <w:pPr>
        <w:pStyle w:val="2"/>
        <w:jc w:val="right"/>
        <w:rPr>
          <w:rFonts w:hint="eastAsia"/>
          <w:highlight w:val="none"/>
          <w:lang w:val="en-US" w:eastAsia="zh-CN"/>
        </w:rPr>
      </w:pPr>
      <w:r>
        <w:rPr>
          <w:rFonts w:hint="eastAsia"/>
          <w:highlight w:val="none"/>
          <w:lang w:val="en-US" w:eastAsia="zh-CN"/>
        </w:rPr>
        <w:t>年  月  日</w:t>
      </w:r>
    </w:p>
    <w:p w14:paraId="7489688A"/>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7B092E"/>
    <w:rsid w:val="5A7B092E"/>
    <w:rsid w:val="FDF416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kern w:val="0"/>
      <w:sz w:val="20"/>
      <w:szCs w:val="20"/>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2026-08-11T17:53:00Z</dcterms:created>
  <dc:creator>建议01</dc:creator>
  <cp:lastModifiedBy>建议01</cp:lastModifiedBy>
  <dcterms:modified xsi:type="dcterms:W3CDTF">2026-08-11T09:59:08Z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28FB23FAD3E27EA4EC817A6AEE238359_43</vt:lpwstr>
  </property>
</Properties>
</file>