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6FB08B">
      <w:pPr>
        <w:ind w:firstLine="480"/>
        <w:jc w:val="center"/>
        <w:rPr>
          <w:rFonts w:ascii="Times New Roman Regular" w:hAnsi="Times New Roman Regular" w:cs="Times New Roman Regular"/>
          <w:b/>
          <w:sz w:val="36"/>
          <w:szCs w:val="20"/>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851" w:footer="992" w:gutter="0"/>
          <w:cols w:space="425" w:num="1"/>
          <w:docGrid w:type="lines" w:linePitch="312" w:charSpace="0"/>
        </w:sectPr>
      </w:pPr>
      <w:bookmarkStart w:id="0" w:name="_Toc2749"/>
      <w:bookmarkStart w:id="1" w:name="_Toc23835"/>
      <w:bookmarkStart w:id="2" w:name="hp_TitlePage"/>
      <w:r>
        <w:rPr>
          <w:rFonts w:ascii="Times New Roman Regular" w:hAnsi="Times New Roman Regular" w:cs="Times New Roman Regular"/>
          <w:color w:val="000000"/>
        </w:rPr>
        <w:drawing>
          <wp:anchor distT="0" distB="0" distL="114300" distR="114300" simplePos="0" relativeHeight="251659264" behindDoc="1" locked="0" layoutInCell="1" allowOverlap="1">
            <wp:simplePos x="0" y="0"/>
            <wp:positionH relativeFrom="column">
              <wp:posOffset>-1026160</wp:posOffset>
            </wp:positionH>
            <wp:positionV relativeFrom="paragraph">
              <wp:posOffset>-868680</wp:posOffset>
            </wp:positionV>
            <wp:extent cx="7574280" cy="2670810"/>
            <wp:effectExtent l="0" t="0" r="20320" b="2159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5"/>
                    <a:stretch>
                      <a:fillRect/>
                    </a:stretch>
                  </pic:blipFill>
                  <pic:spPr>
                    <a:xfrm>
                      <a:off x="0" y="0"/>
                      <a:ext cx="7574280" cy="2670810"/>
                    </a:xfrm>
                    <a:prstGeom prst="rect">
                      <a:avLst/>
                    </a:prstGeom>
                    <a:noFill/>
                    <a:ln>
                      <a:noFill/>
                    </a:ln>
                  </pic:spPr>
                </pic:pic>
              </a:graphicData>
            </a:graphic>
          </wp:anchor>
        </w:drawing>
      </w:r>
      <w:r>
        <w:rPr>
          <w:rFonts w:ascii="Times New Roman Regular" w:hAnsi="Times New Roman Regular" w:cs="Times New Roman Regular"/>
        </w:rPr>
        <mc:AlternateContent>
          <mc:Choice Requires="wps">
            <w:drawing>
              <wp:anchor distT="0" distB="0" distL="114300" distR="114300" simplePos="0" relativeHeight="251662336" behindDoc="0" locked="0" layoutInCell="1" allowOverlap="1">
                <wp:simplePos x="0" y="0"/>
                <wp:positionH relativeFrom="column">
                  <wp:posOffset>-62230</wp:posOffset>
                </wp:positionH>
                <wp:positionV relativeFrom="paragraph">
                  <wp:posOffset>2401570</wp:posOffset>
                </wp:positionV>
                <wp:extent cx="6024880" cy="3062605"/>
                <wp:effectExtent l="0" t="0" r="4445" b="4445"/>
                <wp:wrapNone/>
                <wp:docPr id="5" name="文本框 4"/>
                <wp:cNvGraphicFramePr/>
                <a:graphic xmlns:a="http://schemas.openxmlformats.org/drawingml/2006/main">
                  <a:graphicData uri="http://schemas.microsoft.com/office/word/2010/wordprocessingShape">
                    <wps:wsp>
                      <wps:cNvSpPr txBox="1"/>
                      <wps:spPr>
                        <a:xfrm>
                          <a:off x="0" y="0"/>
                          <a:ext cx="6024880" cy="3062605"/>
                        </a:xfrm>
                        <a:prstGeom prst="rect">
                          <a:avLst/>
                        </a:prstGeom>
                        <a:solidFill>
                          <a:srgbClr val="FFFFFF"/>
                        </a:solidFill>
                        <a:ln w="6350">
                          <a:noFill/>
                        </a:ln>
                      </wps:spPr>
                      <wps:txbx>
                        <w:txbxContent>
                          <w:p w14:paraId="6F227682">
                            <w:pPr>
                              <w:ind w:firstLine="0" w:firstLineChars="0"/>
                              <w:jc w:val="center"/>
                              <w:rPr>
                                <w:rFonts w:hint="eastAsia" w:ascii="黑体" w:hAnsi="黑体" w:eastAsia="黑体" w:cs="黑体"/>
                                <w:b/>
                                <w:sz w:val="52"/>
                                <w:szCs w:val="52"/>
                              </w:rPr>
                            </w:pPr>
                            <w:r>
                              <w:rPr>
                                <w:rFonts w:hint="eastAsia" w:ascii="黑体" w:hAnsi="黑体" w:eastAsia="黑体" w:cs="黑体"/>
                                <w:b/>
                                <w:sz w:val="52"/>
                                <w:szCs w:val="52"/>
                              </w:rPr>
                              <w:t>四通道（4U4I）电能质量监测终端</w:t>
                            </w:r>
                          </w:p>
                          <w:p w14:paraId="0647B089">
                            <w:pPr>
                              <w:ind w:firstLine="0" w:firstLineChars="0"/>
                              <w:jc w:val="center"/>
                            </w:pPr>
                            <w:r>
                              <w:rPr>
                                <w:rFonts w:hint="eastAsia" w:ascii="黑体" w:hAnsi="黑体" w:eastAsia="黑体" w:cs="黑体"/>
                                <w:b/>
                                <w:sz w:val="52"/>
                                <w:szCs w:val="52"/>
                              </w:rPr>
                              <w:t>代加工服务技术规范书</w:t>
                            </w:r>
                          </w:p>
                        </w:txbxContent>
                      </wps:txbx>
                      <wps:bodyPr upright="1"/>
                    </wps:wsp>
                  </a:graphicData>
                </a:graphic>
              </wp:anchor>
            </w:drawing>
          </mc:Choice>
          <mc:Fallback>
            <w:pict>
              <v:shape id="文本框 4" o:spid="_x0000_s1026" o:spt="202" type="#_x0000_t202" style="position:absolute;left:0pt;margin-left:-4.9pt;margin-top:189.1pt;height:241.15pt;width:474.4pt;z-index:251662336;mso-width-relative:page;mso-height-relative:page;" fillcolor="#FFFFFF"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xyuiwIAAE8FAAAOAAAAZHJzL2Uyb0RvYy54bWysVM1uEzEQviPxDpbvdDfpNg1RN1VoVYRU&#10;0YqAODteu7GwPcZ2shseoLwBJy7cea4+B2NvkpbCpQhp5bU93/x9M56T085oshY+KLA1HRyUlAjL&#10;oVH2pqYf3l+8GFMSIrMN02BFTTci0NPp82cnrZuIISxBN8ITNGLDpHU1XcboJkUR+FIYFg7ACYtC&#10;Cd6wiEd/UzSetWjd6GJYlqOiBd84D1yEgLfnvZBOs30pBY9XUgYRia4pxhbz6vO6SGsxPWGTG8/c&#10;UvFtGOwfojBMWXS6N3XOIiMrr/4wZRT3EEDGAw6mACkVFzkHzGZQPspmvmRO5FyQnOD2NIX/Z5a/&#10;XV97opqaVpRYZrBEd9++3n3/effjllSJntaFCaLmDnGxewUdlnl3H/AyZd1Jb9If8yEoPy6r8RGy&#10;vanp4WhQ4tfzLLpIOMpH5bAajxHAE6IcDUflUUIU95acD/G1AEPSpqYeC5n5ZevLEHvoDpIcB9Cq&#10;uVBa50NqHnGmPVkzLLuOOV40/htKW9JiKIcYaFKykNR7y9piLCnvPr+8ixstEk7bd0IiYZhGr5hb&#10;9d4b41zYvceMTmoSjT9FcYtPqiK38VOU9xrZM9i4VzbKgs/5Pgq7+bQjSfb4HQN93omC2C26bT8s&#10;oNlgO3jo31Nw/EJhnS5ZiNfM4wPC2uJQiFe4SA3IM2x3lCzBf/nbfcJjX6OUkhYfZE3D5xXzghL9&#10;xmLHvxxUVXrB+VAdHQ/x4B9KFg8ldmXOAIs/wPHjeN4mfNS7rfRgPuLsmCWvKGKWo++axt32LPZj&#10;AmcPF7NZBuGbdSxe2rnjyXSi18JsFUGq3JSJpp6bLX34anNbbydMGgsPzxl1PwenvwAAAP//AwBQ&#10;SwMEFAAGAAgAAAAhAPdBdlPiAAAACgEAAA8AAABkcnMvZG93bnJldi54bWxMj0tPwzAQhO9I/Adr&#10;kbig1qFR2yRkUyHEQ+qNhoe4ufGSRMR2FLtJ+PcsJziOZjTzTb6bTSdGGnzrLML1MgJBtnK6tTXC&#10;S/mwSED4oKxWnbOE8E0edsX5Wa4y7Sb7TOMh1IJLrM8UQhNCn0npq4aM8kvXk2Xv0w1GBZZDLfWg&#10;Ji43nVxF0UYa1VpeaFRPdw1VX4eTQfi4qt/3fn58neJ13N8/jeX2TZeIlxfz7Q2IQHP4C8MvPqND&#10;wUxHd7Laiw5hkTJ5QIi3yQoEB9I45XNHhGQTrUEWufx/ofgBAAD//wMAUEsBAi0AFAAGAAgAAAAh&#10;ALaDOJL+AAAA4QEAABMAAAAAAAAAAAAAAAAAAAAAAFtDb250ZW50X1R5cGVzXS54bWxQSwECLQAU&#10;AAYACAAAACEAOP0h/9YAAACUAQAACwAAAAAAAAAAAAAAAAAvAQAAX3JlbHMvLnJlbHNQSwECLQAU&#10;AAYACAAAACEA2hMcrosCAABPBQAADgAAAAAAAAAAAAAAAAAuAgAAZHJzL2Uyb0RvYy54bWxQSwEC&#10;LQAUAAYACAAAACEA90F2U+IAAAAKAQAADwAAAAAAAAAAAAAAAADlBAAAZHJzL2Rvd25yZXYueG1s&#10;UEsFBgAAAAAEAAQA8wAAAPQFAAAAAA==&#10;">
                <v:fill on="t" focussize="0,0"/>
                <v:stroke on="f" weight="0.5pt"/>
                <v:imagedata o:title=""/>
                <o:lock v:ext="edit" aspectratio="f"/>
                <v:textbox>
                  <w:txbxContent>
                    <w:p w14:paraId="6F227682">
                      <w:pPr>
                        <w:ind w:firstLine="0" w:firstLineChars="0"/>
                        <w:jc w:val="center"/>
                        <w:rPr>
                          <w:rFonts w:hint="eastAsia" w:ascii="黑体" w:hAnsi="黑体" w:eastAsia="黑体" w:cs="黑体"/>
                          <w:b/>
                          <w:sz w:val="52"/>
                          <w:szCs w:val="52"/>
                        </w:rPr>
                      </w:pPr>
                      <w:r>
                        <w:rPr>
                          <w:rFonts w:hint="eastAsia" w:ascii="黑体" w:hAnsi="黑体" w:eastAsia="黑体" w:cs="黑体"/>
                          <w:b/>
                          <w:sz w:val="52"/>
                          <w:szCs w:val="52"/>
                        </w:rPr>
                        <w:t>四通道（4U4I）电能质量监测终端</w:t>
                      </w:r>
                    </w:p>
                    <w:p w14:paraId="0647B089">
                      <w:pPr>
                        <w:ind w:firstLine="0" w:firstLineChars="0"/>
                        <w:jc w:val="center"/>
                      </w:pPr>
                      <w:r>
                        <w:rPr>
                          <w:rFonts w:hint="eastAsia" w:ascii="黑体" w:hAnsi="黑体" w:eastAsia="黑体" w:cs="黑体"/>
                          <w:b/>
                          <w:sz w:val="52"/>
                          <w:szCs w:val="52"/>
                        </w:rPr>
                        <w:t>代加工服务技术规范书</w:t>
                      </w:r>
                    </w:p>
                  </w:txbxContent>
                </v:textbox>
              </v:shape>
            </w:pict>
          </mc:Fallback>
        </mc:AlternateContent>
      </w:r>
      <w:r>
        <w:rPr>
          <w:rFonts w:ascii="Times New Roman Regular" w:hAnsi="Times New Roman Regular" w:cs="Times New Roman Regular"/>
          <w:sz w:val="32"/>
        </w:rPr>
        <mc:AlternateContent>
          <mc:Choice Requires="wps">
            <w:drawing>
              <wp:anchor distT="0" distB="0" distL="114300" distR="114300" simplePos="0" relativeHeight="251661312" behindDoc="0" locked="0" layoutInCell="1" allowOverlap="1">
                <wp:simplePos x="0" y="0"/>
                <wp:positionH relativeFrom="column">
                  <wp:posOffset>-13970</wp:posOffset>
                </wp:positionH>
                <wp:positionV relativeFrom="paragraph">
                  <wp:posOffset>7626350</wp:posOffset>
                </wp:positionV>
                <wp:extent cx="5793740" cy="914400"/>
                <wp:effectExtent l="4445" t="0" r="12065" b="5080"/>
                <wp:wrapNone/>
                <wp:docPr id="4" name="文本框 1"/>
                <wp:cNvGraphicFramePr/>
                <a:graphic xmlns:a="http://schemas.openxmlformats.org/drawingml/2006/main">
                  <a:graphicData uri="http://schemas.microsoft.com/office/word/2010/wordprocessingShape">
                    <wps:wsp>
                      <wps:cNvSpPr txBox="1"/>
                      <wps:spPr>
                        <a:xfrm>
                          <a:off x="0" y="0"/>
                          <a:ext cx="5793740" cy="914400"/>
                        </a:xfrm>
                        <a:prstGeom prst="rect">
                          <a:avLst/>
                        </a:prstGeom>
                        <a:solidFill>
                          <a:srgbClr val="FFFFFF"/>
                        </a:solidFill>
                        <a:ln w="6350" cap="flat" cmpd="sng">
                          <a:solidFill>
                            <a:srgbClr val="000000">
                              <a:alpha val="0"/>
                            </a:srgbClr>
                          </a:solidFill>
                          <a:prstDash val="solid"/>
                          <a:miter/>
                          <a:headEnd type="none" w="med" len="med"/>
                          <a:tailEnd type="none" w="med" len="med"/>
                        </a:ln>
                      </wps:spPr>
                      <wps:txbx>
                        <w:txbxContent>
                          <w:p w14:paraId="1ECCA0F0">
                            <w:pPr>
                              <w:ind w:firstLine="0" w:firstLineChars="0"/>
                              <w:jc w:val="center"/>
                              <w:rPr>
                                <w:rFonts w:hint="eastAsia" w:ascii="黑体" w:hAnsi="黑体" w:eastAsia="黑体"/>
                                <w:sz w:val="36"/>
                                <w:szCs w:val="36"/>
                              </w:rPr>
                            </w:pPr>
                            <w:r>
                              <w:rPr>
                                <w:rFonts w:hint="eastAsia" w:ascii="黑体" w:hAnsi="黑体" w:eastAsia="黑体"/>
                                <w:sz w:val="36"/>
                                <w:szCs w:val="36"/>
                              </w:rPr>
                              <w:t>海南电力产业发展有限责任公司</w:t>
                            </w:r>
                          </w:p>
                          <w:p w14:paraId="59CA18EE">
                            <w:pPr>
                              <w:ind w:firstLine="0" w:firstLineChars="0"/>
                              <w:jc w:val="center"/>
                            </w:pPr>
                            <w:r>
                              <w:rPr>
                                <w:rFonts w:hint="eastAsia" w:ascii="黑体" w:hAnsi="黑体" w:eastAsia="黑体"/>
                                <w:sz w:val="36"/>
                                <w:szCs w:val="36"/>
                              </w:rPr>
                              <w:t>2026年7月</w:t>
                            </w:r>
                          </w:p>
                        </w:txbxContent>
                      </wps:txbx>
                      <wps:bodyPr upright="1"/>
                    </wps:wsp>
                  </a:graphicData>
                </a:graphic>
              </wp:anchor>
            </w:drawing>
          </mc:Choice>
          <mc:Fallback>
            <w:pict>
              <v:shape id="文本框 1" o:spid="_x0000_s1026" o:spt="202" type="#_x0000_t202" style="position:absolute;left:0pt;margin-left:-1.1pt;margin-top:600.5pt;height:72pt;width:456.2pt;z-index:251661312;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zvBoAIAAJwFAAAOAAAAZHJzL2Uyb0RvYy54bWysVM2O0zAQviPxDpbvbNK/7bZquipdLUJa&#10;sSsWxNl17CbC8RjbbVIeAN6AExfuPNc+B2Mn7bbAZRE5OLbnm7/PMzO7bCpFtsK6EnRGe2cpJUJz&#10;yEu9zuj7d9cvLihxnumcKdAiozvh6OX8+bNZbaaiDwWoXFiCRrSb1iajhfdmmiSOF6Ji7gyM0CiU&#10;YCvm8WjXSW5ZjdYrlfTT9DypwebGAhfO4e1VK6TzaF9Kwf2tlE54ojKKsfm42riuwprMZ2y6tswU&#10;Je/CYP8QRcVKjU4Ppq6YZ2Rjyz9MVSW34ED6Mw5VAlKWXMQcMJte+ls29wUzIuaC5DhzoMn9P7P8&#10;zfbOkjLHt6NEswqf6OHb14fvPx9+fCG9QE9t3BRR9wZxvnkJTYB29w4vQ9aNtFX4Yz4kyCeD/iAd&#10;UbLL6MX4fDQadkSLxhOOgNF4MhjjJeGImPSGwzQCkkdLxjr/SkBFwiajFh8y8su2N86jd4TuIcGx&#10;A1Xm16VS8RCKRyyVJVuGz658jBc1TlBKkzqj54NRGg2fyJxdrw76afxa78oUrLW6D7iDxoiObKA3&#10;pfEysNeyFHd+p0QIUem3QiLtyEXn/jRmxrnQh7gjOqhJzPApih0+qIrYDE9RPmhEz6D9QbkqNdiW&#10;tdOw8497qmWL3zPQ5h0o8M2q6eqtK6IV5DusLQttczrDr0t89Bvm/B2z2I1YJzhh/C0uUgE+GnQ7&#10;Sgqwn/92H/DYJCilpMbuzqj7tGFWUKJea2yfWHM4DuJhOBr30Yc9lqyOJXpTLQErCVsEo4vbgPdq&#10;v5UWqg84iBbBK4qY5ug7o36/Xfp25uAg42KxiCAcAIb5G31veDAdWNaw2HiQZazwwFbLTccijoBY&#10;Zt24CjPm+BxRj0N1/gsAAP//AwBQSwMEFAAGAAgAAAAhAG09PFPfAAAADAEAAA8AAABkcnMvZG93&#10;bnJldi54bWxMj81OwzAQhO9IfQdrK3Fr7YRCaYhTVZXKAXFp+Tm78ZJEiddR7Kbh7VlOcNzZ0cw3&#10;+XZynRhxCI0nDclSgUAqvW2o0vD+dlg8ggjRkDWdJ9TwjQG2xewmN5n1VzrieIqV4BAKmdFQx9hn&#10;UoayRmfC0vdI/PvygzORz6GSdjBXDnedTJV6kM40xA216XFfY9meLk6Dcy+f6+fN64fq1yqOK9u6&#10;g2q1vp1PuycQEaf4Z4ZffEaHgpnO/kI2iE7DIk3ZyXqqEh7Fjk2iWDqzdLe6VyCLXP4fUfwAAAD/&#10;/wMAUEsBAi0AFAAGAAgAAAAhALaDOJL+AAAA4QEAABMAAAAAAAAAAAAAAAAAAAAAAFtDb250ZW50&#10;X1R5cGVzXS54bWxQSwECLQAUAAYACAAAACEAOP0h/9YAAACUAQAACwAAAAAAAAAAAAAAAAAvAQAA&#10;X3JlbHMvLnJlbHNQSwECLQAUAAYACAAAACEArnM7waACAACcBQAADgAAAAAAAAAAAAAAAAAuAgAA&#10;ZHJzL2Uyb0RvYy54bWxQSwECLQAUAAYACAAAACEAbT08U98AAAAMAQAADwAAAAAAAAAAAAAAAAD6&#10;BAAAZHJzL2Rvd25yZXYueG1sUEsFBgAAAAAEAAQA8wAAAAYGAAAAAA==&#10;">
                <v:fill on="t" focussize="0,0"/>
                <v:stroke weight="0.5pt" color="#000000" opacity="0f" joinstyle="miter"/>
                <v:imagedata o:title=""/>
                <o:lock v:ext="edit" aspectratio="f"/>
                <v:textbox>
                  <w:txbxContent>
                    <w:p w14:paraId="1ECCA0F0">
                      <w:pPr>
                        <w:ind w:firstLine="0" w:firstLineChars="0"/>
                        <w:jc w:val="center"/>
                        <w:rPr>
                          <w:rFonts w:hint="eastAsia" w:ascii="黑体" w:hAnsi="黑体" w:eastAsia="黑体"/>
                          <w:sz w:val="36"/>
                          <w:szCs w:val="36"/>
                        </w:rPr>
                      </w:pPr>
                      <w:r>
                        <w:rPr>
                          <w:rFonts w:hint="eastAsia" w:ascii="黑体" w:hAnsi="黑体" w:eastAsia="黑体"/>
                          <w:sz w:val="36"/>
                          <w:szCs w:val="36"/>
                        </w:rPr>
                        <w:t>海南电力产业发展有限责任公司</w:t>
                      </w:r>
                    </w:p>
                    <w:p w14:paraId="59CA18EE">
                      <w:pPr>
                        <w:ind w:firstLine="0" w:firstLineChars="0"/>
                        <w:jc w:val="center"/>
                      </w:pPr>
                      <w:r>
                        <w:rPr>
                          <w:rFonts w:hint="eastAsia" w:ascii="黑体" w:hAnsi="黑体" w:eastAsia="黑体"/>
                          <w:sz w:val="36"/>
                          <w:szCs w:val="36"/>
                        </w:rPr>
                        <w:t>2026年7月</w:t>
                      </w:r>
                    </w:p>
                  </w:txbxContent>
                </v:textbox>
              </v:shape>
            </w:pict>
          </mc:Fallback>
        </mc:AlternateContent>
      </w:r>
      <w:r>
        <w:rPr>
          <w:rFonts w:ascii="Times New Roman Regular" w:hAnsi="Times New Roman Regular" w:cs="Times New Roman Regular"/>
          <w:color w:val="000000"/>
        </w:rPr>
        <w:drawing>
          <wp:anchor distT="0" distB="0" distL="114300" distR="114300" simplePos="0" relativeHeight="251660288" behindDoc="0" locked="0" layoutInCell="1" allowOverlap="1">
            <wp:simplePos x="0" y="0"/>
            <wp:positionH relativeFrom="column">
              <wp:posOffset>-106045</wp:posOffset>
            </wp:positionH>
            <wp:positionV relativeFrom="paragraph">
              <wp:posOffset>-3810</wp:posOffset>
            </wp:positionV>
            <wp:extent cx="3219450" cy="685800"/>
            <wp:effectExtent l="0" t="0" r="1143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6"/>
                    <a:stretch>
                      <a:fillRect/>
                    </a:stretch>
                  </pic:blipFill>
                  <pic:spPr>
                    <a:xfrm>
                      <a:off x="0" y="0"/>
                      <a:ext cx="3219450" cy="685800"/>
                    </a:xfrm>
                    <a:prstGeom prst="rect">
                      <a:avLst/>
                    </a:prstGeom>
                    <a:noFill/>
                    <a:ln>
                      <a:noFill/>
                    </a:ln>
                  </pic:spPr>
                </pic:pic>
              </a:graphicData>
            </a:graphic>
          </wp:anchor>
        </w:drawing>
      </w:r>
      <w:bookmarkEnd w:id="0"/>
      <w:bookmarkEnd w:id="1"/>
    </w:p>
    <w:bookmarkEnd w:id="2"/>
    <w:p w14:paraId="6EAF0905">
      <w:pPr>
        <w:pStyle w:val="3"/>
        <w:rPr>
          <w:rFonts w:ascii="Times New Roman Regular" w:hAnsi="Times New Roman Regular" w:cs="Times New Roman Regular"/>
        </w:rPr>
      </w:pPr>
      <w:r>
        <w:rPr>
          <w:rFonts w:ascii="Times New Roman Regular" w:hAnsi="Times New Roman Regular" w:cs="Times New Roman Regular"/>
        </w:rPr>
        <w:t>项目概况</w:t>
      </w:r>
    </w:p>
    <w:p w14:paraId="0D8BFB1A">
      <w:pPr>
        <w:ind w:firstLine="480"/>
        <w:rPr>
          <w:rFonts w:hint="eastAsia" w:ascii="Times New Roman Regular" w:hAnsi="Times New Roman Regular" w:cs="Times New Roman Regular"/>
        </w:rPr>
      </w:pPr>
      <w:r>
        <w:rPr>
          <w:rFonts w:hint="eastAsia" w:ascii="Times New Roman Regular" w:hAnsi="Times New Roman Regular" w:cs="Times New Roman Regular"/>
        </w:rPr>
        <w:t>本技术规范书适用于海南电力产业发展有限责任公司2026年电能质量监测终端代加工服务框架公开招标项目。四通道（4U4I）电能质量监测终端质量上应严格按照相关设计标准执行，进度控制上需完全满足招标方要求，代加工质量应满足行业标准。</w:t>
      </w:r>
    </w:p>
    <w:p w14:paraId="2479445C">
      <w:pPr>
        <w:pStyle w:val="3"/>
        <w:rPr>
          <w:rFonts w:ascii="Times New Roman Regular" w:hAnsi="Times New Roman Regular" w:cs="Times New Roman Regular"/>
        </w:rPr>
      </w:pPr>
      <w:r>
        <w:rPr>
          <w:rFonts w:hint="eastAsia" w:ascii="Times New Roman Regular" w:hAnsi="Times New Roman Regular" w:cs="Times New Roman Regular"/>
        </w:rPr>
        <w:t>采购需求</w:t>
      </w:r>
      <w:r>
        <w:rPr>
          <w:rFonts w:ascii="Times New Roman Regular" w:hAnsi="Times New Roman Regular" w:cs="Times New Roman Regular"/>
        </w:rPr>
        <w:t>一览表</w:t>
      </w:r>
    </w:p>
    <w:tbl>
      <w:tblPr>
        <w:tblStyle w:val="28"/>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3"/>
        <w:gridCol w:w="7113"/>
      </w:tblGrid>
      <w:tr w14:paraId="403D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93" w:type="dxa"/>
          </w:tcPr>
          <w:p w14:paraId="3F5F5380">
            <w:pPr>
              <w:spacing w:line="240" w:lineRule="auto"/>
              <w:ind w:firstLine="0" w:firstLineChars="0"/>
              <w:jc w:val="center"/>
              <w:rPr>
                <w:rFonts w:ascii="Times New Roman Regular" w:hAnsi="Times New Roman Regular" w:eastAsia="Times New Roman" w:cs="Times New Roman Regular"/>
                <w:b/>
                <w:bCs/>
              </w:rPr>
            </w:pPr>
            <w:bookmarkStart w:id="3" w:name="_Toc21438"/>
            <w:bookmarkStart w:id="4" w:name="_Toc26095"/>
            <w:bookmarkStart w:id="5" w:name="_Toc7240"/>
            <w:bookmarkStart w:id="6" w:name="_Toc6701"/>
            <w:r>
              <w:rPr>
                <w:rFonts w:ascii="Times New Roman Regular" w:hAnsi="Times New Roman Regular" w:eastAsia="Times New Roman" w:cs="Times New Roman Regular"/>
                <w:b/>
                <w:bCs/>
              </w:rPr>
              <w:t>序号</w:t>
            </w:r>
          </w:p>
        </w:tc>
        <w:tc>
          <w:tcPr>
            <w:tcW w:w="7113" w:type="dxa"/>
          </w:tcPr>
          <w:p w14:paraId="3D4AE821">
            <w:pPr>
              <w:spacing w:line="240" w:lineRule="auto"/>
              <w:ind w:firstLine="0" w:firstLineChars="0"/>
              <w:jc w:val="center"/>
              <w:rPr>
                <w:rFonts w:ascii="Times New Roman Regular" w:hAnsi="Times New Roman Regular" w:eastAsia="Times New Roman" w:cs="Times New Roman Regular"/>
                <w:b/>
                <w:bCs/>
              </w:rPr>
            </w:pPr>
            <w:r>
              <w:rPr>
                <w:rFonts w:ascii="Times New Roman Regular" w:hAnsi="Times New Roman Regular" w:eastAsia="Times New Roman" w:cs="Times New Roman Regular"/>
                <w:b/>
                <w:bCs/>
              </w:rPr>
              <w:t>名称</w:t>
            </w:r>
          </w:p>
        </w:tc>
      </w:tr>
      <w:tr w14:paraId="6A01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93" w:type="dxa"/>
            <w:vAlign w:val="center"/>
          </w:tcPr>
          <w:p w14:paraId="540F4446">
            <w:pPr>
              <w:spacing w:line="240" w:lineRule="auto"/>
              <w:ind w:firstLine="0" w:firstLineChars="0"/>
              <w:jc w:val="center"/>
              <w:textAlignment w:val="center"/>
              <w:rPr>
                <w:rFonts w:hint="default" w:ascii="宋体" w:hAnsi="宋体" w:eastAsia="Times New Roman" w:cs="宋体"/>
                <w:color w:val="000000"/>
                <w:kern w:val="0"/>
                <w:sz w:val="22"/>
                <w:szCs w:val="22"/>
                <w:lang w:val="en-US" w:bidi="ar"/>
              </w:rPr>
            </w:pPr>
            <w:bookmarkStart w:id="7" w:name="OLE_LINK2" w:colFirst="3" w:colLast="3"/>
            <w:bookmarkStart w:id="8" w:name="OLE_LINK3" w:colFirst="4" w:colLast="4"/>
            <w:bookmarkStart w:id="9" w:name="OLE_LINK1" w:colFirst="2" w:colLast="2"/>
            <w:r>
              <w:rPr>
                <w:rFonts w:hint="default" w:ascii="宋体" w:hAnsi="宋体" w:eastAsia="Times New Roman" w:cs="宋体"/>
                <w:color w:val="000000"/>
                <w:kern w:val="0"/>
                <w:sz w:val="22"/>
                <w:szCs w:val="22"/>
                <w:lang w:val="en-US" w:bidi="ar"/>
              </w:rPr>
              <w:t>1-2</w:t>
            </w:r>
          </w:p>
        </w:tc>
        <w:tc>
          <w:tcPr>
            <w:tcW w:w="7113" w:type="dxa"/>
            <w:vAlign w:val="center"/>
          </w:tcPr>
          <w:p w14:paraId="55506645">
            <w:pPr>
              <w:spacing w:line="240" w:lineRule="auto"/>
              <w:ind w:firstLine="0" w:firstLineChars="0"/>
              <w:jc w:val="center"/>
              <w:textAlignment w:val="center"/>
              <w:rPr>
                <w:rFonts w:ascii="Times New Roman Regular" w:hAnsi="Times New Roman Regular" w:cs="Times New Roman Regular" w:eastAsiaTheme="minorEastAsia"/>
              </w:rPr>
            </w:pPr>
            <w:r>
              <w:rPr>
                <w:rFonts w:ascii="宋体" w:hAnsi="宋体" w:eastAsia="Times New Roman" w:cs="宋体"/>
                <w:color w:val="000000"/>
                <w:kern w:val="0"/>
                <w:sz w:val="22"/>
                <w:szCs w:val="22"/>
                <w:lang w:bidi="ar"/>
              </w:rPr>
              <w:t>四通道（4U4I）电能质量监测终端</w:t>
            </w:r>
          </w:p>
        </w:tc>
      </w:tr>
      <w:bookmarkEnd w:id="7"/>
      <w:bookmarkEnd w:id="8"/>
      <w:bookmarkEnd w:id="9"/>
    </w:tbl>
    <w:p w14:paraId="75F4B9B3">
      <w:pPr>
        <w:pStyle w:val="3"/>
        <w:rPr>
          <w:rFonts w:ascii="Times New Roman Regular" w:hAnsi="Times New Roman Regular" w:cs="Times New Roman Regular"/>
        </w:rPr>
      </w:pPr>
      <w:r>
        <w:rPr>
          <w:rFonts w:ascii="Times New Roman Regular" w:hAnsi="Times New Roman Regular" w:cs="Times New Roman Regular"/>
          <w:szCs w:val="21"/>
        </w:rPr>
        <w:t>依据的技术标准与规范</w:t>
      </w:r>
    </w:p>
    <w:p w14:paraId="2DC207DE">
      <w:pPr>
        <w:ind w:firstLine="480"/>
        <w:rPr>
          <w:rFonts w:hint="eastAsia" w:ascii="Times New Roman Regular" w:hAnsi="Times New Roman Regular" w:cs="Times New Roman Regular"/>
        </w:rPr>
      </w:pPr>
      <w:r>
        <w:rPr>
          <w:rFonts w:ascii="Times New Roman Regular" w:hAnsi="Times New Roman Regular" w:cs="Times New Roman Regular"/>
        </w:rPr>
        <w:t>四通道（4U4I）</w:t>
      </w:r>
      <w:r>
        <w:rPr>
          <w:rFonts w:hint="eastAsia" w:ascii="Times New Roman Regular" w:hAnsi="Times New Roman Regular" w:cs="Times New Roman Regular"/>
        </w:rPr>
        <w:t>电能质量监测终端应符合相关国家标准、行业标准和技术规范，且采用的标准和技术规范应为最新版本。本技术规范书所使用的标准如与卖方所执行的标准发生矛盾时，按较高标准执行，此外还应遵守其他应遵守的国家规范（现行版本）的相关条款。</w:t>
      </w:r>
    </w:p>
    <w:tbl>
      <w:tblPr>
        <w:tblStyle w:val="27"/>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2898"/>
        <w:gridCol w:w="7108"/>
      </w:tblGrid>
      <w:tr w14:paraId="7CC54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bottom"/>
          </w:tcPr>
          <w:p w14:paraId="7E93E4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b/>
                <w:bCs/>
                <w:sz w:val="24"/>
                <w:szCs w:val="24"/>
              </w:rPr>
              <w:t>标准/规范编号</w:t>
            </w:r>
          </w:p>
        </w:tc>
        <w:tc>
          <w:tcPr>
            <w:tcW w:w="7108" w:type="dxa"/>
            <w:shd w:val="clear" w:color="auto" w:fill="auto"/>
            <w:noWrap/>
            <w:tcMar>
              <w:top w:w="15" w:type="dxa"/>
              <w:left w:w="15" w:type="dxa"/>
              <w:right w:w="15" w:type="dxa"/>
            </w:tcMar>
            <w:vAlign w:val="bottom"/>
          </w:tcPr>
          <w:p w14:paraId="3AF2AE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b/>
                <w:bCs/>
                <w:sz w:val="24"/>
                <w:szCs w:val="24"/>
              </w:rPr>
              <w:t>标准/规范名称</w:t>
            </w:r>
          </w:p>
        </w:tc>
      </w:tr>
      <w:tr w14:paraId="1269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28598A9B">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156-2017</w:t>
            </w:r>
          </w:p>
        </w:tc>
        <w:tc>
          <w:tcPr>
            <w:tcW w:w="7108" w:type="dxa"/>
            <w:shd w:val="clear" w:color="auto" w:fill="auto"/>
            <w:noWrap/>
            <w:tcMar>
              <w:top w:w="15" w:type="dxa"/>
              <w:left w:w="15" w:type="dxa"/>
              <w:right w:w="15" w:type="dxa"/>
            </w:tcMar>
            <w:vAlign w:val="center"/>
          </w:tcPr>
          <w:p w14:paraId="02FD8EF8">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标准电压</w:t>
            </w:r>
          </w:p>
        </w:tc>
      </w:tr>
      <w:tr w14:paraId="30C8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2FC9649C">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191-2025</w:t>
            </w:r>
          </w:p>
        </w:tc>
        <w:tc>
          <w:tcPr>
            <w:tcW w:w="7108" w:type="dxa"/>
            <w:shd w:val="clear" w:color="auto" w:fill="auto"/>
            <w:noWrap/>
            <w:tcMar>
              <w:top w:w="15" w:type="dxa"/>
              <w:left w:w="15" w:type="dxa"/>
              <w:right w:w="15" w:type="dxa"/>
            </w:tcMar>
            <w:vAlign w:val="center"/>
          </w:tcPr>
          <w:p w14:paraId="6DA65615">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包装储运图形符号标志</w:t>
            </w:r>
          </w:p>
        </w:tc>
      </w:tr>
      <w:tr w14:paraId="22D3F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0E9A31D3">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2423.1-2008</w:t>
            </w:r>
          </w:p>
        </w:tc>
        <w:tc>
          <w:tcPr>
            <w:tcW w:w="7108" w:type="dxa"/>
            <w:shd w:val="clear" w:color="auto" w:fill="auto"/>
            <w:noWrap/>
            <w:tcMar>
              <w:top w:w="15" w:type="dxa"/>
              <w:left w:w="15" w:type="dxa"/>
              <w:right w:w="15" w:type="dxa"/>
            </w:tcMar>
            <w:vAlign w:val="center"/>
          </w:tcPr>
          <w:p w14:paraId="0A756BE3">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电工电子产品环境试验 第 2 部分：试验方法 试验 A: 低温</w:t>
            </w:r>
          </w:p>
        </w:tc>
      </w:tr>
      <w:tr w14:paraId="62A8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3898835D">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2423.2-2008</w:t>
            </w:r>
          </w:p>
        </w:tc>
        <w:tc>
          <w:tcPr>
            <w:tcW w:w="7108" w:type="dxa"/>
            <w:shd w:val="clear" w:color="auto" w:fill="auto"/>
            <w:noWrap/>
            <w:tcMar>
              <w:top w:w="15" w:type="dxa"/>
              <w:left w:w="15" w:type="dxa"/>
              <w:right w:w="15" w:type="dxa"/>
            </w:tcMar>
            <w:vAlign w:val="center"/>
          </w:tcPr>
          <w:p w14:paraId="21D60B9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电工电子产品环境试验 第 2 部分：试验方法 试验 B: 高温</w:t>
            </w:r>
          </w:p>
        </w:tc>
      </w:tr>
      <w:tr w14:paraId="3049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1A91EBC7">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2423.5-2019</w:t>
            </w:r>
          </w:p>
        </w:tc>
        <w:tc>
          <w:tcPr>
            <w:tcW w:w="7108" w:type="dxa"/>
            <w:shd w:val="clear" w:color="auto" w:fill="auto"/>
            <w:noWrap/>
            <w:tcMar>
              <w:top w:w="15" w:type="dxa"/>
              <w:left w:w="15" w:type="dxa"/>
              <w:right w:w="15" w:type="dxa"/>
            </w:tcMar>
            <w:vAlign w:val="center"/>
          </w:tcPr>
          <w:p w14:paraId="4BD934ED">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环境试验 第 2 部分：试验方法 试验 Ea 和导则：冲击</w:t>
            </w:r>
          </w:p>
        </w:tc>
      </w:tr>
      <w:tr w14:paraId="067CE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5B717FF1">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2423.3-2016</w:t>
            </w:r>
          </w:p>
        </w:tc>
        <w:tc>
          <w:tcPr>
            <w:tcW w:w="7108" w:type="dxa"/>
            <w:shd w:val="clear" w:color="auto" w:fill="auto"/>
            <w:noWrap/>
            <w:tcMar>
              <w:top w:w="15" w:type="dxa"/>
              <w:left w:w="15" w:type="dxa"/>
              <w:right w:w="15" w:type="dxa"/>
            </w:tcMar>
            <w:vAlign w:val="center"/>
          </w:tcPr>
          <w:p w14:paraId="61F0494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环境试验 第 2 部分：试验方法 试验 CAB：恒定湿热试验</w:t>
            </w:r>
          </w:p>
        </w:tc>
      </w:tr>
      <w:tr w14:paraId="692E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3BE89C6B">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2423.10-2019</w:t>
            </w:r>
          </w:p>
        </w:tc>
        <w:tc>
          <w:tcPr>
            <w:tcW w:w="7108" w:type="dxa"/>
            <w:shd w:val="clear" w:color="auto" w:fill="auto"/>
            <w:noWrap/>
            <w:tcMar>
              <w:top w:w="15" w:type="dxa"/>
              <w:left w:w="15" w:type="dxa"/>
              <w:right w:w="15" w:type="dxa"/>
            </w:tcMar>
            <w:vAlign w:val="center"/>
          </w:tcPr>
          <w:p w14:paraId="6DF47530">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环境试验 第 2 部分：试验方法 试验 Fc: 振动（正弦）</w:t>
            </w:r>
          </w:p>
        </w:tc>
      </w:tr>
      <w:tr w14:paraId="0324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43EAAAFD">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4208-2017</w:t>
            </w:r>
          </w:p>
        </w:tc>
        <w:tc>
          <w:tcPr>
            <w:tcW w:w="7108" w:type="dxa"/>
            <w:shd w:val="clear" w:color="auto" w:fill="auto"/>
            <w:noWrap/>
            <w:tcMar>
              <w:top w:w="15" w:type="dxa"/>
              <w:left w:w="15" w:type="dxa"/>
              <w:right w:w="15" w:type="dxa"/>
            </w:tcMar>
            <w:vAlign w:val="center"/>
          </w:tcPr>
          <w:p w14:paraId="10C5A0FF">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外壳防护等级（IP 代码）</w:t>
            </w:r>
          </w:p>
        </w:tc>
      </w:tr>
      <w:tr w14:paraId="5CAF1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3D9AC674">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5169.11-2017</w:t>
            </w:r>
          </w:p>
        </w:tc>
        <w:tc>
          <w:tcPr>
            <w:tcW w:w="7108" w:type="dxa"/>
            <w:shd w:val="clear" w:color="auto" w:fill="auto"/>
            <w:noWrap/>
            <w:tcMar>
              <w:top w:w="15" w:type="dxa"/>
              <w:left w:w="15" w:type="dxa"/>
              <w:right w:w="15" w:type="dxa"/>
            </w:tcMar>
            <w:vAlign w:val="center"/>
          </w:tcPr>
          <w:p w14:paraId="7ACB014E">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电工电子产品着火危险试验 第 11 部分：灼热丝 / 热丝基本试验方法 成品的灼热丝可燃性试验方法（GWEPT）</w:t>
            </w:r>
          </w:p>
        </w:tc>
      </w:tr>
      <w:tr w14:paraId="7FB35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1606DDE5">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11287-2000</w:t>
            </w:r>
          </w:p>
        </w:tc>
        <w:tc>
          <w:tcPr>
            <w:tcW w:w="7108" w:type="dxa"/>
            <w:shd w:val="clear" w:color="auto" w:fill="auto"/>
            <w:noWrap/>
            <w:tcMar>
              <w:top w:w="15" w:type="dxa"/>
              <w:left w:w="15" w:type="dxa"/>
              <w:right w:w="15" w:type="dxa"/>
            </w:tcMar>
            <w:vAlign w:val="center"/>
          </w:tcPr>
          <w:p w14:paraId="7723BE6F">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电气继电器 第 21 部分：量度继电器和保护装置的振动、冲击、碰撞和地震试验 第 1 篇：振动试验（正弦）</w:t>
            </w:r>
          </w:p>
        </w:tc>
      </w:tr>
      <w:tr w14:paraId="7CAFA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5CB47915">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12325-2008</w:t>
            </w:r>
          </w:p>
        </w:tc>
        <w:tc>
          <w:tcPr>
            <w:tcW w:w="7108" w:type="dxa"/>
            <w:shd w:val="clear" w:color="auto" w:fill="auto"/>
            <w:noWrap/>
            <w:tcMar>
              <w:top w:w="15" w:type="dxa"/>
              <w:left w:w="15" w:type="dxa"/>
              <w:right w:w="15" w:type="dxa"/>
            </w:tcMar>
            <w:vAlign w:val="center"/>
          </w:tcPr>
          <w:p w14:paraId="6B5D3876">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供电电压偏差</w:t>
            </w:r>
          </w:p>
        </w:tc>
      </w:tr>
      <w:tr w14:paraId="7D19D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28CF5BB5">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12326-2008</w:t>
            </w:r>
          </w:p>
        </w:tc>
        <w:tc>
          <w:tcPr>
            <w:tcW w:w="7108" w:type="dxa"/>
            <w:shd w:val="clear" w:color="auto" w:fill="auto"/>
            <w:noWrap/>
            <w:tcMar>
              <w:top w:w="15" w:type="dxa"/>
              <w:left w:w="15" w:type="dxa"/>
              <w:right w:w="15" w:type="dxa"/>
            </w:tcMar>
            <w:vAlign w:val="center"/>
          </w:tcPr>
          <w:p w14:paraId="4304846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电压波动和闪变</w:t>
            </w:r>
          </w:p>
        </w:tc>
      </w:tr>
      <w:tr w14:paraId="270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3BFFE67D">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14537-1993</w:t>
            </w:r>
          </w:p>
        </w:tc>
        <w:tc>
          <w:tcPr>
            <w:tcW w:w="7108" w:type="dxa"/>
            <w:shd w:val="clear" w:color="auto" w:fill="auto"/>
            <w:noWrap/>
            <w:tcMar>
              <w:top w:w="15" w:type="dxa"/>
              <w:left w:w="15" w:type="dxa"/>
              <w:right w:w="15" w:type="dxa"/>
            </w:tcMar>
            <w:vAlign w:val="center"/>
          </w:tcPr>
          <w:p w14:paraId="31ABFF6E">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量度继电器和保护装置的冲击与碰撞试验</w:t>
            </w:r>
          </w:p>
        </w:tc>
      </w:tr>
      <w:tr w14:paraId="5EA60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3A7FC44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14549-1993</w:t>
            </w:r>
          </w:p>
        </w:tc>
        <w:tc>
          <w:tcPr>
            <w:tcW w:w="7108" w:type="dxa"/>
            <w:shd w:val="clear" w:color="auto" w:fill="auto"/>
            <w:noWrap/>
            <w:tcMar>
              <w:top w:w="15" w:type="dxa"/>
              <w:left w:w="15" w:type="dxa"/>
              <w:right w:w="15" w:type="dxa"/>
            </w:tcMar>
            <w:vAlign w:val="center"/>
          </w:tcPr>
          <w:p w14:paraId="4BB49E2F">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公用电网谐波</w:t>
            </w:r>
          </w:p>
        </w:tc>
      </w:tr>
      <w:tr w14:paraId="2C111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23B2F523">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15543-2008</w:t>
            </w:r>
          </w:p>
        </w:tc>
        <w:tc>
          <w:tcPr>
            <w:tcW w:w="7108" w:type="dxa"/>
            <w:shd w:val="clear" w:color="auto" w:fill="auto"/>
            <w:noWrap/>
            <w:tcMar>
              <w:top w:w="15" w:type="dxa"/>
              <w:left w:w="15" w:type="dxa"/>
              <w:right w:w="15" w:type="dxa"/>
            </w:tcMar>
            <w:vAlign w:val="center"/>
          </w:tcPr>
          <w:p w14:paraId="17309B5C">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三相电压不平衡</w:t>
            </w:r>
          </w:p>
        </w:tc>
      </w:tr>
      <w:tr w14:paraId="7C9E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54D1E174">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15945-2008</w:t>
            </w:r>
          </w:p>
        </w:tc>
        <w:tc>
          <w:tcPr>
            <w:tcW w:w="7108" w:type="dxa"/>
            <w:shd w:val="clear" w:color="auto" w:fill="auto"/>
            <w:noWrap/>
            <w:tcMar>
              <w:top w:w="15" w:type="dxa"/>
              <w:left w:w="15" w:type="dxa"/>
              <w:right w:w="15" w:type="dxa"/>
            </w:tcMar>
            <w:vAlign w:val="center"/>
          </w:tcPr>
          <w:p w14:paraId="58D1CD08">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电力系统频率偏差</w:t>
            </w:r>
          </w:p>
        </w:tc>
      </w:tr>
      <w:tr w14:paraId="48020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2A54912F">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 17625.1-2022</w:t>
            </w:r>
          </w:p>
        </w:tc>
        <w:tc>
          <w:tcPr>
            <w:tcW w:w="7108" w:type="dxa"/>
            <w:shd w:val="clear" w:color="auto" w:fill="auto"/>
            <w:noWrap/>
            <w:tcMar>
              <w:top w:w="15" w:type="dxa"/>
              <w:left w:w="15" w:type="dxa"/>
              <w:right w:w="15" w:type="dxa"/>
            </w:tcMar>
            <w:vAlign w:val="center"/>
          </w:tcPr>
          <w:p w14:paraId="66CD1D4A">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电磁兼容 限值 第 1 部分：谐波电流发射限值（设备每相输入电流≤16A）</w:t>
            </w:r>
          </w:p>
        </w:tc>
      </w:tr>
      <w:tr w14:paraId="2C88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2E806BE9">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17626.3-2023</w:t>
            </w:r>
          </w:p>
        </w:tc>
        <w:tc>
          <w:tcPr>
            <w:tcW w:w="7108" w:type="dxa"/>
            <w:shd w:val="clear" w:color="auto" w:fill="auto"/>
            <w:noWrap/>
            <w:tcMar>
              <w:top w:w="15" w:type="dxa"/>
              <w:left w:w="15" w:type="dxa"/>
              <w:right w:w="15" w:type="dxa"/>
            </w:tcMar>
            <w:vAlign w:val="center"/>
          </w:tcPr>
          <w:p w14:paraId="07B912EB">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电磁兼容 试验和测量技术 第 3 部分：射频电磁场辐射抗扰度试验</w:t>
            </w:r>
          </w:p>
        </w:tc>
      </w:tr>
      <w:tr w14:paraId="276FC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4085EB8A">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17626.4-2018</w:t>
            </w:r>
          </w:p>
        </w:tc>
        <w:tc>
          <w:tcPr>
            <w:tcW w:w="7108" w:type="dxa"/>
            <w:shd w:val="clear" w:color="auto" w:fill="auto"/>
            <w:noWrap/>
            <w:tcMar>
              <w:top w:w="15" w:type="dxa"/>
              <w:left w:w="15" w:type="dxa"/>
              <w:right w:w="15" w:type="dxa"/>
            </w:tcMar>
            <w:vAlign w:val="center"/>
          </w:tcPr>
          <w:p w14:paraId="3F4E14EB">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电磁兼容 试验和测量技术 电快速瞬变脉冲群抗扰度试验</w:t>
            </w:r>
          </w:p>
        </w:tc>
      </w:tr>
      <w:tr w14:paraId="2CA8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4173DBA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17626.5-2019</w:t>
            </w:r>
          </w:p>
        </w:tc>
        <w:tc>
          <w:tcPr>
            <w:tcW w:w="7108" w:type="dxa"/>
            <w:shd w:val="clear" w:color="auto" w:fill="auto"/>
            <w:noWrap/>
            <w:tcMar>
              <w:top w:w="15" w:type="dxa"/>
              <w:left w:w="15" w:type="dxa"/>
              <w:right w:w="15" w:type="dxa"/>
            </w:tcMar>
            <w:vAlign w:val="center"/>
          </w:tcPr>
          <w:p w14:paraId="07453BFB">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电磁兼容 试验和测量技术 浪涌（冲击）抗扰度试验</w:t>
            </w:r>
          </w:p>
        </w:tc>
      </w:tr>
      <w:tr w14:paraId="6037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7BB655C9">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17626.7-2017</w:t>
            </w:r>
          </w:p>
        </w:tc>
        <w:tc>
          <w:tcPr>
            <w:tcW w:w="7108" w:type="dxa"/>
            <w:shd w:val="clear" w:color="auto" w:fill="auto"/>
            <w:noWrap/>
            <w:tcMar>
              <w:top w:w="15" w:type="dxa"/>
              <w:left w:w="15" w:type="dxa"/>
              <w:right w:w="15" w:type="dxa"/>
            </w:tcMar>
            <w:vAlign w:val="center"/>
          </w:tcPr>
          <w:p w14:paraId="1BDB6978">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电磁兼容 试验和测量技术 供电系统及所连设备谐波、间谐波的测量和测量仪器导则</w:t>
            </w:r>
          </w:p>
        </w:tc>
      </w:tr>
      <w:tr w14:paraId="4611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58E8AE4C">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17626.30-2023</w:t>
            </w:r>
          </w:p>
        </w:tc>
        <w:tc>
          <w:tcPr>
            <w:tcW w:w="7108" w:type="dxa"/>
            <w:shd w:val="clear" w:color="auto" w:fill="auto"/>
            <w:noWrap/>
            <w:tcMar>
              <w:top w:w="15" w:type="dxa"/>
              <w:left w:w="15" w:type="dxa"/>
              <w:right w:w="15" w:type="dxa"/>
            </w:tcMar>
            <w:vAlign w:val="center"/>
          </w:tcPr>
          <w:p w14:paraId="2F061BE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电磁兼容 试验和测量技术 第 30 部分：电能质量测量方法</w:t>
            </w:r>
          </w:p>
        </w:tc>
      </w:tr>
      <w:tr w14:paraId="5937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71CFC4B8">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18481-2001</w:t>
            </w:r>
          </w:p>
        </w:tc>
        <w:tc>
          <w:tcPr>
            <w:tcW w:w="7108" w:type="dxa"/>
            <w:shd w:val="clear" w:color="auto" w:fill="auto"/>
            <w:noWrap/>
            <w:tcMar>
              <w:top w:w="15" w:type="dxa"/>
              <w:left w:w="15" w:type="dxa"/>
              <w:right w:w="15" w:type="dxa"/>
            </w:tcMar>
            <w:vAlign w:val="center"/>
          </w:tcPr>
          <w:p w14:paraId="1BC1432F">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暂时过电压和瞬态过电压</w:t>
            </w:r>
          </w:p>
        </w:tc>
      </w:tr>
      <w:tr w14:paraId="2CE98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713ACF4C">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19862-2025</w:t>
            </w:r>
          </w:p>
        </w:tc>
        <w:tc>
          <w:tcPr>
            <w:tcW w:w="7108" w:type="dxa"/>
            <w:shd w:val="clear" w:color="auto" w:fill="auto"/>
            <w:noWrap/>
            <w:tcMar>
              <w:top w:w="15" w:type="dxa"/>
              <w:left w:w="15" w:type="dxa"/>
              <w:right w:w="15" w:type="dxa"/>
            </w:tcMar>
            <w:vAlign w:val="center"/>
          </w:tcPr>
          <w:p w14:paraId="20758206">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电能质量监测设备通用要求</w:t>
            </w:r>
          </w:p>
        </w:tc>
      </w:tr>
      <w:tr w14:paraId="4630D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729B746D">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14598.24-2017</w:t>
            </w:r>
          </w:p>
        </w:tc>
        <w:tc>
          <w:tcPr>
            <w:tcW w:w="7108" w:type="dxa"/>
            <w:shd w:val="clear" w:color="auto" w:fill="auto"/>
            <w:noWrap/>
            <w:tcMar>
              <w:top w:w="15" w:type="dxa"/>
              <w:left w:w="15" w:type="dxa"/>
              <w:right w:w="15" w:type="dxa"/>
            </w:tcMar>
            <w:vAlign w:val="center"/>
          </w:tcPr>
          <w:p w14:paraId="1193DB2F">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量度继电器和保护装置 第 24 部分：电力系统暂态数据交换（COMTRADE）通用格式</w:t>
            </w:r>
          </w:p>
        </w:tc>
      </w:tr>
      <w:tr w14:paraId="3CDE1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6C99F76F">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24337-2009</w:t>
            </w:r>
          </w:p>
        </w:tc>
        <w:tc>
          <w:tcPr>
            <w:tcW w:w="7108" w:type="dxa"/>
            <w:shd w:val="clear" w:color="auto" w:fill="auto"/>
            <w:noWrap/>
            <w:tcMar>
              <w:top w:w="15" w:type="dxa"/>
              <w:left w:w="15" w:type="dxa"/>
              <w:right w:w="15" w:type="dxa"/>
            </w:tcMar>
            <w:vAlign w:val="center"/>
          </w:tcPr>
          <w:p w14:paraId="08BE87E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公用电网间谐波</w:t>
            </w:r>
          </w:p>
        </w:tc>
      </w:tr>
      <w:tr w14:paraId="68E26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0CECF779">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30137-2024</w:t>
            </w:r>
          </w:p>
        </w:tc>
        <w:tc>
          <w:tcPr>
            <w:tcW w:w="7108" w:type="dxa"/>
            <w:shd w:val="clear" w:color="auto" w:fill="auto"/>
            <w:noWrap/>
            <w:tcMar>
              <w:top w:w="15" w:type="dxa"/>
              <w:left w:w="15" w:type="dxa"/>
              <w:right w:w="15" w:type="dxa"/>
            </w:tcMar>
            <w:vAlign w:val="center"/>
          </w:tcPr>
          <w:p w14:paraId="370A40F9">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电压暂升、电压暂降与短时中断</w:t>
            </w:r>
          </w:p>
        </w:tc>
      </w:tr>
      <w:tr w14:paraId="0344F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46BC9CFD">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GB/T 32507-2024</w:t>
            </w:r>
          </w:p>
        </w:tc>
        <w:tc>
          <w:tcPr>
            <w:tcW w:w="7108" w:type="dxa"/>
            <w:shd w:val="clear" w:color="auto" w:fill="auto"/>
            <w:noWrap/>
            <w:tcMar>
              <w:top w:w="15" w:type="dxa"/>
              <w:left w:w="15" w:type="dxa"/>
              <w:right w:w="15" w:type="dxa"/>
            </w:tcMar>
            <w:vAlign w:val="center"/>
          </w:tcPr>
          <w:p w14:paraId="3713E8FF">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 术语</w:t>
            </w:r>
          </w:p>
        </w:tc>
      </w:tr>
      <w:tr w14:paraId="62F14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6164D41D">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DL/T 282-2018</w:t>
            </w:r>
          </w:p>
        </w:tc>
        <w:tc>
          <w:tcPr>
            <w:tcW w:w="7108" w:type="dxa"/>
            <w:shd w:val="clear" w:color="auto" w:fill="auto"/>
            <w:noWrap/>
            <w:tcMar>
              <w:top w:w="15" w:type="dxa"/>
              <w:left w:w="15" w:type="dxa"/>
              <w:right w:w="15" w:type="dxa"/>
            </w:tcMar>
            <w:vAlign w:val="center"/>
          </w:tcPr>
          <w:p w14:paraId="4ECBBBEA">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合并单元技术条件</w:t>
            </w:r>
          </w:p>
        </w:tc>
      </w:tr>
      <w:tr w14:paraId="2FA38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6B2BB58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DL/T 860</w:t>
            </w:r>
          </w:p>
        </w:tc>
        <w:tc>
          <w:tcPr>
            <w:tcW w:w="7108" w:type="dxa"/>
            <w:shd w:val="clear" w:color="auto" w:fill="auto"/>
            <w:noWrap/>
            <w:tcMar>
              <w:top w:w="15" w:type="dxa"/>
              <w:left w:w="15" w:type="dxa"/>
              <w:right w:w="15" w:type="dxa"/>
            </w:tcMar>
            <w:vAlign w:val="center"/>
          </w:tcPr>
          <w:p w14:paraId="535DF271">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变电站通信网络和系统（IEC 61850，idt）</w:t>
            </w:r>
          </w:p>
        </w:tc>
      </w:tr>
      <w:tr w14:paraId="602C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403406DE">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DL/T 1146-2009</w:t>
            </w:r>
          </w:p>
        </w:tc>
        <w:tc>
          <w:tcPr>
            <w:tcW w:w="7108" w:type="dxa"/>
            <w:shd w:val="clear" w:color="auto" w:fill="auto"/>
            <w:noWrap/>
            <w:tcMar>
              <w:top w:w="15" w:type="dxa"/>
              <w:left w:w="15" w:type="dxa"/>
              <w:right w:w="15" w:type="dxa"/>
            </w:tcMar>
            <w:vAlign w:val="center"/>
          </w:tcPr>
          <w:p w14:paraId="2E1802E1">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DL/T 860 实施技术规范</w:t>
            </w:r>
          </w:p>
        </w:tc>
      </w:tr>
      <w:tr w14:paraId="607C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27903CC2">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DL/T 1194-2012</w:t>
            </w:r>
          </w:p>
        </w:tc>
        <w:tc>
          <w:tcPr>
            <w:tcW w:w="7108" w:type="dxa"/>
            <w:shd w:val="clear" w:color="auto" w:fill="auto"/>
            <w:noWrap/>
            <w:tcMar>
              <w:top w:w="15" w:type="dxa"/>
              <w:left w:w="15" w:type="dxa"/>
              <w:right w:w="15" w:type="dxa"/>
            </w:tcMar>
            <w:vAlign w:val="center"/>
          </w:tcPr>
          <w:p w14:paraId="542D8017">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电能质量术语</w:t>
            </w:r>
          </w:p>
        </w:tc>
      </w:tr>
      <w:tr w14:paraId="7918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044E8B7B">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DL/T 1297-2013</w:t>
            </w:r>
          </w:p>
        </w:tc>
        <w:tc>
          <w:tcPr>
            <w:tcW w:w="7108" w:type="dxa"/>
            <w:shd w:val="clear" w:color="auto" w:fill="auto"/>
            <w:noWrap/>
            <w:tcMar>
              <w:top w:w="15" w:type="dxa"/>
              <w:left w:w="15" w:type="dxa"/>
              <w:right w:w="15" w:type="dxa"/>
            </w:tcMar>
            <w:vAlign w:val="center"/>
          </w:tcPr>
          <w:p w14:paraId="05D2F109">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电能质量监测系统技术规范</w:t>
            </w:r>
          </w:p>
        </w:tc>
      </w:tr>
      <w:tr w14:paraId="522A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2898" w:type="dxa"/>
            <w:shd w:val="clear" w:color="auto" w:fill="auto"/>
            <w:noWrap/>
            <w:tcMar>
              <w:top w:w="15" w:type="dxa"/>
              <w:left w:w="15" w:type="dxa"/>
              <w:right w:w="15" w:type="dxa"/>
            </w:tcMar>
            <w:vAlign w:val="center"/>
          </w:tcPr>
          <w:p w14:paraId="5D76B81C">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DL/T 1608-2016</w:t>
            </w:r>
          </w:p>
        </w:tc>
        <w:tc>
          <w:tcPr>
            <w:tcW w:w="7108" w:type="dxa"/>
            <w:shd w:val="clear" w:color="auto" w:fill="auto"/>
            <w:noWrap/>
            <w:tcMar>
              <w:top w:w="15" w:type="dxa"/>
              <w:left w:w="15" w:type="dxa"/>
              <w:right w:w="15" w:type="dxa"/>
            </w:tcMar>
            <w:vAlign w:val="center"/>
          </w:tcPr>
          <w:p w14:paraId="7D630EA8">
            <w:pPr>
              <w:keepNext w:val="0"/>
              <w:keepLines w:val="0"/>
              <w:pageBreakBefore w:val="0"/>
              <w:widowControl w:val="0"/>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Theme="minorEastAsia" w:hAnsiTheme="minorEastAsia" w:eastAsiaTheme="minorEastAsia" w:cstheme="minorEastAsia"/>
                <w:i w:val="0"/>
                <w:color w:val="000000"/>
                <w:sz w:val="24"/>
                <w:szCs w:val="24"/>
                <w:u w:val="none"/>
              </w:rPr>
            </w:pPr>
            <w:r>
              <w:rPr>
                <w:rFonts w:hint="eastAsia" w:asciiTheme="minorEastAsia" w:hAnsiTheme="minorEastAsia" w:eastAsiaTheme="minorEastAsia" w:cstheme="minorEastAsia"/>
                <w:i w:val="0"/>
                <w:color w:val="000000"/>
                <w:kern w:val="0"/>
                <w:sz w:val="24"/>
                <w:szCs w:val="24"/>
                <w:u w:val="none"/>
                <w:lang w:val="en-US" w:eastAsia="zh-CN" w:bidi="ar"/>
              </w:rPr>
              <w:t>电能质量数据交换格式规范</w:t>
            </w:r>
          </w:p>
        </w:tc>
      </w:tr>
      <w:bookmarkEnd w:id="3"/>
      <w:bookmarkEnd w:id="4"/>
    </w:tbl>
    <w:p w14:paraId="4121BF6C">
      <w:pPr>
        <w:pStyle w:val="3"/>
        <w:rPr>
          <w:rFonts w:ascii="Times New Roman Regular" w:hAnsi="Times New Roman Regular" w:cs="Times New Roman Regular"/>
        </w:rPr>
      </w:pPr>
      <w:r>
        <w:rPr>
          <w:rFonts w:hint="eastAsia" w:ascii="Times New Roman Regular" w:hAnsi="Times New Roman Regular" w:cs="Times New Roman Regular"/>
        </w:rPr>
        <w:t>主要技术</w:t>
      </w:r>
      <w:r>
        <w:rPr>
          <w:rFonts w:ascii="Times New Roman Regular" w:hAnsi="Times New Roman Regular" w:cs="Times New Roman Regular"/>
        </w:rPr>
        <w:t>要求</w:t>
      </w:r>
    </w:p>
    <w:p w14:paraId="4C719046">
      <w:pPr>
        <w:ind w:firstLine="480"/>
        <w:rPr>
          <w:rFonts w:ascii="Times New Roman Regular" w:hAnsi="Times New Roman Regular" w:cs="Times New Roman Regular"/>
        </w:rPr>
      </w:pPr>
      <w:r>
        <w:rPr>
          <w:rFonts w:ascii="Times New Roman Regular" w:hAnsi="Times New Roman Regular" w:cs="Times New Roman Regular"/>
        </w:rPr>
        <w:t>四通道（4U4I）</w:t>
      </w:r>
      <w:r>
        <w:rPr>
          <w:rFonts w:hint="eastAsia" w:ascii="Times New Roman Regular" w:hAnsi="Times New Roman Regular" w:cs="Times New Roman Regular"/>
        </w:rPr>
        <w:t>电能质量监测终端满足以下性能要求。</w:t>
      </w:r>
    </w:p>
    <w:tbl>
      <w:tblPr>
        <w:tblStyle w:val="28"/>
        <w:tblW w:w="9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700"/>
        <w:gridCol w:w="7467"/>
      </w:tblGrid>
      <w:tr w14:paraId="0560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dxa"/>
          </w:tcPr>
          <w:p w14:paraId="7F5C69E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序号</w:t>
            </w:r>
          </w:p>
        </w:tc>
        <w:tc>
          <w:tcPr>
            <w:tcW w:w="1700" w:type="dxa"/>
          </w:tcPr>
          <w:p w14:paraId="14183DA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名称</w:t>
            </w:r>
          </w:p>
        </w:tc>
        <w:tc>
          <w:tcPr>
            <w:tcW w:w="7467" w:type="dxa"/>
          </w:tcPr>
          <w:p w14:paraId="72A4630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关键技术指标参数值</w:t>
            </w:r>
          </w:p>
        </w:tc>
      </w:tr>
      <w:tr w14:paraId="579A6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dxa"/>
            <w:vMerge w:val="restart"/>
            <w:vAlign w:val="center"/>
          </w:tcPr>
          <w:p w14:paraId="0A8D318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1</w:t>
            </w:r>
          </w:p>
        </w:tc>
        <w:tc>
          <w:tcPr>
            <w:tcW w:w="1700" w:type="dxa"/>
            <w:vMerge w:val="restart"/>
            <w:vAlign w:val="center"/>
          </w:tcPr>
          <w:p w14:paraId="49D671D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四通道（4U4I</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电能质量监测终端</w:t>
            </w:r>
          </w:p>
        </w:tc>
        <w:tc>
          <w:tcPr>
            <w:tcW w:w="7467" w:type="dxa"/>
            <w:vAlign w:val="center"/>
          </w:tcPr>
          <w:p w14:paraId="3EDCC35A">
            <w:pPr>
              <w:pStyle w:val="5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center"/>
              <w:rPr>
                <w:rFonts w:hint="eastAsia" w:asciiTheme="minorEastAsia" w:hAnsiTheme="minorEastAsia" w:eastAsiaTheme="minorEastAsia" w:cstheme="minorEastAsia"/>
                <w:b/>
                <w:bCs/>
                <w:color w:val="auto"/>
                <w:kern w:val="0"/>
                <w:sz w:val="24"/>
                <w:szCs w:val="24"/>
                <w:lang w:bidi="ar"/>
              </w:rPr>
            </w:pPr>
            <w:r>
              <w:rPr>
                <w:rFonts w:hint="default" w:asciiTheme="minorEastAsia" w:hAnsiTheme="minorEastAsia" w:eastAsiaTheme="minorEastAsia" w:cstheme="minorEastAsia"/>
                <w:b/>
                <w:bCs/>
                <w:color w:val="auto"/>
                <w:kern w:val="0"/>
                <w:sz w:val="24"/>
                <w:szCs w:val="24"/>
                <w:lang w:val="en-US" w:eastAsia="zh-CN" w:bidi="ar"/>
              </w:rPr>
              <w:t>1、</w:t>
            </w:r>
            <w:r>
              <w:rPr>
                <w:rFonts w:hint="eastAsia" w:asciiTheme="minorEastAsia" w:hAnsiTheme="minorEastAsia" w:eastAsiaTheme="minorEastAsia" w:cstheme="minorEastAsia"/>
                <w:b/>
                <w:bCs/>
                <w:color w:val="auto"/>
                <w:kern w:val="0"/>
                <w:sz w:val="24"/>
                <w:szCs w:val="24"/>
                <w:lang w:bidi="ar"/>
              </w:rPr>
              <w:t>终端组成及功能要求</w:t>
            </w:r>
          </w:p>
          <w:p w14:paraId="2574EAF2">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1.1终端组成</w:t>
            </w:r>
          </w:p>
          <w:p w14:paraId="64557C83">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监测终端由数据处理模块(CPU)、通信模块、</w:t>
            </w:r>
            <w:r>
              <w:rPr>
                <w:rFonts w:hint="eastAsia" w:asciiTheme="minorEastAsia" w:hAnsiTheme="minorEastAsia" w:eastAsiaTheme="minorEastAsia" w:cstheme="minorEastAsia"/>
                <w:color w:val="auto"/>
                <w:sz w:val="24"/>
                <w:szCs w:val="24"/>
                <w:lang w:val="en-US" w:eastAsia="zh-CN"/>
              </w:rPr>
              <w:t>多</w:t>
            </w:r>
            <w:r>
              <w:rPr>
                <w:rFonts w:hint="eastAsia" w:asciiTheme="minorEastAsia" w:hAnsiTheme="minorEastAsia" w:eastAsiaTheme="minorEastAsia" w:cstheme="minorEastAsia"/>
                <w:color w:val="auto"/>
                <w:sz w:val="24"/>
                <w:szCs w:val="24"/>
              </w:rPr>
              <w:t>路模拟采集模块、显示模块、电源模块及背板组成，模块功能满足以下要求：</w:t>
            </w:r>
          </w:p>
          <w:p w14:paraId="69806D5C">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a）数据处理模块(CPU)处理接收模拟采集模块处理后的二次信号，进行各项指标计算、统计、存储等。</w:t>
            </w:r>
          </w:p>
          <w:p w14:paraId="7681F540">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b）通信模块负责与数据处理模块交互，实现数据存储及外部各种通信接口。模块数据存储介质为SSD，空间大小不小于60G容量，数据记录应能选择按“先进先出”或“存满即止”的原则更新；模块应具备防误删除、防更改监测数据的功能，在整机故障或失电的情况下，监测数据不能丢失；模块能够存储不少于24个月的1MIN统计数据（包括1MIN内的最大值、最小值、平均值、95%概率大值）；模块必须具备双100M以太网接口和一个USB接口，须配置一个本地维护以太网接口，以实现远方和就地管理、参数设置、数据实时传输或定时提取；模块具备外部GPS/北斗授时硬件接口接收硬件授时，同时可实现经远方时钟服务器网络对时的功能，网络对时报文应符合标准网络时间协议NTP或简单网络时间协议SNTP。</w:t>
            </w:r>
          </w:p>
          <w:p w14:paraId="611464A3">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c)</w:t>
            </w:r>
            <w:r>
              <w:rPr>
                <w:rFonts w:hint="eastAsia" w:asciiTheme="minorEastAsia" w:hAnsiTheme="minorEastAsia" w:eastAsiaTheme="minorEastAsia" w:cstheme="minorEastAsia"/>
                <w:color w:val="auto"/>
                <w:sz w:val="24"/>
                <w:szCs w:val="24"/>
                <w:lang w:val="en-US" w:eastAsia="zh-CN"/>
              </w:rPr>
              <w:t>多路</w:t>
            </w:r>
            <w:r>
              <w:rPr>
                <w:rFonts w:hint="eastAsia" w:asciiTheme="minorEastAsia" w:hAnsiTheme="minorEastAsia" w:eastAsiaTheme="minorEastAsia" w:cstheme="minorEastAsia"/>
                <w:color w:val="auto"/>
                <w:sz w:val="24"/>
                <w:szCs w:val="24"/>
              </w:rPr>
              <w:t>模拟采集模块负责将输入电压电流信号转换为数字信号与数据处理模块交互，实现测量功能</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具备</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rPr>
              <w:t>路电压测量回路及</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rPr>
              <w:t>路电流测量回路。</w:t>
            </w:r>
          </w:p>
          <w:p w14:paraId="0F271CA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d）显示模块</w:t>
            </w:r>
          </w:p>
          <w:p w14:paraId="0F0DC374">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显示模块通过5.</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寸彩屏可以显示实时数据、实时波形、告警事件、设置参数等信息。可以表格和图形方式显示监测数据，液晶屏能够显示实时的三相电压、电流波形，并且能就地对波形进行上下左右方向的放大和缩小操作。应具备屏保功能，以保障长期运行；显示面板应具有指示灯，显示终端运行状态、数据通信状态等。</w:t>
            </w:r>
          </w:p>
          <w:p w14:paraId="474331DC">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e）电源模块</w:t>
            </w:r>
          </w:p>
          <w:p w14:paraId="3D289EC3">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电源板模块通过接入外部工作电源转换为设备电源使用供设备其它模块使用。电源模块输入满足本表5.1电源输入要求，输出一组5V电源以及一组24V电源；模块具备电源失去告警功能。</w:t>
            </w:r>
          </w:p>
          <w:p w14:paraId="5DF0B19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f）背板</w:t>
            </w:r>
          </w:p>
          <w:p w14:paraId="33F6F760">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背板模块通过集成接口连接各模块，实现整机功能。背板具备数字处理模块与模拟采集接口信号连接功能；具备数字处理模块与其它接口数字信号连接功能；具备数字处理模块与显示模块接口信号连接功能；具备电源模块输出各路电源分配到各模块接口功能。</w:t>
            </w:r>
          </w:p>
          <w:p w14:paraId="198FF3EB">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1.2终端功能</w:t>
            </w:r>
          </w:p>
          <w:p w14:paraId="49E3D23F">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监测终端整机可实现四路监测点同步测量，其主要功能满足表1要求。</w:t>
            </w:r>
          </w:p>
        </w:tc>
      </w:tr>
      <w:tr w14:paraId="4D40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dxa"/>
            <w:vMerge w:val="continue"/>
            <w:vAlign w:val="center"/>
          </w:tcPr>
          <w:p w14:paraId="4282896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color w:val="auto"/>
                <w:kern w:val="0"/>
                <w:sz w:val="24"/>
                <w:szCs w:val="24"/>
                <w:lang w:bidi="ar"/>
              </w:rPr>
            </w:pPr>
          </w:p>
        </w:tc>
        <w:tc>
          <w:tcPr>
            <w:tcW w:w="1700" w:type="dxa"/>
            <w:vMerge w:val="continue"/>
            <w:vAlign w:val="center"/>
          </w:tcPr>
          <w:p w14:paraId="057A520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center"/>
              <w:rPr>
                <w:rFonts w:hint="eastAsia" w:asciiTheme="minorEastAsia" w:hAnsiTheme="minorEastAsia" w:eastAsiaTheme="minorEastAsia" w:cstheme="minorEastAsia"/>
                <w:color w:val="auto"/>
                <w:kern w:val="0"/>
                <w:sz w:val="24"/>
                <w:szCs w:val="24"/>
                <w:lang w:bidi="ar"/>
              </w:rPr>
            </w:pPr>
          </w:p>
        </w:tc>
        <w:tc>
          <w:tcPr>
            <w:tcW w:w="7467" w:type="dxa"/>
            <w:vAlign w:val="center"/>
          </w:tcPr>
          <w:p w14:paraId="6962C2D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2、允许误差</w:t>
            </w:r>
          </w:p>
          <w:p w14:paraId="268ABC9D">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rPr>
              <w:t>监测终端各指标测量精度满足表2及表3误差要求。</w:t>
            </w:r>
          </w:p>
        </w:tc>
      </w:tr>
      <w:tr w14:paraId="73085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dxa"/>
            <w:vMerge w:val="continue"/>
            <w:vAlign w:val="center"/>
          </w:tcPr>
          <w:p w14:paraId="0512B13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color w:val="auto"/>
                <w:kern w:val="0"/>
                <w:sz w:val="24"/>
                <w:szCs w:val="24"/>
                <w:lang w:bidi="ar"/>
              </w:rPr>
            </w:pPr>
          </w:p>
        </w:tc>
        <w:tc>
          <w:tcPr>
            <w:tcW w:w="1700" w:type="dxa"/>
            <w:vMerge w:val="continue"/>
            <w:vAlign w:val="center"/>
          </w:tcPr>
          <w:p w14:paraId="502B87C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center"/>
              <w:rPr>
                <w:rFonts w:hint="eastAsia" w:asciiTheme="minorEastAsia" w:hAnsiTheme="minorEastAsia" w:eastAsiaTheme="minorEastAsia" w:cstheme="minorEastAsia"/>
                <w:color w:val="auto"/>
                <w:kern w:val="0"/>
                <w:sz w:val="24"/>
                <w:szCs w:val="24"/>
                <w:lang w:bidi="ar"/>
              </w:rPr>
            </w:pPr>
          </w:p>
        </w:tc>
        <w:tc>
          <w:tcPr>
            <w:tcW w:w="7467" w:type="dxa"/>
            <w:vAlign w:val="center"/>
          </w:tcPr>
          <w:p w14:paraId="3CC2D85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3、工作环境要求</w:t>
            </w:r>
          </w:p>
          <w:p w14:paraId="7FDC273D">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监测终端工作环境应符合以下要求：</w:t>
            </w:r>
          </w:p>
          <w:p w14:paraId="0EBF5942">
            <w:pPr>
              <w:pStyle w:val="14"/>
              <w:keepNext w:val="0"/>
              <w:keepLines w:val="0"/>
              <w:pageBreakBefore w:val="0"/>
              <w:widowControl w:val="0"/>
              <w:numPr>
                <w:ilvl w:val="0"/>
                <w:numId w:val="2"/>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环境温度：室内：-10℃～+45℃，室外：-15℃～+70℃</w:t>
            </w:r>
            <w:r>
              <w:rPr>
                <w:rFonts w:hint="eastAsia" w:asciiTheme="minorEastAsia" w:hAnsiTheme="minorEastAsia" w:eastAsiaTheme="minorEastAsia" w:cstheme="minorEastAsia"/>
                <w:color w:val="auto"/>
                <w:sz w:val="24"/>
                <w:szCs w:val="24"/>
                <w:lang w:eastAsia="zh-CN"/>
              </w:rPr>
              <w:t>。</w:t>
            </w:r>
          </w:p>
          <w:p w14:paraId="510D3D2A">
            <w:pPr>
              <w:pStyle w:val="14"/>
              <w:keepNext w:val="0"/>
              <w:keepLines w:val="0"/>
              <w:pageBreakBefore w:val="0"/>
              <w:widowControl w:val="0"/>
              <w:numPr>
                <w:ilvl w:val="0"/>
                <w:numId w:val="2"/>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相对湿度：5%～100%（产品内部不凝露，不结冰）</w:t>
            </w:r>
            <w:r>
              <w:rPr>
                <w:rFonts w:hint="eastAsia" w:asciiTheme="minorEastAsia" w:hAnsiTheme="minorEastAsia" w:eastAsiaTheme="minorEastAsia" w:cstheme="minorEastAsia"/>
                <w:color w:val="auto"/>
                <w:sz w:val="24"/>
                <w:szCs w:val="24"/>
                <w:lang w:eastAsia="zh-CN"/>
              </w:rPr>
              <w:t>。</w:t>
            </w:r>
          </w:p>
          <w:p w14:paraId="1067D42C">
            <w:pPr>
              <w:pStyle w:val="14"/>
              <w:keepNext w:val="0"/>
              <w:keepLines w:val="0"/>
              <w:pageBreakBefore w:val="0"/>
              <w:widowControl w:val="0"/>
              <w:numPr>
                <w:ilvl w:val="0"/>
                <w:numId w:val="2"/>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环境温度最大变化率：1℃/h</w:t>
            </w:r>
            <w:r>
              <w:rPr>
                <w:rFonts w:hint="eastAsia" w:asciiTheme="minorEastAsia" w:hAnsiTheme="minorEastAsia" w:eastAsiaTheme="minorEastAsia" w:cstheme="minorEastAsia"/>
                <w:color w:val="auto"/>
                <w:sz w:val="24"/>
                <w:szCs w:val="24"/>
                <w:lang w:eastAsia="zh-CN"/>
              </w:rPr>
              <w:t>。</w:t>
            </w:r>
          </w:p>
          <w:p w14:paraId="4077D826">
            <w:pPr>
              <w:pStyle w:val="14"/>
              <w:keepNext w:val="0"/>
              <w:keepLines w:val="0"/>
              <w:pageBreakBefore w:val="0"/>
              <w:widowControl w:val="0"/>
              <w:numPr>
                <w:ilvl w:val="0"/>
                <w:numId w:val="2"/>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最大绝对湿度：35g/m</w:t>
            </w:r>
            <w:r>
              <w:rPr>
                <w:rFonts w:hint="eastAsia" w:asciiTheme="minorEastAsia" w:hAnsiTheme="minorEastAsia" w:eastAsiaTheme="minorEastAsia" w:cstheme="minorEastAsia"/>
                <w:color w:val="auto"/>
                <w:sz w:val="24"/>
                <w:szCs w:val="24"/>
                <w:vertAlign w:val="superscript"/>
              </w:rPr>
              <w:t>3</w:t>
            </w:r>
            <w:r>
              <w:rPr>
                <w:rFonts w:hint="eastAsia" w:asciiTheme="minorEastAsia" w:hAnsiTheme="minorEastAsia" w:eastAsiaTheme="minorEastAsia" w:cstheme="minorEastAsia"/>
                <w:color w:val="auto"/>
                <w:sz w:val="24"/>
                <w:szCs w:val="24"/>
                <w:lang w:eastAsia="zh-CN"/>
              </w:rPr>
              <w:t>。</w:t>
            </w:r>
          </w:p>
          <w:p w14:paraId="395187D1">
            <w:pPr>
              <w:pStyle w:val="14"/>
              <w:keepNext w:val="0"/>
              <w:keepLines w:val="0"/>
              <w:pageBreakBefore w:val="0"/>
              <w:widowControl w:val="0"/>
              <w:numPr>
                <w:ilvl w:val="0"/>
                <w:numId w:val="2"/>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大气压力：63kPa～108kPa（海拔4000m及以下）。</w:t>
            </w:r>
          </w:p>
        </w:tc>
      </w:tr>
      <w:tr w14:paraId="01F70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dxa"/>
            <w:vMerge w:val="continue"/>
            <w:vAlign w:val="center"/>
          </w:tcPr>
          <w:p w14:paraId="5E9484B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color w:val="auto"/>
                <w:kern w:val="0"/>
                <w:sz w:val="24"/>
                <w:szCs w:val="24"/>
                <w:lang w:bidi="ar"/>
              </w:rPr>
            </w:pPr>
          </w:p>
        </w:tc>
        <w:tc>
          <w:tcPr>
            <w:tcW w:w="1700" w:type="dxa"/>
            <w:vMerge w:val="continue"/>
            <w:vAlign w:val="center"/>
          </w:tcPr>
          <w:p w14:paraId="2C265F8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center"/>
              <w:rPr>
                <w:rFonts w:hint="eastAsia" w:asciiTheme="minorEastAsia" w:hAnsiTheme="minorEastAsia" w:eastAsiaTheme="minorEastAsia" w:cstheme="minorEastAsia"/>
                <w:color w:val="auto"/>
                <w:kern w:val="0"/>
                <w:sz w:val="24"/>
                <w:szCs w:val="24"/>
                <w:lang w:bidi="ar"/>
              </w:rPr>
            </w:pPr>
          </w:p>
        </w:tc>
        <w:tc>
          <w:tcPr>
            <w:tcW w:w="7467" w:type="dxa"/>
            <w:vAlign w:val="center"/>
          </w:tcPr>
          <w:p w14:paraId="42EBC61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4、外观和机械结构</w:t>
            </w:r>
          </w:p>
          <w:p w14:paraId="6E246AE8">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4.1外观要求</w:t>
            </w:r>
          </w:p>
          <w:p w14:paraId="75A81BA0">
            <w:pPr>
              <w:pStyle w:val="14"/>
              <w:keepNext w:val="0"/>
              <w:keepLines w:val="0"/>
              <w:pageBreakBefore w:val="0"/>
              <w:widowControl w:val="0"/>
              <w:numPr>
                <w:ilvl w:val="0"/>
                <w:numId w:val="3"/>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机箱表面无裂纹、退色、变形、划痕及永久性污渍；标识、铭牌完整，字迹清楚</w:t>
            </w:r>
            <w:r>
              <w:rPr>
                <w:rFonts w:hint="eastAsia" w:asciiTheme="minorEastAsia" w:hAnsiTheme="minorEastAsia" w:eastAsiaTheme="minorEastAsia" w:cstheme="minorEastAsia"/>
                <w:color w:val="auto"/>
                <w:sz w:val="24"/>
                <w:szCs w:val="24"/>
                <w:lang w:eastAsia="zh-CN"/>
              </w:rPr>
              <w:t>。</w:t>
            </w:r>
          </w:p>
          <w:p w14:paraId="5A24C115">
            <w:pPr>
              <w:pStyle w:val="14"/>
              <w:keepNext w:val="0"/>
              <w:keepLines w:val="0"/>
              <w:pageBreakBefore w:val="0"/>
              <w:widowControl w:val="0"/>
              <w:numPr>
                <w:ilvl w:val="0"/>
                <w:numId w:val="3"/>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接线端钮齐全、完好。电压电流信号输入端子应有明确、直观标识</w:t>
            </w:r>
            <w:r>
              <w:rPr>
                <w:rFonts w:hint="eastAsia" w:asciiTheme="minorEastAsia" w:hAnsiTheme="minorEastAsia" w:eastAsiaTheme="minorEastAsia" w:cstheme="minorEastAsia"/>
                <w:color w:val="auto"/>
                <w:sz w:val="24"/>
                <w:szCs w:val="24"/>
                <w:lang w:eastAsia="zh-CN"/>
              </w:rPr>
              <w:t>。</w:t>
            </w:r>
          </w:p>
          <w:p w14:paraId="3A1805C6">
            <w:pPr>
              <w:pStyle w:val="14"/>
              <w:keepNext w:val="0"/>
              <w:keepLines w:val="0"/>
              <w:pageBreakBefore w:val="0"/>
              <w:widowControl w:val="0"/>
              <w:numPr>
                <w:ilvl w:val="0"/>
                <w:numId w:val="3"/>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电压信号输入端子的标识应包含“U”或“V”</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电流信号输入端子的标识应包含“I”。</w:t>
            </w:r>
          </w:p>
          <w:p w14:paraId="6A4A60FF">
            <w:pPr>
              <w:pStyle w:val="14"/>
              <w:keepNext w:val="0"/>
              <w:keepLines w:val="0"/>
              <w:pageBreakBefore w:val="0"/>
              <w:widowControl w:val="0"/>
              <w:numPr>
                <w:ilvl w:val="0"/>
                <w:numId w:val="3"/>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各模块需要具备可追溯条码。</w:t>
            </w:r>
          </w:p>
          <w:p w14:paraId="0296F76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4.2外壳结构</w:t>
            </w:r>
          </w:p>
          <w:p w14:paraId="113CF895">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监测终端外壳结构应符合以下要求：</w:t>
            </w:r>
          </w:p>
          <w:p w14:paraId="3F5669CF">
            <w:pPr>
              <w:pStyle w:val="14"/>
              <w:keepNext w:val="0"/>
              <w:keepLines w:val="0"/>
              <w:pageBreakBefore w:val="0"/>
              <w:widowControl w:val="0"/>
              <w:numPr>
                <w:ilvl w:val="0"/>
                <w:numId w:val="4"/>
              </w:numPr>
              <w:tabs>
                <w:tab w:val="left" w:pos="48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外壳的防护性能应符合GB4208规定的IP51级要求，即防尘和防滴水</w:t>
            </w:r>
            <w:r>
              <w:rPr>
                <w:rFonts w:hint="eastAsia" w:asciiTheme="minorEastAsia" w:hAnsiTheme="minorEastAsia" w:eastAsiaTheme="minorEastAsia" w:cstheme="minorEastAsia"/>
                <w:color w:val="auto"/>
                <w:sz w:val="24"/>
                <w:szCs w:val="24"/>
                <w:lang w:eastAsia="zh-CN"/>
              </w:rPr>
              <w:t>。</w:t>
            </w:r>
          </w:p>
          <w:p w14:paraId="2B5151ED">
            <w:pPr>
              <w:pStyle w:val="14"/>
              <w:keepNext w:val="0"/>
              <w:keepLines w:val="0"/>
              <w:pageBreakBefore w:val="0"/>
              <w:widowControl w:val="0"/>
              <w:numPr>
                <w:ilvl w:val="0"/>
                <w:numId w:val="4"/>
              </w:numPr>
              <w:tabs>
                <w:tab w:val="left" w:pos="48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非金属外壳应符合GB/T5169.11的阻燃要求</w:t>
            </w:r>
            <w:r>
              <w:rPr>
                <w:rFonts w:hint="eastAsia" w:asciiTheme="minorEastAsia" w:hAnsiTheme="minorEastAsia" w:eastAsiaTheme="minorEastAsia" w:cstheme="minorEastAsia"/>
                <w:color w:val="auto"/>
                <w:sz w:val="24"/>
                <w:szCs w:val="24"/>
                <w:lang w:eastAsia="zh-CN"/>
              </w:rPr>
              <w:t>。</w:t>
            </w:r>
          </w:p>
          <w:p w14:paraId="38233587">
            <w:pPr>
              <w:pStyle w:val="14"/>
              <w:keepNext w:val="0"/>
              <w:keepLines w:val="0"/>
              <w:pageBreakBefore w:val="0"/>
              <w:widowControl w:val="0"/>
              <w:numPr>
                <w:ilvl w:val="0"/>
                <w:numId w:val="4"/>
              </w:numPr>
              <w:tabs>
                <w:tab w:val="left" w:pos="48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在正常运行条件下可能受到腐蚀或能生锈的金属部分，应采用不锈钢或更好的材料钝化、镀铬或镀镍制成</w:t>
            </w:r>
            <w:r>
              <w:rPr>
                <w:rFonts w:hint="eastAsia" w:asciiTheme="minorEastAsia" w:hAnsiTheme="minorEastAsia" w:eastAsiaTheme="minorEastAsia" w:cstheme="minorEastAsia"/>
                <w:color w:val="auto"/>
                <w:sz w:val="24"/>
                <w:szCs w:val="24"/>
                <w:lang w:eastAsia="zh-CN"/>
              </w:rPr>
              <w:t>。</w:t>
            </w:r>
          </w:p>
          <w:p w14:paraId="6956D8FA">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4.3模块结构</w:t>
            </w:r>
          </w:p>
          <w:p w14:paraId="4B1287CE">
            <w:pPr>
              <w:pStyle w:val="14"/>
              <w:keepNext w:val="0"/>
              <w:keepLines w:val="0"/>
              <w:pageBreakBefore w:val="0"/>
              <w:widowControl w:val="0"/>
              <w:numPr>
                <w:ilvl w:val="0"/>
                <w:numId w:val="0"/>
              </w:numPr>
              <w:tabs>
                <w:tab w:val="left" w:pos="480"/>
              </w:tabs>
              <w:kinsoku/>
              <w:wordWrap/>
              <w:overflowPunct/>
              <w:topLinePunct w:val="0"/>
              <w:autoSpaceDE/>
              <w:autoSpaceDN/>
              <w:bidi w:val="0"/>
              <w:adjustRightInd/>
              <w:snapToGrid/>
              <w:spacing w:beforeLines="0" w:afterLines="0" w:line="240" w:lineRule="auto"/>
              <w:ind w:left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监测终端各模块结构尺寸及加工精度满足表6要求。</w:t>
            </w:r>
          </w:p>
          <w:p w14:paraId="0BCCAEA9">
            <w:pPr>
              <w:spacing w:line="240" w:lineRule="auto"/>
              <w:ind w:firstLine="480"/>
              <w:rPr>
                <w:rFonts w:hint="eastAsia"/>
                <w:highlight w:val="none"/>
              </w:rPr>
            </w:pPr>
            <w:r>
              <w:rPr>
                <w:rFonts w:hint="eastAsia" w:ascii="宋体" w:hAnsi="宋体" w:eastAsia="Times New Roman" w:cs="宋体"/>
                <w:highlight w:val="none"/>
                <w:lang w:bidi="ar"/>
              </w:rPr>
              <w:t>监测终端外壳结构</w:t>
            </w:r>
            <w:r>
              <w:rPr>
                <w:rFonts w:hint="eastAsia" w:ascii="宋体" w:hAnsi="宋体" w:cs="宋体"/>
                <w:highlight w:val="none"/>
                <w:lang w:val="en-US" w:eastAsia="zh-CN" w:bidi="ar"/>
              </w:rPr>
              <w:t>及安装开孔</w:t>
            </w:r>
            <w:r>
              <w:rPr>
                <w:rFonts w:hint="eastAsia" w:ascii="宋体" w:hAnsi="宋体" w:eastAsia="Times New Roman" w:cs="宋体"/>
                <w:highlight w:val="none"/>
                <w:lang w:bidi="ar"/>
              </w:rPr>
              <w:t>尺寸满足图1要求。</w:t>
            </w:r>
          </w:p>
          <w:p w14:paraId="1F2690FF">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4.4机械要求</w:t>
            </w:r>
          </w:p>
          <w:p w14:paraId="07078EFA">
            <w:pPr>
              <w:pStyle w:val="14"/>
              <w:keepNext w:val="0"/>
              <w:keepLines w:val="0"/>
              <w:pageBreakBefore w:val="0"/>
              <w:widowControl w:val="0"/>
              <w:numPr>
                <w:ilvl w:val="0"/>
                <w:numId w:val="5"/>
              </w:numPr>
              <w:tabs>
                <w:tab w:val="left" w:pos="48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bookmarkStart w:id="10" w:name="_Toc399852670"/>
            <w:bookmarkStart w:id="11" w:name="_Toc399853154"/>
            <w:bookmarkStart w:id="12" w:name="_Toc458327682"/>
            <w:r>
              <w:rPr>
                <w:rFonts w:hint="eastAsia" w:asciiTheme="minorEastAsia" w:hAnsiTheme="minorEastAsia" w:eastAsiaTheme="minorEastAsia" w:cstheme="minorEastAsia"/>
                <w:color w:val="auto"/>
                <w:sz w:val="24"/>
                <w:szCs w:val="24"/>
              </w:rPr>
              <w:t>振动</w:t>
            </w:r>
            <w:bookmarkEnd w:id="10"/>
            <w:bookmarkEnd w:id="11"/>
            <w:bookmarkEnd w:id="12"/>
          </w:p>
          <w:p w14:paraId="637DE170">
            <w:pPr>
              <w:pStyle w:val="14"/>
              <w:tabs>
                <w:tab w:val="left" w:pos="480"/>
              </w:tabs>
              <w:spacing w:beforeLines="0" w:afterLines="0" w:line="240" w:lineRule="auto"/>
              <w:ind w:firstLine="420"/>
              <w:rPr>
                <w:rFonts w:hint="eastAsia" w:ascii="宋体" w:hAnsi="宋体" w:eastAsia="Times New Roman" w:cs="宋体"/>
                <w:sz w:val="24"/>
              </w:rPr>
            </w:pPr>
            <w:r>
              <w:rPr>
                <w:rFonts w:hint="eastAsia" w:ascii="宋体" w:hAnsi="宋体" w:eastAsia="宋体" w:cs="宋体"/>
                <w:sz w:val="24"/>
              </w:rPr>
              <w:t>监测终端不包装、不通电，能承受GB/T19862规定的振动试验。试验后，无紧固件松动、脱落及结构件损坏；通电后，终端运行正常。</w:t>
            </w:r>
          </w:p>
          <w:p w14:paraId="02B33261">
            <w:pPr>
              <w:pStyle w:val="14"/>
              <w:keepNext w:val="0"/>
              <w:keepLines w:val="0"/>
              <w:pageBreakBefore w:val="0"/>
              <w:widowControl w:val="0"/>
              <w:numPr>
                <w:ilvl w:val="0"/>
                <w:numId w:val="5"/>
              </w:numPr>
              <w:tabs>
                <w:tab w:val="left" w:pos="48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color w:val="auto"/>
              </w:rPr>
            </w:pPr>
            <w:bookmarkStart w:id="13" w:name="_Toc458327683"/>
            <w:bookmarkStart w:id="14" w:name="_Toc399852671"/>
            <w:bookmarkStart w:id="15" w:name="_Toc399853155"/>
            <w:r>
              <w:rPr>
                <w:rFonts w:hint="eastAsia" w:asciiTheme="minorEastAsia" w:hAnsiTheme="minorEastAsia" w:eastAsiaTheme="minorEastAsia" w:cstheme="minorEastAsia"/>
                <w:color w:val="auto"/>
                <w:sz w:val="24"/>
                <w:szCs w:val="24"/>
              </w:rPr>
              <w:t>冲击</w:t>
            </w:r>
            <w:bookmarkEnd w:id="13"/>
            <w:bookmarkEnd w:id="14"/>
            <w:bookmarkEnd w:id="15"/>
          </w:p>
          <w:p w14:paraId="0E000607">
            <w:pPr>
              <w:pStyle w:val="14"/>
              <w:tabs>
                <w:tab w:val="left" w:pos="480"/>
              </w:tabs>
              <w:spacing w:beforeLines="0" w:afterLines="0" w:line="240" w:lineRule="auto"/>
              <w:ind w:firstLine="420"/>
              <w:rPr>
                <w:rFonts w:hint="eastAsia" w:asciiTheme="minorEastAsia" w:hAnsiTheme="minorEastAsia" w:eastAsiaTheme="minorEastAsia" w:cstheme="minorEastAsia"/>
                <w:color w:val="auto"/>
                <w:sz w:val="24"/>
                <w:szCs w:val="24"/>
              </w:rPr>
            </w:pPr>
            <w:r>
              <w:rPr>
                <w:rFonts w:hint="eastAsia" w:ascii="宋体" w:hAnsi="宋体" w:eastAsia="宋体" w:cs="宋体"/>
                <w:sz w:val="24"/>
              </w:rPr>
              <w:t>监测终端不包装、不通电，能承受GB/T19862规定的机械冲击试验。检验后，不应发生紧固零件松动及机械损坏现象；通电后，终端运行正常。</w:t>
            </w:r>
          </w:p>
        </w:tc>
      </w:tr>
      <w:tr w14:paraId="0DFF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dxa"/>
            <w:vMerge w:val="continue"/>
            <w:vAlign w:val="center"/>
          </w:tcPr>
          <w:p w14:paraId="2BA546D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color w:val="auto"/>
                <w:kern w:val="0"/>
                <w:sz w:val="24"/>
                <w:szCs w:val="24"/>
                <w:lang w:bidi="ar"/>
              </w:rPr>
            </w:pPr>
          </w:p>
        </w:tc>
        <w:tc>
          <w:tcPr>
            <w:tcW w:w="1700" w:type="dxa"/>
            <w:vMerge w:val="continue"/>
            <w:vAlign w:val="center"/>
          </w:tcPr>
          <w:p w14:paraId="1F11F7C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center"/>
              <w:rPr>
                <w:rFonts w:hint="eastAsia" w:asciiTheme="minorEastAsia" w:hAnsiTheme="minorEastAsia" w:eastAsiaTheme="minorEastAsia" w:cstheme="minorEastAsia"/>
                <w:color w:val="auto"/>
                <w:kern w:val="0"/>
                <w:sz w:val="24"/>
                <w:szCs w:val="24"/>
                <w:lang w:bidi="ar"/>
              </w:rPr>
            </w:pPr>
          </w:p>
        </w:tc>
        <w:tc>
          <w:tcPr>
            <w:tcW w:w="7467" w:type="dxa"/>
            <w:vAlign w:val="center"/>
          </w:tcPr>
          <w:p w14:paraId="65CD7F7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5、电气性能：</w:t>
            </w:r>
          </w:p>
          <w:p w14:paraId="7C5C034C">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5.1工作电源：</w:t>
            </w:r>
          </w:p>
          <w:p w14:paraId="6024F27A">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监测终端工作电源要求如下：</w:t>
            </w:r>
          </w:p>
          <w:p w14:paraId="708BB3BD">
            <w:pPr>
              <w:pStyle w:val="14"/>
              <w:keepNext w:val="0"/>
              <w:keepLines w:val="0"/>
              <w:pageBreakBefore w:val="0"/>
              <w:widowControl w:val="0"/>
              <w:numPr>
                <w:ilvl w:val="0"/>
                <w:numId w:val="6"/>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交流辅助电源电压标称值为单相220V，允许偏差-50%～+30%，电压总谐波畸变率不大于20%</w:t>
            </w:r>
            <w:r>
              <w:rPr>
                <w:rFonts w:hint="eastAsia" w:asciiTheme="minorEastAsia" w:hAnsiTheme="minorEastAsia" w:eastAsiaTheme="minorEastAsia" w:cstheme="minorEastAsia"/>
                <w:color w:val="auto"/>
                <w:sz w:val="24"/>
                <w:szCs w:val="24"/>
                <w:lang w:eastAsia="zh-CN"/>
              </w:rPr>
              <w:t>。</w:t>
            </w:r>
          </w:p>
          <w:p w14:paraId="35BDAC9F">
            <w:pPr>
              <w:pStyle w:val="14"/>
              <w:keepNext w:val="0"/>
              <w:keepLines w:val="0"/>
              <w:pageBreakBefore w:val="0"/>
              <w:widowControl w:val="0"/>
              <w:numPr>
                <w:ilvl w:val="0"/>
                <w:numId w:val="6"/>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交流辅助电源频率为50Hz，频率容差为±5%</w:t>
            </w:r>
            <w:r>
              <w:rPr>
                <w:rFonts w:hint="eastAsia" w:asciiTheme="minorEastAsia" w:hAnsiTheme="minorEastAsia" w:eastAsiaTheme="minorEastAsia" w:cstheme="minorEastAsia"/>
                <w:color w:val="auto"/>
                <w:sz w:val="24"/>
                <w:szCs w:val="24"/>
                <w:lang w:eastAsia="zh-CN"/>
              </w:rPr>
              <w:t>。</w:t>
            </w:r>
          </w:p>
          <w:p w14:paraId="25D8BEBD">
            <w:pPr>
              <w:pStyle w:val="14"/>
              <w:keepNext w:val="0"/>
              <w:keepLines w:val="0"/>
              <w:pageBreakBefore w:val="0"/>
              <w:widowControl w:val="0"/>
              <w:numPr>
                <w:ilvl w:val="0"/>
                <w:numId w:val="6"/>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直流辅助电源电压标称值为220V（或110V），允许偏差-20%～+20%</w:t>
            </w:r>
            <w:r>
              <w:rPr>
                <w:rFonts w:hint="eastAsia" w:asciiTheme="minorEastAsia" w:hAnsiTheme="minorEastAsia" w:eastAsiaTheme="minorEastAsia" w:cstheme="minorEastAsia"/>
                <w:color w:val="auto"/>
                <w:sz w:val="24"/>
                <w:szCs w:val="24"/>
                <w:lang w:eastAsia="zh-CN"/>
              </w:rPr>
              <w:t>。</w:t>
            </w:r>
          </w:p>
          <w:p w14:paraId="361CFB78">
            <w:pPr>
              <w:pStyle w:val="14"/>
              <w:keepNext w:val="0"/>
              <w:keepLines w:val="0"/>
              <w:pageBreakBefore w:val="0"/>
              <w:widowControl w:val="0"/>
              <w:numPr>
                <w:ilvl w:val="0"/>
                <w:numId w:val="6"/>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直流辅助电源电压纹波系数不大于15%。</w:t>
            </w:r>
          </w:p>
          <w:p w14:paraId="0A6396C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5.2电压输入回路：</w:t>
            </w:r>
          </w:p>
          <w:p w14:paraId="19456A81">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监测终端电压输入回路要求如下：</w:t>
            </w:r>
          </w:p>
          <w:p w14:paraId="7E08F8F0">
            <w:pPr>
              <w:pStyle w:val="14"/>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标称电压：</w:t>
            </w:r>
          </w:p>
          <w:p w14:paraId="2CB76AAC">
            <w:pPr>
              <w:pStyle w:val="14"/>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beforeLines="0" w:afterLines="0" w:line="240" w:lineRule="auto"/>
              <w:ind w:left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间接输入法：标称电压为100/</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V</w:t>
            </w:r>
            <w:r>
              <w:rPr>
                <w:rFonts w:hint="eastAsia" w:asciiTheme="minorEastAsia" w:hAnsiTheme="minorEastAsia" w:eastAsiaTheme="minorEastAsia" w:cstheme="minorEastAsia"/>
                <w:color w:val="auto"/>
                <w:sz w:val="24"/>
                <w:szCs w:val="24"/>
              </w:rPr>
              <w:t>和100V；</w:t>
            </w:r>
          </w:p>
          <w:p w14:paraId="62AEB6BA">
            <w:pPr>
              <w:pStyle w:val="14"/>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beforeLines="0" w:afterLines="0" w:line="240" w:lineRule="auto"/>
              <w:ind w:left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直接输入法：标称电压为220V、380V、690V。</w:t>
            </w:r>
          </w:p>
          <w:p w14:paraId="014C6F53">
            <w:pPr>
              <w:pStyle w:val="14"/>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允许的电压信号波峰系数不小于2</w:t>
            </w:r>
            <w:r>
              <w:rPr>
                <w:rFonts w:hint="eastAsia" w:asciiTheme="minorEastAsia" w:hAnsiTheme="minorEastAsia" w:eastAsiaTheme="minorEastAsia" w:cstheme="minorEastAsia"/>
                <w:color w:val="auto"/>
                <w:sz w:val="24"/>
                <w:szCs w:val="24"/>
                <w:lang w:eastAsia="zh-CN"/>
              </w:rPr>
              <w:t>。</w:t>
            </w:r>
          </w:p>
          <w:p w14:paraId="039E81A6">
            <w:pPr>
              <w:pStyle w:val="14"/>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过载能力：标称电压的2倍连续，4倍标称电压或1kV（取小值）持续1秒</w:t>
            </w:r>
            <w:r>
              <w:rPr>
                <w:rFonts w:hint="eastAsia" w:asciiTheme="minorEastAsia" w:hAnsiTheme="minorEastAsia" w:eastAsiaTheme="minorEastAsia" w:cstheme="minorEastAsia"/>
                <w:color w:val="auto"/>
                <w:sz w:val="24"/>
                <w:szCs w:val="24"/>
                <w:lang w:eastAsia="zh-CN"/>
              </w:rPr>
              <w:t>。</w:t>
            </w:r>
          </w:p>
          <w:p w14:paraId="74CFAE7A">
            <w:pPr>
              <w:pStyle w:val="14"/>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可灵活选择接线方式（星型联接、三角形联接或V接）。</w:t>
            </w:r>
          </w:p>
          <w:p w14:paraId="39A7F685">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5.3电流输入回路：</w:t>
            </w:r>
          </w:p>
          <w:p w14:paraId="61B7E8BA">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监测终端电流输入回路要求如下：</w:t>
            </w:r>
          </w:p>
          <w:p w14:paraId="1BA3DB28">
            <w:pPr>
              <w:pStyle w:val="14"/>
              <w:keepNext w:val="0"/>
              <w:keepLines w:val="0"/>
              <w:pageBreakBefore w:val="0"/>
              <w:widowControl w:val="0"/>
              <w:numPr>
                <w:ilvl w:val="0"/>
                <w:numId w:val="8"/>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接入互感器二次侧的额定电流：1A或5A；</w:t>
            </w:r>
          </w:p>
          <w:p w14:paraId="23333536">
            <w:pPr>
              <w:pStyle w:val="14"/>
              <w:keepNext w:val="0"/>
              <w:keepLines w:val="0"/>
              <w:pageBreakBefore w:val="0"/>
              <w:widowControl w:val="0"/>
              <w:numPr>
                <w:ilvl w:val="0"/>
                <w:numId w:val="8"/>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允许的电流信号波峰系数不小于4；</w:t>
            </w:r>
          </w:p>
          <w:p w14:paraId="787F9246">
            <w:pPr>
              <w:pStyle w:val="14"/>
              <w:keepNext w:val="0"/>
              <w:keepLines w:val="0"/>
              <w:pageBreakBefore w:val="0"/>
              <w:widowControl w:val="0"/>
              <w:numPr>
                <w:ilvl w:val="0"/>
                <w:numId w:val="8"/>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过载能力：1.5倍标称电流连续，10倍标称电流持续1秒。</w:t>
            </w:r>
          </w:p>
          <w:p w14:paraId="00EC296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5.4功耗</w:t>
            </w:r>
          </w:p>
          <w:p w14:paraId="295C52FF">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监测终端功耗应符合以下要求：</w:t>
            </w:r>
          </w:p>
          <w:p w14:paraId="26D43509">
            <w:pPr>
              <w:pStyle w:val="14"/>
              <w:keepNext w:val="0"/>
              <w:keepLines w:val="0"/>
              <w:pageBreakBefore w:val="0"/>
              <w:widowControl w:val="0"/>
              <w:numPr>
                <w:ilvl w:val="0"/>
                <w:numId w:val="9"/>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电压回路（通道）：额定电压时，每相消耗的视在功率应不大于0.5VA/回路</w:t>
            </w:r>
            <w:r>
              <w:rPr>
                <w:rFonts w:hint="eastAsia" w:asciiTheme="minorEastAsia" w:hAnsiTheme="minorEastAsia" w:eastAsiaTheme="minorEastAsia" w:cstheme="minorEastAsia"/>
                <w:color w:val="auto"/>
                <w:sz w:val="24"/>
                <w:szCs w:val="24"/>
                <w:lang w:eastAsia="zh-CN"/>
              </w:rPr>
              <w:t>。</w:t>
            </w:r>
          </w:p>
          <w:p w14:paraId="414BDEEF">
            <w:pPr>
              <w:pStyle w:val="14"/>
              <w:keepNext w:val="0"/>
              <w:keepLines w:val="0"/>
              <w:pageBreakBefore w:val="0"/>
              <w:widowControl w:val="0"/>
              <w:numPr>
                <w:ilvl w:val="0"/>
                <w:numId w:val="9"/>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电流回路（通道）：额定信号输入电流下，各回路（通道）电压降不超过0.15V。</w:t>
            </w:r>
          </w:p>
          <w:p w14:paraId="3352C89B">
            <w:pPr>
              <w:pStyle w:val="14"/>
              <w:keepNext w:val="0"/>
              <w:keepLines w:val="0"/>
              <w:pageBreakBefore w:val="0"/>
              <w:widowControl w:val="0"/>
              <w:numPr>
                <w:ilvl w:val="0"/>
                <w:numId w:val="9"/>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监测终端状态量/数字量输入回路：状态量/数字量输入</w:t>
            </w:r>
            <w:r>
              <w:rPr>
                <w:rFonts w:hint="eastAsia" w:asciiTheme="minorEastAsia" w:hAnsiTheme="minorEastAsia" w:eastAsiaTheme="minorEastAsia" w:cstheme="minorEastAsia"/>
                <w:color w:val="auto"/>
                <w:sz w:val="24"/>
                <w:szCs w:val="24"/>
                <w:lang w:val="en-US" w:eastAsia="zh-CN"/>
              </w:rPr>
              <w:t>为</w:t>
            </w:r>
            <w:r>
              <w:rPr>
                <w:rFonts w:hint="eastAsia" w:asciiTheme="minorEastAsia" w:hAnsiTheme="minorEastAsia" w:eastAsiaTheme="minorEastAsia" w:cstheme="minorEastAsia"/>
                <w:color w:val="auto"/>
                <w:sz w:val="24"/>
                <w:szCs w:val="24"/>
              </w:rPr>
              <w:t>开/合切换触点。稳定额定电压输入时，每路状态量功耗≤0.2W。</w:t>
            </w:r>
          </w:p>
          <w:p w14:paraId="64B3CBAA">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5.5停电数据、允许状态及时钟保持</w:t>
            </w:r>
          </w:p>
          <w:p w14:paraId="043C4B8B">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监测终端停电数据、运行状态及时钟保持应符合以下要求：</w:t>
            </w:r>
          </w:p>
          <w:p w14:paraId="526131F6">
            <w:pPr>
              <w:pStyle w:val="14"/>
              <w:keepNext w:val="0"/>
              <w:keepLines w:val="0"/>
              <w:pageBreakBefore w:val="0"/>
              <w:widowControl w:val="0"/>
              <w:numPr>
                <w:ilvl w:val="0"/>
                <w:numId w:val="10"/>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电源断电及恢复时，监测终端不应丢失数据。电源恢复时，监测终端应自动恢复断电前的工作状态</w:t>
            </w:r>
            <w:r>
              <w:rPr>
                <w:rFonts w:hint="eastAsia" w:asciiTheme="minorEastAsia" w:hAnsiTheme="minorEastAsia" w:eastAsiaTheme="minorEastAsia" w:cstheme="minorEastAsia"/>
                <w:color w:val="auto"/>
                <w:sz w:val="24"/>
                <w:szCs w:val="24"/>
                <w:lang w:eastAsia="zh-CN"/>
              </w:rPr>
              <w:t>。</w:t>
            </w:r>
          </w:p>
          <w:p w14:paraId="19609AA5">
            <w:pPr>
              <w:pStyle w:val="14"/>
              <w:keepNext w:val="0"/>
              <w:keepLines w:val="0"/>
              <w:pageBreakBefore w:val="0"/>
              <w:widowControl w:val="0"/>
              <w:numPr>
                <w:ilvl w:val="0"/>
                <w:numId w:val="10"/>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电源断电及恢复时，监测终端内部时钟应正常运行</w:t>
            </w:r>
            <w:r>
              <w:rPr>
                <w:rFonts w:hint="eastAsia" w:asciiTheme="minorEastAsia" w:hAnsiTheme="minorEastAsia" w:eastAsiaTheme="minorEastAsia" w:cstheme="minorEastAsia"/>
                <w:color w:val="auto"/>
                <w:sz w:val="24"/>
                <w:szCs w:val="24"/>
                <w:lang w:eastAsia="zh-CN"/>
              </w:rPr>
              <w:t>。</w:t>
            </w:r>
          </w:p>
          <w:p w14:paraId="6EEADA20">
            <w:pPr>
              <w:pStyle w:val="14"/>
              <w:keepNext w:val="0"/>
              <w:keepLines w:val="0"/>
              <w:pageBreakBefore w:val="0"/>
              <w:widowControl w:val="0"/>
              <w:numPr>
                <w:ilvl w:val="0"/>
                <w:numId w:val="10"/>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失电后，数据保持时间不少于365天。</w:t>
            </w:r>
          </w:p>
        </w:tc>
      </w:tr>
      <w:tr w14:paraId="2B6A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dxa"/>
            <w:vMerge w:val="continue"/>
            <w:vAlign w:val="center"/>
          </w:tcPr>
          <w:p w14:paraId="78B7E24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color w:val="auto"/>
                <w:kern w:val="0"/>
                <w:sz w:val="24"/>
                <w:szCs w:val="24"/>
                <w:lang w:bidi="ar"/>
              </w:rPr>
            </w:pPr>
          </w:p>
        </w:tc>
        <w:tc>
          <w:tcPr>
            <w:tcW w:w="1700" w:type="dxa"/>
            <w:vMerge w:val="continue"/>
            <w:vAlign w:val="center"/>
          </w:tcPr>
          <w:p w14:paraId="0E57794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center"/>
              <w:rPr>
                <w:rFonts w:hint="eastAsia" w:asciiTheme="minorEastAsia" w:hAnsiTheme="minorEastAsia" w:eastAsiaTheme="minorEastAsia" w:cstheme="minorEastAsia"/>
                <w:color w:val="auto"/>
                <w:kern w:val="0"/>
                <w:sz w:val="24"/>
                <w:szCs w:val="24"/>
                <w:lang w:bidi="ar"/>
              </w:rPr>
            </w:pPr>
          </w:p>
        </w:tc>
        <w:tc>
          <w:tcPr>
            <w:tcW w:w="7467" w:type="dxa"/>
            <w:vAlign w:val="center"/>
          </w:tcPr>
          <w:p w14:paraId="7F53A2C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6、安全防护</w:t>
            </w:r>
          </w:p>
          <w:p w14:paraId="7F3DB0B4">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6.1绝缘电阻</w:t>
            </w:r>
          </w:p>
          <w:p w14:paraId="34DB034A">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监测终端各电气回路对地及无直接电气联系的电气回路之间的绝缘电阻要求如表4所示。</w:t>
            </w:r>
          </w:p>
          <w:p w14:paraId="21FB0945">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6.2</w:t>
            </w:r>
            <w:bookmarkStart w:id="16" w:name="_Toc458327692"/>
            <w:bookmarkStart w:id="17" w:name="_Toc399853164"/>
            <w:bookmarkStart w:id="18" w:name="_Toc399852680"/>
            <w:r>
              <w:rPr>
                <w:rFonts w:hint="eastAsia" w:asciiTheme="minorEastAsia" w:hAnsiTheme="minorEastAsia" w:eastAsiaTheme="minorEastAsia" w:cstheme="minorEastAsia"/>
                <w:b/>
                <w:bCs/>
                <w:color w:val="auto"/>
                <w:sz w:val="24"/>
                <w:szCs w:val="24"/>
              </w:rPr>
              <w:t>绝缘强度</w:t>
            </w:r>
            <w:bookmarkEnd w:id="16"/>
            <w:bookmarkEnd w:id="17"/>
            <w:bookmarkEnd w:id="18"/>
            <w:r>
              <w:rPr>
                <w:rFonts w:hint="eastAsia" w:asciiTheme="minorEastAsia" w:hAnsiTheme="minorEastAsia" w:eastAsiaTheme="minorEastAsia" w:cstheme="minorEastAsia"/>
                <w:b/>
                <w:bCs/>
                <w:color w:val="auto"/>
                <w:sz w:val="24"/>
                <w:szCs w:val="24"/>
              </w:rPr>
              <w:t>（工频耐受电压）</w:t>
            </w:r>
          </w:p>
          <w:p w14:paraId="103B02B7">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监测终端电源回路、交流采样回路各自对地及电气隔离的各回路之间，应耐受如表5中规定的50Hz的交流电压，历时1min的绝缘强度试验。试验时不得出现击穿、闪络。</w:t>
            </w:r>
          </w:p>
          <w:p w14:paraId="16B07C7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rPr>
                <w:rFonts w:hint="eastAsia" w:asciiTheme="minorEastAsia" w:hAnsiTheme="minorEastAsia" w:eastAsiaTheme="minorEastAsia" w:cstheme="minorEastAsia"/>
                <w:b/>
                <w:bCs/>
                <w:color w:val="auto"/>
                <w:sz w:val="24"/>
                <w:szCs w:val="24"/>
                <w:lang w:bidi="ar"/>
              </w:rPr>
            </w:pPr>
            <w:r>
              <w:rPr>
                <w:rFonts w:hint="eastAsia" w:asciiTheme="minorEastAsia" w:hAnsiTheme="minorEastAsia" w:eastAsiaTheme="minorEastAsia" w:cstheme="minorEastAsia"/>
                <w:b/>
                <w:bCs/>
                <w:color w:val="auto"/>
                <w:sz w:val="24"/>
                <w:szCs w:val="24"/>
                <w:lang w:bidi="ar"/>
              </w:rPr>
              <w:t>6.3冲击(耐受)电压</w:t>
            </w:r>
          </w:p>
          <w:p w14:paraId="170781A3">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监测终端电源回路、交流电量输入回路和输出回路对地及无电气联系的回路之间，应耐受电压峰值为6kV，波形为标准的1.2/50微秒的脉冲。试验时不应出现电弧、放电、击穿和损坏。</w:t>
            </w:r>
            <w:bookmarkStart w:id="19" w:name="_Toc339721805"/>
            <w:r>
              <w:rPr>
                <w:rFonts w:hint="eastAsia" w:asciiTheme="minorEastAsia" w:hAnsiTheme="minorEastAsia" w:eastAsiaTheme="minorEastAsia" w:cstheme="minorEastAsia"/>
                <w:color w:val="auto"/>
                <w:sz w:val="24"/>
                <w:szCs w:val="24"/>
              </w:rPr>
              <w:t>试验后监测终端内存储的数据应无变化，功能应符合第2节要求，准确度应符合第3节的要求。</w:t>
            </w:r>
            <w:bookmarkEnd w:id="19"/>
          </w:p>
        </w:tc>
      </w:tr>
      <w:tr w14:paraId="0895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dxa"/>
            <w:vMerge w:val="continue"/>
            <w:vAlign w:val="center"/>
          </w:tcPr>
          <w:p w14:paraId="745EF7D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color w:val="auto"/>
                <w:kern w:val="0"/>
                <w:sz w:val="24"/>
                <w:szCs w:val="24"/>
                <w:lang w:bidi="ar"/>
              </w:rPr>
            </w:pPr>
          </w:p>
        </w:tc>
        <w:tc>
          <w:tcPr>
            <w:tcW w:w="1700" w:type="dxa"/>
            <w:vMerge w:val="continue"/>
            <w:vAlign w:val="center"/>
          </w:tcPr>
          <w:p w14:paraId="2536F27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center"/>
              <w:rPr>
                <w:rFonts w:hint="eastAsia" w:asciiTheme="minorEastAsia" w:hAnsiTheme="minorEastAsia" w:eastAsiaTheme="minorEastAsia" w:cstheme="minorEastAsia"/>
                <w:color w:val="auto"/>
                <w:kern w:val="0"/>
                <w:sz w:val="24"/>
                <w:szCs w:val="24"/>
                <w:lang w:bidi="ar"/>
              </w:rPr>
            </w:pPr>
          </w:p>
        </w:tc>
        <w:tc>
          <w:tcPr>
            <w:tcW w:w="7467" w:type="dxa"/>
            <w:vAlign w:val="center"/>
          </w:tcPr>
          <w:p w14:paraId="40FA5B2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7、电磁兼容性能</w:t>
            </w:r>
          </w:p>
          <w:p w14:paraId="59CA9E2E">
            <w:pPr>
              <w:pStyle w:val="14"/>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监测终端电磁兼容性能应符合以下要求：</w:t>
            </w:r>
          </w:p>
          <w:p w14:paraId="4CBAC26B">
            <w:pPr>
              <w:pStyle w:val="14"/>
              <w:keepNext w:val="0"/>
              <w:keepLines w:val="0"/>
              <w:pageBreakBefore w:val="0"/>
              <w:widowControl w:val="0"/>
              <w:numPr>
                <w:ilvl w:val="0"/>
                <w:numId w:val="11"/>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监测终端电快速瞬变脉冲群抗干扰度应按照GB/T17626.4中规定，满足严酷等级4级的要求</w:t>
            </w:r>
            <w:r>
              <w:rPr>
                <w:rFonts w:hint="eastAsia" w:asciiTheme="minorEastAsia" w:hAnsiTheme="minorEastAsia" w:eastAsiaTheme="minorEastAsia" w:cstheme="minorEastAsia"/>
                <w:color w:val="auto"/>
                <w:sz w:val="24"/>
                <w:szCs w:val="24"/>
                <w:lang w:eastAsia="zh-CN"/>
              </w:rPr>
              <w:t>。</w:t>
            </w:r>
          </w:p>
          <w:p w14:paraId="1602470A">
            <w:pPr>
              <w:pStyle w:val="14"/>
              <w:keepNext w:val="0"/>
              <w:keepLines w:val="0"/>
              <w:pageBreakBefore w:val="0"/>
              <w:widowControl w:val="0"/>
              <w:numPr>
                <w:ilvl w:val="0"/>
                <w:numId w:val="11"/>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监测终端辐射电磁场抗干扰度应按照GB/T17626.3中规定，满足严酷等级4级的要求</w:t>
            </w:r>
            <w:r>
              <w:rPr>
                <w:rFonts w:hint="eastAsia" w:asciiTheme="minorEastAsia" w:hAnsiTheme="minorEastAsia" w:eastAsiaTheme="minorEastAsia" w:cstheme="minorEastAsia"/>
                <w:color w:val="auto"/>
                <w:sz w:val="24"/>
                <w:szCs w:val="24"/>
                <w:lang w:eastAsia="zh-CN"/>
              </w:rPr>
              <w:t>。</w:t>
            </w:r>
          </w:p>
          <w:p w14:paraId="519689C4">
            <w:pPr>
              <w:pStyle w:val="14"/>
              <w:keepNext w:val="0"/>
              <w:keepLines w:val="0"/>
              <w:pageBreakBefore w:val="0"/>
              <w:widowControl w:val="0"/>
              <w:numPr>
                <w:ilvl w:val="0"/>
                <w:numId w:val="11"/>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监测终端静电放电抗干扰度应按照GB/T17626.2中规定，满足严酷等级4级的要求</w:t>
            </w:r>
            <w:r>
              <w:rPr>
                <w:rFonts w:hint="eastAsia" w:asciiTheme="minorEastAsia" w:hAnsiTheme="minorEastAsia" w:eastAsiaTheme="minorEastAsia" w:cstheme="minorEastAsia"/>
                <w:color w:val="auto"/>
                <w:sz w:val="24"/>
                <w:szCs w:val="24"/>
                <w:lang w:eastAsia="zh-CN"/>
              </w:rPr>
              <w:t>。</w:t>
            </w:r>
          </w:p>
          <w:p w14:paraId="5EA8B9DF">
            <w:pPr>
              <w:pStyle w:val="14"/>
              <w:keepNext w:val="0"/>
              <w:keepLines w:val="0"/>
              <w:pageBreakBefore w:val="0"/>
              <w:widowControl w:val="0"/>
              <w:numPr>
                <w:ilvl w:val="0"/>
                <w:numId w:val="11"/>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监测终端抗浪涌能力应按照GB/T17626.5中规定，满足严酷等级4级的要求。</w:t>
            </w:r>
          </w:p>
          <w:p w14:paraId="0E4802A4">
            <w:pPr>
              <w:pStyle w:val="14"/>
              <w:keepNext w:val="0"/>
              <w:keepLines w:val="0"/>
              <w:pageBreakBefore w:val="0"/>
              <w:widowControl w:val="0"/>
              <w:numPr>
                <w:ilvl w:val="0"/>
                <w:numId w:val="11"/>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电压暂降和短时中断抗扰度应满足GB/T17626.11和GB/T17626.29的要求</w:t>
            </w:r>
            <w:r>
              <w:rPr>
                <w:rFonts w:hint="eastAsia" w:asciiTheme="minorEastAsia" w:hAnsiTheme="minorEastAsia" w:eastAsiaTheme="minorEastAsia" w:cstheme="minorEastAsia"/>
                <w:color w:val="auto"/>
                <w:sz w:val="24"/>
                <w:szCs w:val="24"/>
                <w:lang w:eastAsia="zh-CN"/>
              </w:rPr>
              <w:t>。</w:t>
            </w:r>
          </w:p>
          <w:p w14:paraId="530DE626">
            <w:pPr>
              <w:pStyle w:val="14"/>
              <w:keepNext w:val="0"/>
              <w:keepLines w:val="0"/>
              <w:pageBreakBefore w:val="0"/>
              <w:widowControl w:val="0"/>
              <w:numPr>
                <w:ilvl w:val="0"/>
                <w:numId w:val="11"/>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工频磁场抗扰度应按照GB/T17626.8中规定，满足严酷等级4级的要求</w:t>
            </w:r>
            <w:r>
              <w:rPr>
                <w:rFonts w:hint="eastAsia" w:asciiTheme="minorEastAsia" w:hAnsiTheme="minorEastAsia" w:eastAsiaTheme="minorEastAsia" w:cstheme="minorEastAsia"/>
                <w:color w:val="auto"/>
                <w:sz w:val="24"/>
                <w:szCs w:val="24"/>
                <w:lang w:eastAsia="zh-CN"/>
              </w:rPr>
              <w:t>。</w:t>
            </w:r>
          </w:p>
          <w:p w14:paraId="120224B6">
            <w:pPr>
              <w:pStyle w:val="14"/>
              <w:keepNext w:val="0"/>
              <w:keepLines w:val="0"/>
              <w:pageBreakBefore w:val="0"/>
              <w:widowControl w:val="0"/>
              <w:numPr>
                <w:ilvl w:val="0"/>
                <w:numId w:val="11"/>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射频场感应的传导骚扰抗扰度应按照GB/T17626.6中规定，满足严酷等级3级的要求</w:t>
            </w:r>
            <w:r>
              <w:rPr>
                <w:rFonts w:hint="eastAsia" w:asciiTheme="minorEastAsia" w:hAnsiTheme="minorEastAsia" w:eastAsiaTheme="minorEastAsia" w:cstheme="minorEastAsia"/>
                <w:color w:val="auto"/>
                <w:sz w:val="24"/>
                <w:szCs w:val="24"/>
                <w:lang w:eastAsia="zh-CN"/>
              </w:rPr>
              <w:t>。</w:t>
            </w:r>
          </w:p>
          <w:p w14:paraId="4EFBF65D">
            <w:pPr>
              <w:pStyle w:val="14"/>
              <w:keepNext w:val="0"/>
              <w:keepLines w:val="0"/>
              <w:pageBreakBefore w:val="0"/>
              <w:widowControl w:val="0"/>
              <w:numPr>
                <w:ilvl w:val="0"/>
                <w:numId w:val="11"/>
              </w:numPr>
              <w:tabs>
                <w:tab w:val="left" w:pos="826"/>
              </w:tabs>
              <w:kinsoku/>
              <w:wordWrap/>
              <w:overflowPunct/>
              <w:topLinePunct w:val="0"/>
              <w:autoSpaceDE/>
              <w:autoSpaceDN/>
              <w:bidi w:val="0"/>
              <w:adjustRightInd/>
              <w:snapToGrid/>
              <w:spacing w:beforeLines="0" w:afterLines="0" w:line="240" w:lineRule="auto"/>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振荡波抗扰度应按照GB/T17626.12中规定，满足严酷等级4级的要求。</w:t>
            </w:r>
          </w:p>
        </w:tc>
      </w:tr>
    </w:tbl>
    <w:p w14:paraId="33DA8AE5">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rPr>
      </w:pPr>
      <w:bookmarkStart w:id="20" w:name="_Toc2439"/>
      <w:r>
        <w:rPr>
          <w:rFonts w:hint="eastAsia" w:ascii="宋体" w:hAnsi="宋体" w:eastAsia="宋体" w:cs="宋体"/>
          <w:b/>
          <w:bCs/>
        </w:rPr>
        <w:t>表1  监测终端功能要求</w:t>
      </w:r>
      <w:bookmarkEnd w:id="20"/>
    </w:p>
    <w:tbl>
      <w:tblPr>
        <w:tblStyle w:val="27"/>
        <w:tblW w:w="10006" w:type="dxa"/>
        <w:jc w:val="center"/>
        <w:tblLayout w:type="fixed"/>
        <w:tblCellMar>
          <w:top w:w="0" w:type="dxa"/>
          <w:left w:w="108" w:type="dxa"/>
          <w:bottom w:w="0" w:type="dxa"/>
          <w:right w:w="108" w:type="dxa"/>
        </w:tblCellMar>
      </w:tblPr>
      <w:tblGrid>
        <w:gridCol w:w="695"/>
        <w:gridCol w:w="2085"/>
        <w:gridCol w:w="1395"/>
        <w:gridCol w:w="3554"/>
        <w:gridCol w:w="2277"/>
      </w:tblGrid>
      <w:tr w14:paraId="1370043A">
        <w:tblPrEx>
          <w:tblCellMar>
            <w:top w:w="0" w:type="dxa"/>
            <w:left w:w="108" w:type="dxa"/>
            <w:bottom w:w="0" w:type="dxa"/>
            <w:right w:w="108" w:type="dxa"/>
          </w:tblCellMar>
        </w:tblPrEx>
        <w:trPr>
          <w:trHeight w:val="340" w:hRule="atLeast"/>
          <w:jc w:val="center"/>
        </w:trPr>
        <w:tc>
          <w:tcPr>
            <w:tcW w:w="7729" w:type="dxa"/>
            <w:gridSpan w:val="4"/>
            <w:tcBorders>
              <w:top w:val="single" w:color="auto" w:sz="4" w:space="0"/>
              <w:left w:val="single" w:color="auto" w:sz="4" w:space="0"/>
              <w:bottom w:val="single" w:color="auto" w:sz="4" w:space="0"/>
              <w:right w:val="single" w:color="auto" w:sz="4" w:space="0"/>
            </w:tcBorders>
            <w:vAlign w:val="center"/>
          </w:tcPr>
          <w:p w14:paraId="73DA92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rFonts w:hint="eastAsia" w:ascii="宋体" w:hAnsi="宋体" w:cs="宋体"/>
                <w:b/>
                <w:bCs/>
              </w:rPr>
            </w:pPr>
            <w:r>
              <w:rPr>
                <w:rFonts w:hint="eastAsia" w:ascii="宋体" w:hAnsi="宋体" w:cs="宋体"/>
                <w:b/>
                <w:bCs/>
                <w:kern w:val="0"/>
                <w:lang w:bidi="ar"/>
              </w:rPr>
              <w:t>功能级别</w:t>
            </w:r>
          </w:p>
        </w:tc>
        <w:tc>
          <w:tcPr>
            <w:tcW w:w="2277" w:type="dxa"/>
            <w:tcBorders>
              <w:top w:val="single" w:color="auto" w:sz="4" w:space="0"/>
              <w:left w:val="single" w:color="auto" w:sz="4" w:space="0"/>
              <w:bottom w:val="single" w:color="auto" w:sz="4" w:space="0"/>
              <w:right w:val="single" w:color="auto" w:sz="4" w:space="0"/>
            </w:tcBorders>
            <w:vAlign w:val="center"/>
          </w:tcPr>
          <w:p w14:paraId="1C7F5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b/>
                <w:bCs/>
              </w:rPr>
            </w:pPr>
            <w:r>
              <w:rPr>
                <w:rFonts w:hint="eastAsia" w:ascii="宋体" w:hAnsi="宋体" w:cs="宋体"/>
                <w:b/>
                <w:bCs/>
                <w:kern w:val="0"/>
                <w:lang w:bidi="ar"/>
              </w:rPr>
              <w:t>A级</w:t>
            </w:r>
          </w:p>
        </w:tc>
      </w:tr>
      <w:tr w14:paraId="5E78C8B9">
        <w:tblPrEx>
          <w:tblCellMar>
            <w:top w:w="0" w:type="dxa"/>
            <w:left w:w="108" w:type="dxa"/>
            <w:bottom w:w="0" w:type="dxa"/>
            <w:right w:w="108" w:type="dxa"/>
          </w:tblCellMar>
        </w:tblPrEx>
        <w:trPr>
          <w:trHeight w:val="567" w:hRule="atLeast"/>
          <w:jc w:val="center"/>
        </w:trPr>
        <w:tc>
          <w:tcPr>
            <w:tcW w:w="695" w:type="dxa"/>
            <w:vMerge w:val="restart"/>
            <w:tcBorders>
              <w:top w:val="single" w:color="auto" w:sz="4" w:space="0"/>
              <w:left w:val="single" w:color="auto" w:sz="4" w:space="0"/>
              <w:bottom w:val="single" w:color="auto" w:sz="4" w:space="0"/>
              <w:right w:val="single" w:color="auto" w:sz="4" w:space="0"/>
            </w:tcBorders>
            <w:vAlign w:val="center"/>
          </w:tcPr>
          <w:p w14:paraId="3B4634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监测功能</w:t>
            </w:r>
          </w:p>
        </w:tc>
        <w:tc>
          <w:tcPr>
            <w:tcW w:w="2085" w:type="dxa"/>
            <w:vMerge w:val="restart"/>
            <w:tcBorders>
              <w:top w:val="single" w:color="auto" w:sz="4" w:space="0"/>
              <w:left w:val="single" w:color="auto" w:sz="4" w:space="0"/>
              <w:bottom w:val="single" w:color="auto" w:sz="4" w:space="0"/>
              <w:right w:val="single" w:color="auto" w:sz="4" w:space="0"/>
            </w:tcBorders>
            <w:vAlign w:val="center"/>
          </w:tcPr>
          <w:p w14:paraId="039D01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稳态电能质量指标监测功能</w:t>
            </w: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140DE52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无间隙10周波测量及输出功能</w:t>
            </w:r>
          </w:p>
        </w:tc>
        <w:tc>
          <w:tcPr>
            <w:tcW w:w="2277" w:type="dxa"/>
            <w:tcBorders>
              <w:top w:val="single" w:color="auto" w:sz="4" w:space="0"/>
              <w:left w:val="single" w:color="auto" w:sz="4" w:space="0"/>
              <w:bottom w:val="single" w:color="auto" w:sz="4" w:space="0"/>
              <w:right w:val="single" w:color="auto" w:sz="4" w:space="0"/>
            </w:tcBorders>
            <w:vAlign w:val="center"/>
          </w:tcPr>
          <w:p w14:paraId="6548C4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53C242CF">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65EE69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5DB158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168EED7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电压、电流有效值及相位</w:t>
            </w:r>
          </w:p>
        </w:tc>
        <w:tc>
          <w:tcPr>
            <w:tcW w:w="2277" w:type="dxa"/>
            <w:tcBorders>
              <w:top w:val="single" w:color="auto" w:sz="4" w:space="0"/>
              <w:left w:val="single" w:color="auto" w:sz="4" w:space="0"/>
              <w:bottom w:val="single" w:color="auto" w:sz="4" w:space="0"/>
              <w:right w:val="single" w:color="auto" w:sz="4" w:space="0"/>
            </w:tcBorders>
            <w:vAlign w:val="center"/>
          </w:tcPr>
          <w:p w14:paraId="59A8F4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132A064C">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55E499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3EDAA5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1D1869B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cs="宋体"/>
              </w:rPr>
            </w:pPr>
            <w:r>
              <w:rPr>
                <w:rFonts w:hint="eastAsia" w:ascii="宋体" w:hAnsi="宋体" w:cs="宋体"/>
                <w:kern w:val="0"/>
                <w:lang w:bidi="ar"/>
              </w:rPr>
              <w:t>频率</w:t>
            </w:r>
          </w:p>
        </w:tc>
        <w:tc>
          <w:tcPr>
            <w:tcW w:w="2277" w:type="dxa"/>
            <w:tcBorders>
              <w:top w:val="single" w:color="auto" w:sz="4" w:space="0"/>
              <w:left w:val="single" w:color="auto" w:sz="4" w:space="0"/>
              <w:bottom w:val="single" w:color="auto" w:sz="4" w:space="0"/>
              <w:right w:val="single" w:color="auto" w:sz="4" w:space="0"/>
            </w:tcBorders>
            <w:vAlign w:val="center"/>
          </w:tcPr>
          <w:p w14:paraId="638D57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1F4D294D">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7034C7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5F28A3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62B3D60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有功功率、无功功率、视在功率、功率因数</w:t>
            </w:r>
          </w:p>
        </w:tc>
        <w:tc>
          <w:tcPr>
            <w:tcW w:w="2277" w:type="dxa"/>
            <w:tcBorders>
              <w:top w:val="single" w:color="auto" w:sz="4" w:space="0"/>
              <w:left w:val="single" w:color="auto" w:sz="4" w:space="0"/>
              <w:bottom w:val="single" w:color="auto" w:sz="4" w:space="0"/>
              <w:right w:val="single" w:color="auto" w:sz="4" w:space="0"/>
            </w:tcBorders>
            <w:vAlign w:val="center"/>
          </w:tcPr>
          <w:p w14:paraId="6B2D22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726C2818">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5301DE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4F0C68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21149DE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三相电压、电流不平衡度及序分量</w:t>
            </w:r>
          </w:p>
        </w:tc>
        <w:tc>
          <w:tcPr>
            <w:tcW w:w="2277" w:type="dxa"/>
            <w:tcBorders>
              <w:top w:val="single" w:color="auto" w:sz="4" w:space="0"/>
              <w:left w:val="single" w:color="auto" w:sz="4" w:space="0"/>
              <w:bottom w:val="single" w:color="auto" w:sz="4" w:space="0"/>
              <w:right w:val="single" w:color="auto" w:sz="4" w:space="0"/>
            </w:tcBorders>
            <w:vAlign w:val="center"/>
          </w:tcPr>
          <w:p w14:paraId="627BE7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7DAED584">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77743A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661C8B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426D269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谐波电压含有率、谐波电流含有率、谐波电流有效值（2~50次）</w:t>
            </w:r>
          </w:p>
        </w:tc>
        <w:tc>
          <w:tcPr>
            <w:tcW w:w="2277" w:type="dxa"/>
            <w:tcBorders>
              <w:top w:val="single" w:color="auto" w:sz="4" w:space="0"/>
              <w:left w:val="single" w:color="auto" w:sz="4" w:space="0"/>
              <w:bottom w:val="single" w:color="auto" w:sz="4" w:space="0"/>
              <w:right w:val="single" w:color="auto" w:sz="4" w:space="0"/>
            </w:tcBorders>
            <w:vAlign w:val="center"/>
          </w:tcPr>
          <w:p w14:paraId="2003A2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5E073E98">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5737B5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6FEF86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1B3E0EC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谐波电压、电流总畸变率</w:t>
            </w:r>
          </w:p>
        </w:tc>
        <w:tc>
          <w:tcPr>
            <w:tcW w:w="2277" w:type="dxa"/>
            <w:tcBorders>
              <w:top w:val="single" w:color="auto" w:sz="4" w:space="0"/>
              <w:left w:val="single" w:color="auto" w:sz="4" w:space="0"/>
              <w:bottom w:val="single" w:color="auto" w:sz="4" w:space="0"/>
              <w:right w:val="single" w:color="auto" w:sz="4" w:space="0"/>
            </w:tcBorders>
            <w:vAlign w:val="center"/>
          </w:tcPr>
          <w:p w14:paraId="7505B1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78EFB29B">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1AC096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621B59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133CB89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谐波相位（2~50次）</w:t>
            </w:r>
            <w:r>
              <w:rPr>
                <w:rFonts w:hint="eastAsia" w:ascii="宋体" w:hAnsi="宋体" w:cs="宋体"/>
                <w:kern w:val="0"/>
                <w:sz w:val="24"/>
                <w:vertAlign w:val="superscript"/>
                <w:lang w:bidi="ar"/>
              </w:rPr>
              <w:t>1</w:t>
            </w:r>
          </w:p>
        </w:tc>
        <w:tc>
          <w:tcPr>
            <w:tcW w:w="2277" w:type="dxa"/>
            <w:tcBorders>
              <w:top w:val="single" w:color="auto" w:sz="4" w:space="0"/>
              <w:left w:val="single" w:color="auto" w:sz="4" w:space="0"/>
              <w:bottom w:val="single" w:color="auto" w:sz="4" w:space="0"/>
              <w:right w:val="single" w:color="auto" w:sz="4" w:space="0"/>
            </w:tcBorders>
            <w:vAlign w:val="center"/>
          </w:tcPr>
          <w:p w14:paraId="550269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7350BDB4">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2E3BFF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2FF9EA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77FE8AE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谐波功率（2~50次）</w:t>
            </w:r>
          </w:p>
        </w:tc>
        <w:tc>
          <w:tcPr>
            <w:tcW w:w="2277" w:type="dxa"/>
            <w:tcBorders>
              <w:top w:val="single" w:color="auto" w:sz="4" w:space="0"/>
              <w:left w:val="single" w:color="auto" w:sz="4" w:space="0"/>
              <w:bottom w:val="single" w:color="auto" w:sz="4" w:space="0"/>
              <w:right w:val="single" w:color="auto" w:sz="4" w:space="0"/>
            </w:tcBorders>
            <w:vAlign w:val="center"/>
          </w:tcPr>
          <w:p w14:paraId="70DCD2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7670798B">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32FDF8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5F8E11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77CB055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间谐波电压含有率、间谐波电流含有率、间谐波电流有效值（0~49次）</w:t>
            </w:r>
            <w:r>
              <w:rPr>
                <w:rFonts w:hint="eastAsia" w:ascii="宋体" w:hAnsi="宋体" w:cs="宋体"/>
                <w:kern w:val="0"/>
                <w:sz w:val="24"/>
                <w:vertAlign w:val="superscript"/>
                <w:lang w:bidi="ar"/>
              </w:rPr>
              <w:t>2</w:t>
            </w:r>
          </w:p>
        </w:tc>
        <w:tc>
          <w:tcPr>
            <w:tcW w:w="2277" w:type="dxa"/>
            <w:tcBorders>
              <w:top w:val="single" w:color="auto" w:sz="4" w:space="0"/>
              <w:left w:val="single" w:color="auto" w:sz="4" w:space="0"/>
              <w:bottom w:val="single" w:color="auto" w:sz="4" w:space="0"/>
              <w:right w:val="single" w:color="auto" w:sz="4" w:space="0"/>
            </w:tcBorders>
            <w:vAlign w:val="center"/>
          </w:tcPr>
          <w:p w14:paraId="1939CD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7BD0225B">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44E304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465AEA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1745B4E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cs="宋体"/>
              </w:rPr>
            </w:pPr>
            <w:r>
              <w:rPr>
                <w:rFonts w:hint="eastAsia" w:ascii="宋体" w:hAnsi="宋体" w:cs="宋体"/>
                <w:kern w:val="0"/>
                <w:lang w:bidi="ar"/>
              </w:rPr>
              <w:t>电压短时闪变和长时闪变</w:t>
            </w:r>
          </w:p>
        </w:tc>
        <w:tc>
          <w:tcPr>
            <w:tcW w:w="2277" w:type="dxa"/>
            <w:tcBorders>
              <w:top w:val="single" w:color="auto" w:sz="4" w:space="0"/>
              <w:left w:val="single" w:color="auto" w:sz="4" w:space="0"/>
              <w:bottom w:val="single" w:color="auto" w:sz="4" w:space="0"/>
              <w:right w:val="single" w:color="auto" w:sz="4" w:space="0"/>
            </w:tcBorders>
            <w:vAlign w:val="center"/>
          </w:tcPr>
          <w:p w14:paraId="7DA4A3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6E9526DE">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09B902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restart"/>
            <w:tcBorders>
              <w:top w:val="single" w:color="auto" w:sz="4" w:space="0"/>
              <w:left w:val="single" w:color="auto" w:sz="4" w:space="0"/>
              <w:bottom w:val="single" w:color="auto" w:sz="4" w:space="0"/>
              <w:right w:val="single" w:color="auto" w:sz="4" w:space="0"/>
            </w:tcBorders>
            <w:vAlign w:val="center"/>
          </w:tcPr>
          <w:p w14:paraId="5DA3A0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暂态电能质量事件监测功能</w:t>
            </w: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7D32F94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cs="宋体"/>
              </w:rPr>
            </w:pPr>
            <w:r>
              <w:rPr>
                <w:rFonts w:hint="eastAsia" w:ascii="宋体" w:hAnsi="宋体" w:cs="宋体"/>
                <w:kern w:val="0"/>
                <w:lang w:bidi="ar"/>
              </w:rPr>
              <w:t>电压暂降</w:t>
            </w:r>
          </w:p>
        </w:tc>
        <w:tc>
          <w:tcPr>
            <w:tcW w:w="2277" w:type="dxa"/>
            <w:tcBorders>
              <w:top w:val="single" w:color="auto" w:sz="4" w:space="0"/>
              <w:left w:val="single" w:color="auto" w:sz="4" w:space="0"/>
              <w:bottom w:val="single" w:color="auto" w:sz="4" w:space="0"/>
              <w:right w:val="single" w:color="auto" w:sz="4" w:space="0"/>
            </w:tcBorders>
            <w:vAlign w:val="center"/>
          </w:tcPr>
          <w:p w14:paraId="5E12EE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15B9518E">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45DCA3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3CD9D8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1B070DA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cs="宋体"/>
              </w:rPr>
            </w:pPr>
            <w:r>
              <w:rPr>
                <w:rFonts w:hint="eastAsia" w:ascii="宋体" w:hAnsi="宋体" w:cs="宋体"/>
                <w:kern w:val="0"/>
                <w:lang w:bidi="ar"/>
              </w:rPr>
              <w:t>电压暂升</w:t>
            </w:r>
          </w:p>
        </w:tc>
        <w:tc>
          <w:tcPr>
            <w:tcW w:w="2277" w:type="dxa"/>
            <w:tcBorders>
              <w:top w:val="single" w:color="auto" w:sz="4" w:space="0"/>
              <w:left w:val="single" w:color="auto" w:sz="4" w:space="0"/>
              <w:bottom w:val="single" w:color="auto" w:sz="4" w:space="0"/>
              <w:right w:val="single" w:color="auto" w:sz="4" w:space="0"/>
            </w:tcBorders>
            <w:vAlign w:val="center"/>
          </w:tcPr>
          <w:p w14:paraId="453926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4C04E1F8">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090B60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6A03F0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0266FEF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cs="宋体"/>
              </w:rPr>
            </w:pPr>
            <w:r>
              <w:rPr>
                <w:rFonts w:hint="eastAsia" w:ascii="宋体" w:hAnsi="宋体" w:cs="宋体"/>
                <w:kern w:val="0"/>
                <w:lang w:bidi="ar"/>
              </w:rPr>
              <w:t>电压中断</w:t>
            </w:r>
          </w:p>
        </w:tc>
        <w:tc>
          <w:tcPr>
            <w:tcW w:w="2277" w:type="dxa"/>
            <w:tcBorders>
              <w:top w:val="single" w:color="auto" w:sz="4" w:space="0"/>
              <w:left w:val="single" w:color="auto" w:sz="4" w:space="0"/>
              <w:bottom w:val="single" w:color="auto" w:sz="4" w:space="0"/>
              <w:right w:val="single" w:color="auto" w:sz="4" w:space="0"/>
            </w:tcBorders>
            <w:vAlign w:val="center"/>
          </w:tcPr>
          <w:p w14:paraId="1035DA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012E29E1">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52D5E0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vMerge w:val="continue"/>
            <w:tcBorders>
              <w:top w:val="single" w:color="auto" w:sz="4" w:space="0"/>
              <w:left w:val="single" w:color="auto" w:sz="4" w:space="0"/>
              <w:bottom w:val="single" w:color="auto" w:sz="4" w:space="0"/>
              <w:right w:val="single" w:color="auto" w:sz="4" w:space="0"/>
            </w:tcBorders>
            <w:vAlign w:val="center"/>
          </w:tcPr>
          <w:p w14:paraId="333785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423B7C0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cs="宋体"/>
              </w:rPr>
            </w:pPr>
            <w:r>
              <w:rPr>
                <w:rFonts w:hint="eastAsia" w:ascii="宋体" w:hAnsi="宋体" w:cs="宋体"/>
                <w:kern w:val="0"/>
                <w:lang w:bidi="ar"/>
              </w:rPr>
              <w:t>冲击电流</w:t>
            </w:r>
          </w:p>
        </w:tc>
        <w:tc>
          <w:tcPr>
            <w:tcW w:w="2277" w:type="dxa"/>
            <w:tcBorders>
              <w:top w:val="single" w:color="auto" w:sz="4" w:space="0"/>
              <w:left w:val="single" w:color="auto" w:sz="4" w:space="0"/>
              <w:bottom w:val="single" w:color="auto" w:sz="4" w:space="0"/>
              <w:right w:val="single" w:color="auto" w:sz="4" w:space="0"/>
            </w:tcBorders>
            <w:vAlign w:val="center"/>
          </w:tcPr>
          <w:p w14:paraId="5B268A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453EB125">
        <w:tblPrEx>
          <w:tblCellMar>
            <w:top w:w="0" w:type="dxa"/>
            <w:left w:w="108" w:type="dxa"/>
            <w:bottom w:w="0" w:type="dxa"/>
            <w:right w:w="108" w:type="dxa"/>
          </w:tblCellMar>
        </w:tblPrEx>
        <w:trPr>
          <w:trHeight w:val="567" w:hRule="atLeast"/>
          <w:jc w:val="center"/>
        </w:trPr>
        <w:tc>
          <w:tcPr>
            <w:tcW w:w="695" w:type="dxa"/>
            <w:vMerge w:val="continue"/>
            <w:tcBorders>
              <w:top w:val="single" w:color="auto" w:sz="4" w:space="0"/>
              <w:left w:val="single" w:color="auto" w:sz="4" w:space="0"/>
              <w:bottom w:val="single" w:color="auto" w:sz="4" w:space="0"/>
              <w:right w:val="single" w:color="auto" w:sz="4" w:space="0"/>
            </w:tcBorders>
            <w:vAlign w:val="center"/>
          </w:tcPr>
          <w:p w14:paraId="4F98C2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6F95E2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暂态电能质量事件标记功能</w:t>
            </w: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6744446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rPr>
                <w:rFonts w:hint="eastAsia" w:ascii="宋体" w:hAnsi="宋体" w:cs="宋体"/>
              </w:rPr>
            </w:pPr>
          </w:p>
        </w:tc>
        <w:tc>
          <w:tcPr>
            <w:tcW w:w="2277" w:type="dxa"/>
            <w:tcBorders>
              <w:top w:val="single" w:color="auto" w:sz="4" w:space="0"/>
              <w:left w:val="single" w:color="auto" w:sz="4" w:space="0"/>
              <w:bottom w:val="single" w:color="auto" w:sz="4" w:space="0"/>
              <w:right w:val="single" w:color="auto" w:sz="4" w:space="0"/>
            </w:tcBorders>
            <w:vAlign w:val="center"/>
          </w:tcPr>
          <w:p w14:paraId="0995E1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02CCD028">
        <w:tblPrEx>
          <w:tblCellMar>
            <w:top w:w="0" w:type="dxa"/>
            <w:left w:w="108" w:type="dxa"/>
            <w:bottom w:w="0" w:type="dxa"/>
            <w:right w:w="108" w:type="dxa"/>
          </w:tblCellMar>
        </w:tblPrEx>
        <w:trPr>
          <w:trHeight w:val="567" w:hRule="atLeast"/>
          <w:jc w:val="center"/>
        </w:trPr>
        <w:tc>
          <w:tcPr>
            <w:tcW w:w="2780" w:type="dxa"/>
            <w:gridSpan w:val="2"/>
            <w:vMerge w:val="restart"/>
            <w:tcBorders>
              <w:top w:val="single" w:color="auto" w:sz="4" w:space="0"/>
              <w:left w:val="single" w:color="auto" w:sz="4" w:space="0"/>
              <w:bottom w:val="single" w:color="auto" w:sz="4" w:space="0"/>
              <w:right w:val="single" w:color="auto" w:sz="4" w:space="0"/>
            </w:tcBorders>
            <w:vAlign w:val="center"/>
          </w:tcPr>
          <w:p w14:paraId="306517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统计和记录功能</w:t>
            </w: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4C6FD5F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150周波间隔统计功能</w:t>
            </w:r>
          </w:p>
        </w:tc>
        <w:tc>
          <w:tcPr>
            <w:tcW w:w="2277" w:type="dxa"/>
            <w:tcBorders>
              <w:top w:val="single" w:color="auto" w:sz="4" w:space="0"/>
              <w:left w:val="single" w:color="auto" w:sz="4" w:space="0"/>
              <w:bottom w:val="single" w:color="auto" w:sz="4" w:space="0"/>
              <w:right w:val="single" w:color="auto" w:sz="4" w:space="0"/>
            </w:tcBorders>
            <w:vAlign w:val="center"/>
          </w:tcPr>
          <w:p w14:paraId="749AAA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23F7E6E9">
        <w:tblPrEx>
          <w:tblCellMar>
            <w:top w:w="0" w:type="dxa"/>
            <w:left w:w="108" w:type="dxa"/>
            <w:bottom w:w="0" w:type="dxa"/>
            <w:right w:w="108" w:type="dxa"/>
          </w:tblCellMar>
        </w:tblPrEx>
        <w:trPr>
          <w:trHeight w:val="567" w:hRule="atLeast"/>
          <w:jc w:val="center"/>
        </w:trPr>
        <w:tc>
          <w:tcPr>
            <w:tcW w:w="2780" w:type="dxa"/>
            <w:gridSpan w:val="2"/>
            <w:vMerge w:val="continue"/>
            <w:tcBorders>
              <w:top w:val="single" w:color="auto" w:sz="4" w:space="0"/>
              <w:left w:val="single" w:color="auto" w:sz="4" w:space="0"/>
              <w:bottom w:val="single" w:color="auto" w:sz="4" w:space="0"/>
              <w:right w:val="single" w:color="auto" w:sz="4" w:space="0"/>
            </w:tcBorders>
            <w:vAlign w:val="center"/>
          </w:tcPr>
          <w:p w14:paraId="102D39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42EDE39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分钟间隔统计功能</w:t>
            </w:r>
          </w:p>
        </w:tc>
        <w:tc>
          <w:tcPr>
            <w:tcW w:w="2277" w:type="dxa"/>
            <w:tcBorders>
              <w:top w:val="single" w:color="auto" w:sz="4" w:space="0"/>
              <w:left w:val="single" w:color="auto" w:sz="4" w:space="0"/>
              <w:bottom w:val="single" w:color="auto" w:sz="4" w:space="0"/>
              <w:right w:val="single" w:color="auto" w:sz="4" w:space="0"/>
            </w:tcBorders>
            <w:vAlign w:val="center"/>
          </w:tcPr>
          <w:p w14:paraId="30807B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33CD0DB0">
        <w:tblPrEx>
          <w:tblCellMar>
            <w:top w:w="0" w:type="dxa"/>
            <w:left w:w="108" w:type="dxa"/>
            <w:bottom w:w="0" w:type="dxa"/>
            <w:right w:w="108" w:type="dxa"/>
          </w:tblCellMar>
        </w:tblPrEx>
        <w:trPr>
          <w:trHeight w:val="567" w:hRule="atLeast"/>
          <w:jc w:val="center"/>
        </w:trPr>
        <w:tc>
          <w:tcPr>
            <w:tcW w:w="2780" w:type="dxa"/>
            <w:gridSpan w:val="2"/>
            <w:vMerge w:val="continue"/>
            <w:tcBorders>
              <w:top w:val="single" w:color="auto" w:sz="4" w:space="0"/>
              <w:left w:val="single" w:color="auto" w:sz="4" w:space="0"/>
              <w:bottom w:val="single" w:color="auto" w:sz="4" w:space="0"/>
              <w:right w:val="single" w:color="auto" w:sz="4" w:space="0"/>
            </w:tcBorders>
            <w:vAlign w:val="center"/>
          </w:tcPr>
          <w:p w14:paraId="2B7F90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0B6D72D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录波功能</w:t>
            </w:r>
          </w:p>
        </w:tc>
        <w:tc>
          <w:tcPr>
            <w:tcW w:w="2277" w:type="dxa"/>
            <w:tcBorders>
              <w:top w:val="single" w:color="auto" w:sz="4" w:space="0"/>
              <w:left w:val="single" w:color="auto" w:sz="4" w:space="0"/>
              <w:bottom w:val="single" w:color="auto" w:sz="4" w:space="0"/>
              <w:right w:val="single" w:color="auto" w:sz="4" w:space="0"/>
            </w:tcBorders>
            <w:vAlign w:val="center"/>
          </w:tcPr>
          <w:p w14:paraId="4480AE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181C898B">
        <w:tblPrEx>
          <w:tblCellMar>
            <w:top w:w="0" w:type="dxa"/>
            <w:left w:w="108" w:type="dxa"/>
            <w:bottom w:w="0" w:type="dxa"/>
            <w:right w:w="108" w:type="dxa"/>
          </w:tblCellMar>
        </w:tblPrEx>
        <w:trPr>
          <w:trHeight w:val="567" w:hRule="atLeast"/>
          <w:jc w:val="center"/>
        </w:trPr>
        <w:tc>
          <w:tcPr>
            <w:tcW w:w="2780" w:type="dxa"/>
            <w:gridSpan w:val="2"/>
            <w:vMerge w:val="continue"/>
            <w:tcBorders>
              <w:top w:val="single" w:color="auto" w:sz="4" w:space="0"/>
              <w:left w:val="single" w:color="auto" w:sz="4" w:space="0"/>
              <w:bottom w:val="single" w:color="auto" w:sz="4" w:space="0"/>
              <w:right w:val="single" w:color="auto" w:sz="4" w:space="0"/>
            </w:tcBorders>
            <w:vAlign w:val="center"/>
          </w:tcPr>
          <w:p w14:paraId="75AB8A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32A69B7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故障告警记录功能</w:t>
            </w:r>
          </w:p>
        </w:tc>
        <w:tc>
          <w:tcPr>
            <w:tcW w:w="2277" w:type="dxa"/>
            <w:tcBorders>
              <w:top w:val="single" w:color="auto" w:sz="4" w:space="0"/>
              <w:left w:val="single" w:color="auto" w:sz="4" w:space="0"/>
              <w:bottom w:val="single" w:color="auto" w:sz="4" w:space="0"/>
              <w:right w:val="single" w:color="auto" w:sz="4" w:space="0"/>
            </w:tcBorders>
            <w:vAlign w:val="center"/>
          </w:tcPr>
          <w:p w14:paraId="2B4A90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761ECE3F">
        <w:tblPrEx>
          <w:tblCellMar>
            <w:top w:w="0" w:type="dxa"/>
            <w:left w:w="108" w:type="dxa"/>
            <w:bottom w:w="0" w:type="dxa"/>
            <w:right w:w="108" w:type="dxa"/>
          </w:tblCellMar>
        </w:tblPrEx>
        <w:trPr>
          <w:trHeight w:val="567" w:hRule="atLeast"/>
          <w:jc w:val="center"/>
        </w:trPr>
        <w:tc>
          <w:tcPr>
            <w:tcW w:w="2780" w:type="dxa"/>
            <w:gridSpan w:val="2"/>
            <w:vMerge w:val="continue"/>
            <w:tcBorders>
              <w:top w:val="single" w:color="auto" w:sz="4" w:space="0"/>
              <w:left w:val="single" w:color="auto" w:sz="4" w:space="0"/>
              <w:bottom w:val="single" w:color="auto" w:sz="4" w:space="0"/>
              <w:right w:val="single" w:color="auto" w:sz="4" w:space="0"/>
            </w:tcBorders>
            <w:vAlign w:val="center"/>
          </w:tcPr>
          <w:p w14:paraId="3A34A0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6D6B794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PQDIF文件生成功能</w:t>
            </w:r>
          </w:p>
        </w:tc>
        <w:tc>
          <w:tcPr>
            <w:tcW w:w="2277" w:type="dxa"/>
            <w:tcBorders>
              <w:top w:val="single" w:color="auto" w:sz="4" w:space="0"/>
              <w:left w:val="single" w:color="auto" w:sz="4" w:space="0"/>
              <w:bottom w:val="single" w:color="auto" w:sz="4" w:space="0"/>
              <w:right w:val="single" w:color="auto" w:sz="4" w:space="0"/>
            </w:tcBorders>
            <w:vAlign w:val="center"/>
          </w:tcPr>
          <w:p w14:paraId="7AB562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5D3315C8">
        <w:tblPrEx>
          <w:tblCellMar>
            <w:top w:w="0" w:type="dxa"/>
            <w:left w:w="108" w:type="dxa"/>
            <w:bottom w:w="0" w:type="dxa"/>
            <w:right w:w="108" w:type="dxa"/>
          </w:tblCellMar>
        </w:tblPrEx>
        <w:trPr>
          <w:trHeight w:val="567" w:hRule="atLeast"/>
          <w:jc w:val="center"/>
        </w:trPr>
        <w:tc>
          <w:tcPr>
            <w:tcW w:w="2780" w:type="dxa"/>
            <w:gridSpan w:val="2"/>
            <w:vMerge w:val="restart"/>
            <w:tcBorders>
              <w:top w:val="single" w:color="auto" w:sz="4" w:space="0"/>
              <w:left w:val="single" w:color="auto" w:sz="4" w:space="0"/>
              <w:bottom w:val="single" w:color="auto" w:sz="4" w:space="0"/>
              <w:right w:val="single" w:color="auto" w:sz="4" w:space="0"/>
            </w:tcBorders>
            <w:vAlign w:val="center"/>
          </w:tcPr>
          <w:p w14:paraId="4DA971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存储功能</w:t>
            </w: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55107B9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统计数据项目可选存储功能</w:t>
            </w:r>
          </w:p>
        </w:tc>
        <w:tc>
          <w:tcPr>
            <w:tcW w:w="2277" w:type="dxa"/>
            <w:tcBorders>
              <w:top w:val="single" w:color="auto" w:sz="4" w:space="0"/>
              <w:left w:val="single" w:color="auto" w:sz="4" w:space="0"/>
              <w:bottom w:val="single" w:color="auto" w:sz="4" w:space="0"/>
              <w:right w:val="single" w:color="auto" w:sz="4" w:space="0"/>
            </w:tcBorders>
            <w:vAlign w:val="center"/>
          </w:tcPr>
          <w:p w14:paraId="4D4BF7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17177D9E">
        <w:tblPrEx>
          <w:tblCellMar>
            <w:top w:w="0" w:type="dxa"/>
            <w:left w:w="108" w:type="dxa"/>
            <w:bottom w:w="0" w:type="dxa"/>
            <w:right w:w="108" w:type="dxa"/>
          </w:tblCellMar>
        </w:tblPrEx>
        <w:trPr>
          <w:trHeight w:val="567" w:hRule="atLeast"/>
          <w:jc w:val="center"/>
        </w:trPr>
        <w:tc>
          <w:tcPr>
            <w:tcW w:w="2780" w:type="dxa"/>
            <w:gridSpan w:val="2"/>
            <w:vMerge w:val="continue"/>
            <w:tcBorders>
              <w:top w:val="single" w:color="auto" w:sz="4" w:space="0"/>
              <w:left w:val="single" w:color="auto" w:sz="4" w:space="0"/>
              <w:bottom w:val="single" w:color="auto" w:sz="4" w:space="0"/>
              <w:right w:val="single" w:color="auto" w:sz="4" w:space="0"/>
            </w:tcBorders>
            <w:vAlign w:val="center"/>
          </w:tcPr>
          <w:p w14:paraId="681538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36F675B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cs="宋体"/>
              </w:rPr>
            </w:pPr>
            <w:r>
              <w:rPr>
                <w:rFonts w:hint="eastAsia" w:ascii="宋体" w:hAnsi="宋体" w:cs="宋体"/>
                <w:kern w:val="0"/>
                <w:lang w:bidi="ar"/>
              </w:rPr>
              <w:t>存储容量满足要求</w:t>
            </w:r>
          </w:p>
        </w:tc>
        <w:tc>
          <w:tcPr>
            <w:tcW w:w="2277" w:type="dxa"/>
            <w:tcBorders>
              <w:top w:val="single" w:color="auto" w:sz="4" w:space="0"/>
              <w:left w:val="single" w:color="auto" w:sz="4" w:space="0"/>
              <w:bottom w:val="single" w:color="auto" w:sz="4" w:space="0"/>
              <w:right w:val="single" w:color="auto" w:sz="4" w:space="0"/>
            </w:tcBorders>
            <w:vAlign w:val="center"/>
          </w:tcPr>
          <w:p w14:paraId="5C3FB5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63833AE9">
        <w:tblPrEx>
          <w:tblCellMar>
            <w:top w:w="0" w:type="dxa"/>
            <w:left w:w="108" w:type="dxa"/>
            <w:bottom w:w="0" w:type="dxa"/>
            <w:right w:w="108" w:type="dxa"/>
          </w:tblCellMar>
        </w:tblPrEx>
        <w:trPr>
          <w:trHeight w:val="567" w:hRule="atLeast"/>
          <w:jc w:val="center"/>
        </w:trPr>
        <w:tc>
          <w:tcPr>
            <w:tcW w:w="2780" w:type="dxa"/>
            <w:gridSpan w:val="2"/>
            <w:tcBorders>
              <w:top w:val="single" w:color="auto" w:sz="4" w:space="0"/>
              <w:left w:val="single" w:color="auto" w:sz="4" w:space="0"/>
              <w:bottom w:val="single" w:color="auto" w:sz="4" w:space="0"/>
              <w:right w:val="single" w:color="auto" w:sz="4" w:space="0"/>
            </w:tcBorders>
          </w:tcPr>
          <w:p w14:paraId="00EBAE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rFonts w:hint="eastAsia" w:ascii="宋体" w:hAnsi="宋体" w:cs="宋体"/>
              </w:rPr>
            </w:pPr>
            <w:r>
              <w:rPr>
                <w:rFonts w:hint="eastAsia" w:ascii="宋体" w:hAnsi="宋体" w:cs="宋体"/>
                <w:kern w:val="0"/>
                <w:lang w:bidi="ar"/>
              </w:rPr>
              <w:t>显示功能</w:t>
            </w: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2238F6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277" w:type="dxa"/>
            <w:tcBorders>
              <w:top w:val="single" w:color="auto" w:sz="4" w:space="0"/>
              <w:left w:val="single" w:color="auto" w:sz="4" w:space="0"/>
              <w:bottom w:val="single" w:color="auto" w:sz="4" w:space="0"/>
              <w:right w:val="single" w:color="auto" w:sz="4" w:space="0"/>
            </w:tcBorders>
            <w:vAlign w:val="center"/>
          </w:tcPr>
          <w:p w14:paraId="3F5740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5927A9EF">
        <w:tblPrEx>
          <w:tblCellMar>
            <w:top w:w="0" w:type="dxa"/>
            <w:left w:w="108" w:type="dxa"/>
            <w:bottom w:w="0" w:type="dxa"/>
            <w:right w:w="108" w:type="dxa"/>
          </w:tblCellMar>
        </w:tblPrEx>
        <w:trPr>
          <w:trHeight w:val="567" w:hRule="atLeast"/>
          <w:jc w:val="center"/>
        </w:trPr>
        <w:tc>
          <w:tcPr>
            <w:tcW w:w="2780" w:type="dxa"/>
            <w:gridSpan w:val="2"/>
            <w:tcBorders>
              <w:top w:val="single" w:color="auto" w:sz="4" w:space="0"/>
              <w:left w:val="single" w:color="auto" w:sz="4" w:space="0"/>
              <w:bottom w:val="single" w:color="auto" w:sz="4" w:space="0"/>
              <w:right w:val="single" w:color="auto" w:sz="4" w:space="0"/>
            </w:tcBorders>
          </w:tcPr>
          <w:p w14:paraId="5B8154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rFonts w:hint="eastAsia" w:ascii="宋体" w:hAnsi="宋体" w:cs="宋体"/>
              </w:rPr>
            </w:pPr>
            <w:r>
              <w:rPr>
                <w:rFonts w:hint="eastAsia" w:ascii="宋体" w:hAnsi="宋体" w:cs="宋体"/>
                <w:kern w:val="0"/>
                <w:lang w:bidi="ar"/>
              </w:rPr>
              <w:t>设置功能</w:t>
            </w: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697C80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2277" w:type="dxa"/>
            <w:tcBorders>
              <w:top w:val="single" w:color="auto" w:sz="4" w:space="0"/>
              <w:left w:val="single" w:color="auto" w:sz="4" w:space="0"/>
              <w:bottom w:val="single" w:color="auto" w:sz="4" w:space="0"/>
              <w:right w:val="single" w:color="auto" w:sz="4" w:space="0"/>
            </w:tcBorders>
            <w:vAlign w:val="center"/>
          </w:tcPr>
          <w:p w14:paraId="399EC1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489FB40F">
        <w:tblPrEx>
          <w:tblCellMar>
            <w:top w:w="0" w:type="dxa"/>
            <w:left w:w="108" w:type="dxa"/>
            <w:bottom w:w="0" w:type="dxa"/>
            <w:right w:w="108" w:type="dxa"/>
          </w:tblCellMar>
        </w:tblPrEx>
        <w:trPr>
          <w:trHeight w:val="567" w:hRule="atLeast"/>
          <w:jc w:val="center"/>
        </w:trPr>
        <w:tc>
          <w:tcPr>
            <w:tcW w:w="2780" w:type="dxa"/>
            <w:gridSpan w:val="2"/>
            <w:vMerge w:val="restart"/>
            <w:tcBorders>
              <w:top w:val="single" w:color="auto" w:sz="4" w:space="0"/>
              <w:left w:val="single" w:color="auto" w:sz="4" w:space="0"/>
              <w:bottom w:val="single" w:color="auto" w:sz="4" w:space="0"/>
              <w:right w:val="single" w:color="auto" w:sz="4" w:space="0"/>
            </w:tcBorders>
            <w:vAlign w:val="center"/>
          </w:tcPr>
          <w:p w14:paraId="4B1AD1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通信功能</w:t>
            </w:r>
          </w:p>
        </w:tc>
        <w:tc>
          <w:tcPr>
            <w:tcW w:w="1395" w:type="dxa"/>
            <w:vMerge w:val="restart"/>
            <w:tcBorders>
              <w:top w:val="single" w:color="auto" w:sz="4" w:space="0"/>
              <w:left w:val="single" w:color="auto" w:sz="4" w:space="0"/>
              <w:bottom w:val="single" w:color="auto" w:sz="4" w:space="0"/>
              <w:right w:val="single" w:color="auto" w:sz="4" w:space="0"/>
            </w:tcBorders>
            <w:vAlign w:val="center"/>
          </w:tcPr>
          <w:p w14:paraId="2550DCA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cs="宋体"/>
              </w:rPr>
            </w:pPr>
            <w:r>
              <w:rPr>
                <w:rFonts w:hint="eastAsia" w:ascii="宋体" w:hAnsi="宋体" w:cs="宋体"/>
                <w:kern w:val="0"/>
                <w:lang w:bidi="ar"/>
              </w:rPr>
              <w:t>通信接口</w:t>
            </w:r>
          </w:p>
        </w:tc>
        <w:tc>
          <w:tcPr>
            <w:tcW w:w="3554" w:type="dxa"/>
            <w:tcBorders>
              <w:top w:val="single" w:color="auto" w:sz="4" w:space="0"/>
              <w:left w:val="single" w:color="auto" w:sz="4" w:space="0"/>
              <w:bottom w:val="single" w:color="auto" w:sz="4" w:space="0"/>
              <w:right w:val="single" w:color="auto" w:sz="4" w:space="0"/>
            </w:tcBorders>
            <w:vAlign w:val="center"/>
          </w:tcPr>
          <w:p w14:paraId="380204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以太网</w:t>
            </w:r>
          </w:p>
        </w:tc>
        <w:tc>
          <w:tcPr>
            <w:tcW w:w="2277" w:type="dxa"/>
            <w:tcBorders>
              <w:top w:val="single" w:color="auto" w:sz="4" w:space="0"/>
              <w:left w:val="single" w:color="auto" w:sz="4" w:space="0"/>
              <w:bottom w:val="single" w:color="auto" w:sz="4" w:space="0"/>
              <w:right w:val="single" w:color="auto" w:sz="4" w:space="0"/>
            </w:tcBorders>
            <w:vAlign w:val="center"/>
          </w:tcPr>
          <w:p w14:paraId="28AC4D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293C00C1">
        <w:tblPrEx>
          <w:tblCellMar>
            <w:top w:w="0" w:type="dxa"/>
            <w:left w:w="108" w:type="dxa"/>
            <w:bottom w:w="0" w:type="dxa"/>
            <w:right w:w="108" w:type="dxa"/>
          </w:tblCellMar>
        </w:tblPrEx>
        <w:trPr>
          <w:trHeight w:val="567" w:hRule="atLeast"/>
          <w:jc w:val="center"/>
        </w:trPr>
        <w:tc>
          <w:tcPr>
            <w:tcW w:w="2780" w:type="dxa"/>
            <w:gridSpan w:val="2"/>
            <w:vMerge w:val="continue"/>
            <w:tcBorders>
              <w:top w:val="single" w:color="auto" w:sz="4" w:space="0"/>
              <w:left w:val="single" w:color="auto" w:sz="4" w:space="0"/>
              <w:bottom w:val="single" w:color="auto" w:sz="4" w:space="0"/>
              <w:right w:val="single" w:color="auto" w:sz="4" w:space="0"/>
            </w:tcBorders>
            <w:vAlign w:val="center"/>
          </w:tcPr>
          <w:p w14:paraId="27A506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1395" w:type="dxa"/>
            <w:vMerge w:val="continue"/>
            <w:tcBorders>
              <w:top w:val="single" w:color="auto" w:sz="4" w:space="0"/>
              <w:left w:val="single" w:color="auto" w:sz="4" w:space="0"/>
              <w:bottom w:val="single" w:color="auto" w:sz="4" w:space="0"/>
              <w:right w:val="single" w:color="auto" w:sz="4" w:space="0"/>
            </w:tcBorders>
            <w:vAlign w:val="center"/>
          </w:tcPr>
          <w:p w14:paraId="658781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3554" w:type="dxa"/>
            <w:tcBorders>
              <w:top w:val="single" w:color="auto" w:sz="4" w:space="0"/>
              <w:left w:val="single" w:color="auto" w:sz="4" w:space="0"/>
              <w:bottom w:val="single" w:color="auto" w:sz="4" w:space="0"/>
              <w:right w:val="single" w:color="auto" w:sz="4" w:space="0"/>
            </w:tcBorders>
            <w:vAlign w:val="center"/>
          </w:tcPr>
          <w:p w14:paraId="263351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EIA RS-232/485接口</w:t>
            </w:r>
          </w:p>
        </w:tc>
        <w:tc>
          <w:tcPr>
            <w:tcW w:w="2277" w:type="dxa"/>
            <w:tcBorders>
              <w:top w:val="single" w:color="auto" w:sz="4" w:space="0"/>
              <w:left w:val="single" w:color="auto" w:sz="4" w:space="0"/>
              <w:bottom w:val="single" w:color="auto" w:sz="4" w:space="0"/>
              <w:right w:val="single" w:color="auto" w:sz="4" w:space="0"/>
            </w:tcBorders>
            <w:vAlign w:val="center"/>
          </w:tcPr>
          <w:p w14:paraId="3E64DC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lang w:eastAsia="zh-CN"/>
              </w:rPr>
            </w:pPr>
            <w:r>
              <w:rPr>
                <w:rFonts w:hint="eastAsia" w:ascii="宋体" w:hAnsi="宋体" w:cs="宋体"/>
                <w:kern w:val="0"/>
                <w:lang w:val="en-US" w:eastAsia="zh-CN" w:bidi="ar"/>
              </w:rPr>
              <w:t>必备</w:t>
            </w:r>
            <w:bookmarkStart w:id="26" w:name="_GoBack"/>
            <w:bookmarkEnd w:id="26"/>
          </w:p>
        </w:tc>
      </w:tr>
      <w:tr w14:paraId="09C95395">
        <w:tblPrEx>
          <w:tblCellMar>
            <w:top w:w="0" w:type="dxa"/>
            <w:left w:w="108" w:type="dxa"/>
            <w:bottom w:w="0" w:type="dxa"/>
            <w:right w:w="108" w:type="dxa"/>
          </w:tblCellMar>
        </w:tblPrEx>
        <w:trPr>
          <w:trHeight w:val="567" w:hRule="atLeast"/>
          <w:jc w:val="center"/>
        </w:trPr>
        <w:tc>
          <w:tcPr>
            <w:tcW w:w="2780" w:type="dxa"/>
            <w:gridSpan w:val="2"/>
            <w:vMerge w:val="continue"/>
            <w:tcBorders>
              <w:top w:val="single" w:color="auto" w:sz="4" w:space="0"/>
              <w:left w:val="single" w:color="auto" w:sz="4" w:space="0"/>
              <w:bottom w:val="single" w:color="auto" w:sz="4" w:space="0"/>
              <w:right w:val="single" w:color="auto" w:sz="4" w:space="0"/>
            </w:tcBorders>
            <w:vAlign w:val="center"/>
          </w:tcPr>
          <w:p w14:paraId="295845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1395" w:type="dxa"/>
            <w:tcBorders>
              <w:top w:val="single" w:color="auto" w:sz="4" w:space="0"/>
              <w:left w:val="single" w:color="auto" w:sz="4" w:space="0"/>
              <w:bottom w:val="single" w:color="auto" w:sz="4" w:space="0"/>
              <w:right w:val="single" w:color="auto" w:sz="4" w:space="0"/>
            </w:tcBorders>
            <w:vAlign w:val="center"/>
          </w:tcPr>
          <w:p w14:paraId="47E593B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cs="宋体"/>
              </w:rPr>
            </w:pPr>
            <w:r>
              <w:rPr>
                <w:rFonts w:hint="eastAsia" w:ascii="宋体" w:hAnsi="宋体" w:cs="宋体"/>
                <w:kern w:val="0"/>
                <w:lang w:bidi="ar"/>
              </w:rPr>
              <w:t>通信协议</w:t>
            </w:r>
          </w:p>
        </w:tc>
        <w:tc>
          <w:tcPr>
            <w:tcW w:w="3554" w:type="dxa"/>
            <w:tcBorders>
              <w:top w:val="single" w:color="auto" w:sz="4" w:space="0"/>
              <w:left w:val="single" w:color="auto" w:sz="4" w:space="0"/>
              <w:bottom w:val="single" w:color="auto" w:sz="4" w:space="0"/>
              <w:right w:val="single" w:color="auto" w:sz="4" w:space="0"/>
            </w:tcBorders>
            <w:vAlign w:val="center"/>
          </w:tcPr>
          <w:p w14:paraId="5521C1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基于DL/T 860（附录A）</w:t>
            </w:r>
          </w:p>
        </w:tc>
        <w:tc>
          <w:tcPr>
            <w:tcW w:w="2277" w:type="dxa"/>
            <w:tcBorders>
              <w:top w:val="single" w:color="auto" w:sz="4" w:space="0"/>
              <w:left w:val="single" w:color="auto" w:sz="4" w:space="0"/>
              <w:bottom w:val="single" w:color="auto" w:sz="4" w:space="0"/>
              <w:right w:val="single" w:color="auto" w:sz="4" w:space="0"/>
            </w:tcBorders>
            <w:vAlign w:val="center"/>
          </w:tcPr>
          <w:p w14:paraId="571EB1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1EA4707F">
        <w:tblPrEx>
          <w:tblCellMar>
            <w:top w:w="0" w:type="dxa"/>
            <w:left w:w="108" w:type="dxa"/>
            <w:bottom w:w="0" w:type="dxa"/>
            <w:right w:w="108" w:type="dxa"/>
          </w:tblCellMar>
        </w:tblPrEx>
        <w:trPr>
          <w:trHeight w:val="567" w:hRule="atLeast"/>
          <w:jc w:val="center"/>
        </w:trPr>
        <w:tc>
          <w:tcPr>
            <w:tcW w:w="2780" w:type="dxa"/>
            <w:gridSpan w:val="2"/>
            <w:vMerge w:val="restart"/>
            <w:tcBorders>
              <w:top w:val="single" w:color="auto" w:sz="4" w:space="0"/>
              <w:left w:val="single" w:color="auto" w:sz="4" w:space="0"/>
              <w:bottom w:val="single" w:color="auto" w:sz="4" w:space="0"/>
              <w:right w:val="single" w:color="auto" w:sz="4" w:space="0"/>
            </w:tcBorders>
            <w:vAlign w:val="center"/>
          </w:tcPr>
          <w:p w14:paraId="7F91F2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终端时间</w:t>
            </w: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2E846B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SNTP/NTP网络授时</w:t>
            </w:r>
          </w:p>
        </w:tc>
        <w:tc>
          <w:tcPr>
            <w:tcW w:w="2277" w:type="dxa"/>
            <w:tcBorders>
              <w:top w:val="single" w:color="auto" w:sz="4" w:space="0"/>
              <w:left w:val="single" w:color="auto" w:sz="4" w:space="0"/>
              <w:bottom w:val="single" w:color="auto" w:sz="4" w:space="0"/>
              <w:right w:val="single" w:color="auto" w:sz="4" w:space="0"/>
            </w:tcBorders>
            <w:vAlign w:val="center"/>
          </w:tcPr>
          <w:p w14:paraId="227BD8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46E38558">
        <w:tblPrEx>
          <w:tblCellMar>
            <w:top w:w="0" w:type="dxa"/>
            <w:left w:w="108" w:type="dxa"/>
            <w:bottom w:w="0" w:type="dxa"/>
            <w:right w:w="108" w:type="dxa"/>
          </w:tblCellMar>
        </w:tblPrEx>
        <w:trPr>
          <w:trHeight w:val="567" w:hRule="atLeast"/>
          <w:jc w:val="center"/>
        </w:trPr>
        <w:tc>
          <w:tcPr>
            <w:tcW w:w="2780" w:type="dxa"/>
            <w:gridSpan w:val="2"/>
            <w:vMerge w:val="continue"/>
            <w:tcBorders>
              <w:top w:val="single" w:color="auto" w:sz="4" w:space="0"/>
              <w:left w:val="single" w:color="auto" w:sz="4" w:space="0"/>
              <w:bottom w:val="single" w:color="auto" w:sz="4" w:space="0"/>
              <w:right w:val="single" w:color="auto" w:sz="4" w:space="0"/>
            </w:tcBorders>
            <w:vAlign w:val="center"/>
          </w:tcPr>
          <w:p w14:paraId="4CB6D6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cs="宋体"/>
              </w:rPr>
            </w:pPr>
          </w:p>
        </w:tc>
        <w:tc>
          <w:tcPr>
            <w:tcW w:w="4949" w:type="dxa"/>
            <w:gridSpan w:val="2"/>
            <w:tcBorders>
              <w:top w:val="single" w:color="auto" w:sz="4" w:space="0"/>
              <w:left w:val="single" w:color="auto" w:sz="4" w:space="0"/>
              <w:bottom w:val="single" w:color="auto" w:sz="4" w:space="0"/>
              <w:right w:val="single" w:color="auto" w:sz="4" w:space="0"/>
            </w:tcBorders>
            <w:vAlign w:val="center"/>
          </w:tcPr>
          <w:p w14:paraId="0FE168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硬件授时</w:t>
            </w:r>
          </w:p>
        </w:tc>
        <w:tc>
          <w:tcPr>
            <w:tcW w:w="2277" w:type="dxa"/>
            <w:tcBorders>
              <w:top w:val="single" w:color="auto" w:sz="4" w:space="0"/>
              <w:left w:val="single" w:color="auto" w:sz="4" w:space="0"/>
              <w:bottom w:val="single" w:color="auto" w:sz="4" w:space="0"/>
              <w:right w:val="single" w:color="auto" w:sz="4" w:space="0"/>
            </w:tcBorders>
            <w:vAlign w:val="center"/>
          </w:tcPr>
          <w:p w14:paraId="2CE726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rPr>
            </w:pPr>
            <w:r>
              <w:rPr>
                <w:rFonts w:hint="eastAsia" w:ascii="宋体" w:hAnsi="宋体" w:cs="宋体"/>
                <w:kern w:val="0"/>
                <w:lang w:bidi="ar"/>
              </w:rPr>
              <w:t>必备</w:t>
            </w:r>
          </w:p>
        </w:tc>
      </w:tr>
      <w:tr w14:paraId="289C338C">
        <w:tblPrEx>
          <w:tblCellMar>
            <w:top w:w="0" w:type="dxa"/>
            <w:left w:w="108" w:type="dxa"/>
            <w:bottom w:w="0" w:type="dxa"/>
            <w:right w:w="108" w:type="dxa"/>
          </w:tblCellMar>
        </w:tblPrEx>
        <w:trPr>
          <w:trHeight w:val="285" w:hRule="atLeast"/>
          <w:jc w:val="center"/>
        </w:trPr>
        <w:tc>
          <w:tcPr>
            <w:tcW w:w="10006" w:type="dxa"/>
            <w:gridSpan w:val="5"/>
            <w:tcBorders>
              <w:top w:val="single" w:color="auto" w:sz="4" w:space="0"/>
              <w:left w:val="single" w:color="auto" w:sz="4" w:space="0"/>
              <w:bottom w:val="single" w:color="auto" w:sz="4" w:space="0"/>
              <w:right w:val="single" w:color="auto" w:sz="4" w:space="0"/>
            </w:tcBorders>
          </w:tcPr>
          <w:p w14:paraId="5CF99D8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top"/>
              <w:rPr>
                <w:rFonts w:hint="eastAsia" w:ascii="宋体" w:hAnsi="宋体" w:cs="宋体"/>
                <w:kern w:val="0"/>
                <w:lang w:bidi="ar"/>
              </w:rPr>
            </w:pPr>
            <w:r>
              <w:rPr>
                <w:rFonts w:hint="eastAsia" w:ascii="宋体" w:hAnsi="宋体" w:cs="宋体"/>
                <w:kern w:val="0"/>
                <w:lang w:bidi="ar"/>
              </w:rPr>
              <w:t>注：</w:t>
            </w:r>
          </w:p>
          <w:p w14:paraId="3ADB4C8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top"/>
              <w:rPr>
                <w:rFonts w:hint="eastAsia" w:ascii="宋体" w:hAnsi="宋体" w:cs="宋体"/>
                <w:kern w:val="0"/>
                <w:lang w:bidi="ar"/>
              </w:rPr>
            </w:pPr>
            <w:r>
              <w:rPr>
                <w:rFonts w:hint="eastAsia" w:ascii="宋体" w:hAnsi="宋体" w:cs="宋体"/>
                <w:kern w:val="0"/>
                <w:lang w:val="en-US" w:eastAsia="zh-CN" w:bidi="ar"/>
              </w:rPr>
              <w:t>1、</w:t>
            </w:r>
            <w:r>
              <w:rPr>
                <w:rFonts w:hint="eastAsia" w:ascii="宋体" w:hAnsi="宋体" w:cs="宋体"/>
                <w:kern w:val="0"/>
                <w:lang w:bidi="ar"/>
              </w:rPr>
              <w:t>谐波相位以</w:t>
            </w:r>
            <w:r>
              <w:rPr>
                <w:rFonts w:hint="eastAsia" w:ascii="宋体" w:hAnsi="宋体" w:cs="宋体"/>
                <w:kern w:val="0"/>
                <w:lang w:val="en-US" w:eastAsia="zh-CN" w:bidi="ar"/>
              </w:rPr>
              <w:t>A</w:t>
            </w:r>
            <w:r>
              <w:rPr>
                <w:rFonts w:hint="eastAsia" w:ascii="宋体" w:hAnsi="宋体" w:cs="宋体"/>
                <w:kern w:val="0"/>
                <w:lang w:bidi="ar"/>
              </w:rPr>
              <w:t>相基波电压为基准。</w:t>
            </w:r>
          </w:p>
          <w:p w14:paraId="1D24A84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top"/>
              <w:rPr>
                <w:rFonts w:hint="eastAsia"/>
              </w:rPr>
            </w:pPr>
            <w:r>
              <w:rPr>
                <w:rFonts w:hint="eastAsia" w:ascii="宋体" w:hAnsi="宋体" w:cs="宋体"/>
                <w:kern w:val="0"/>
                <w:lang w:val="en-US" w:eastAsia="zh-CN" w:bidi="ar"/>
              </w:rPr>
              <w:t>2、</w:t>
            </w:r>
            <w:r>
              <w:rPr>
                <w:rFonts w:hint="eastAsia" w:ascii="宋体" w:hAnsi="宋体" w:cs="宋体"/>
                <w:kern w:val="0"/>
                <w:lang w:bidi="ar"/>
              </w:rPr>
              <w:t>0表示次谐波（频率在0-50Hz之间），1表示频率在50-100Hz之间的间谐波，2表示频率在100-150Hz之间的间谐波，以此类推。</w:t>
            </w:r>
          </w:p>
        </w:tc>
      </w:tr>
    </w:tbl>
    <w:p w14:paraId="2131E04F">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rPr>
      </w:pPr>
      <w:bookmarkStart w:id="21" w:name="_Toc19285"/>
      <w:r>
        <w:rPr>
          <w:rFonts w:hint="eastAsia" w:ascii="宋体" w:hAnsi="宋体" w:eastAsia="宋体" w:cs="宋体"/>
          <w:b/>
          <w:bCs/>
        </w:rPr>
        <w:t>表2  谐波测量最大允许误差</w:t>
      </w:r>
      <w:bookmarkEnd w:id="21"/>
    </w:p>
    <w:tbl>
      <w:tblPr>
        <w:tblStyle w:val="61"/>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2"/>
        <w:gridCol w:w="1857"/>
        <w:gridCol w:w="2000"/>
        <w:gridCol w:w="2492"/>
        <w:gridCol w:w="2225"/>
      </w:tblGrid>
      <w:tr w14:paraId="70E7C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32" w:type="dxa"/>
            <w:vAlign w:val="center"/>
          </w:tcPr>
          <w:p w14:paraId="0483F7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b/>
                <w:bCs/>
              </w:rPr>
            </w:pPr>
            <w:r>
              <w:rPr>
                <w:rFonts w:hint="eastAsia" w:ascii="Calibri" w:hAnsi="Calibri"/>
                <w:b/>
                <w:bCs/>
              </w:rPr>
              <w:t>等级</w:t>
            </w:r>
          </w:p>
        </w:tc>
        <w:tc>
          <w:tcPr>
            <w:tcW w:w="1857" w:type="dxa"/>
            <w:vAlign w:val="center"/>
          </w:tcPr>
          <w:p w14:paraId="2C54B1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b/>
                <w:bCs/>
              </w:rPr>
            </w:pPr>
            <w:r>
              <w:rPr>
                <w:rFonts w:hint="eastAsia" w:ascii="Calibri" w:hAnsi="Calibri"/>
                <w:b/>
                <w:bCs/>
              </w:rPr>
              <w:t>被测量</w:t>
            </w:r>
          </w:p>
        </w:tc>
        <w:tc>
          <w:tcPr>
            <w:tcW w:w="2000" w:type="dxa"/>
            <w:vAlign w:val="center"/>
          </w:tcPr>
          <w:p w14:paraId="582C5E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b/>
                <w:bCs/>
              </w:rPr>
            </w:pPr>
            <w:r>
              <w:rPr>
                <w:rFonts w:hint="eastAsia" w:ascii="Calibri" w:hAnsi="Calibri"/>
                <w:b/>
                <w:bCs/>
              </w:rPr>
              <w:t>条件</w:t>
            </w:r>
          </w:p>
        </w:tc>
        <w:tc>
          <w:tcPr>
            <w:tcW w:w="2492" w:type="dxa"/>
            <w:vAlign w:val="center"/>
          </w:tcPr>
          <w:p w14:paraId="4867B8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b/>
                <w:bCs/>
              </w:rPr>
            </w:pPr>
            <w:r>
              <w:rPr>
                <w:rFonts w:hint="eastAsia" w:ascii="Calibri" w:hAnsi="Calibri"/>
                <w:b/>
                <w:bCs/>
              </w:rPr>
              <w:t>幅值最大允许误差</w:t>
            </w:r>
          </w:p>
        </w:tc>
        <w:tc>
          <w:tcPr>
            <w:tcW w:w="2225" w:type="dxa"/>
            <w:vAlign w:val="center"/>
          </w:tcPr>
          <w:p w14:paraId="0FF0AA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b/>
                <w:bCs/>
              </w:rPr>
            </w:pPr>
            <w:r>
              <w:rPr>
                <w:rFonts w:hint="eastAsia" w:ascii="Calibri" w:hAnsi="Calibri"/>
                <w:b/>
                <w:bCs/>
              </w:rPr>
              <w:t>相位最大允许误差</w:t>
            </w:r>
          </w:p>
        </w:tc>
      </w:tr>
      <w:tr w14:paraId="40DB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32" w:type="dxa"/>
            <w:vMerge w:val="restart"/>
            <w:vAlign w:val="center"/>
          </w:tcPr>
          <w:p w14:paraId="75BA06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A</w:t>
            </w:r>
          </w:p>
        </w:tc>
        <w:tc>
          <w:tcPr>
            <w:tcW w:w="1857" w:type="dxa"/>
            <w:vMerge w:val="restart"/>
            <w:vAlign w:val="center"/>
          </w:tcPr>
          <w:p w14:paraId="38015E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电压</w:t>
            </w:r>
          </w:p>
        </w:tc>
        <w:tc>
          <w:tcPr>
            <w:tcW w:w="2000" w:type="dxa"/>
            <w:vAlign w:val="center"/>
          </w:tcPr>
          <w:p w14:paraId="7C96B6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Uh≥1%UN</w:t>
            </w:r>
          </w:p>
        </w:tc>
        <w:tc>
          <w:tcPr>
            <w:tcW w:w="2492" w:type="dxa"/>
            <w:vAlign w:val="center"/>
          </w:tcPr>
          <w:p w14:paraId="5C07EB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ascii="Calibri" w:hAnsi="Calibri"/>
              </w:rPr>
              <w:sym w:font="Symbol" w:char="F0B1"/>
            </w:r>
            <w:r>
              <w:rPr>
                <w:rFonts w:hint="eastAsia" w:ascii="Calibri" w:hAnsi="Calibri"/>
              </w:rPr>
              <w:t>5%Uh</w:t>
            </w:r>
          </w:p>
        </w:tc>
        <w:tc>
          <w:tcPr>
            <w:tcW w:w="2225" w:type="dxa"/>
            <w:vMerge w:val="restart"/>
            <w:vAlign w:val="center"/>
          </w:tcPr>
          <w:p w14:paraId="0E92435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Calibri" w:hAnsi="Calibri"/>
              </w:rPr>
            </w:pPr>
            <w:r>
              <w:rPr>
                <w:rFonts w:hint="eastAsia" w:ascii="Calibri" w:hAnsi="Calibri"/>
              </w:rPr>
              <w:t xml:space="preserve">通道之间的相位误差： </w:t>
            </w:r>
            <w:r>
              <w:rPr>
                <w:rFonts w:ascii="Calibri" w:hAnsi="Calibri"/>
              </w:rPr>
              <w:sym w:font="Symbol" w:char="F0B1"/>
            </w:r>
            <w:r>
              <w:rPr>
                <w:rFonts w:hint="eastAsia" w:ascii="Calibri" w:hAnsi="Calibri"/>
              </w:rPr>
              <w:t>10xh</w:t>
            </w:r>
          </w:p>
        </w:tc>
      </w:tr>
      <w:tr w14:paraId="645B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32" w:type="dxa"/>
            <w:vMerge w:val="continue"/>
            <w:vAlign w:val="center"/>
          </w:tcPr>
          <w:p w14:paraId="4BAED8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p>
        </w:tc>
        <w:tc>
          <w:tcPr>
            <w:tcW w:w="1857" w:type="dxa"/>
            <w:vMerge w:val="continue"/>
            <w:vAlign w:val="center"/>
          </w:tcPr>
          <w:p w14:paraId="3B82C2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p>
        </w:tc>
        <w:tc>
          <w:tcPr>
            <w:tcW w:w="2000" w:type="dxa"/>
            <w:vAlign w:val="center"/>
          </w:tcPr>
          <w:p w14:paraId="6DB7DD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Uh＜1%UN</w:t>
            </w:r>
          </w:p>
        </w:tc>
        <w:tc>
          <w:tcPr>
            <w:tcW w:w="2492" w:type="dxa"/>
            <w:vAlign w:val="center"/>
          </w:tcPr>
          <w:p w14:paraId="790C93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ascii="Calibri" w:hAnsi="Calibri"/>
              </w:rPr>
              <w:sym w:font="Symbol" w:char="F0B1"/>
            </w:r>
            <w:r>
              <w:rPr>
                <w:rFonts w:hint="eastAsia" w:ascii="Calibri" w:hAnsi="Calibri"/>
              </w:rPr>
              <w:t>0.05%UN</w:t>
            </w:r>
          </w:p>
        </w:tc>
        <w:tc>
          <w:tcPr>
            <w:tcW w:w="2225" w:type="dxa"/>
            <w:vMerge w:val="continue"/>
            <w:vAlign w:val="center"/>
          </w:tcPr>
          <w:p w14:paraId="599AAB2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Calibri" w:hAnsi="Calibri"/>
              </w:rPr>
            </w:pPr>
          </w:p>
        </w:tc>
      </w:tr>
      <w:tr w14:paraId="1ECB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32" w:type="dxa"/>
            <w:vMerge w:val="continue"/>
            <w:vAlign w:val="center"/>
          </w:tcPr>
          <w:p w14:paraId="2B25FC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p>
        </w:tc>
        <w:tc>
          <w:tcPr>
            <w:tcW w:w="1857" w:type="dxa"/>
            <w:vMerge w:val="restart"/>
            <w:vAlign w:val="center"/>
          </w:tcPr>
          <w:p w14:paraId="6574CB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电流</w:t>
            </w:r>
          </w:p>
        </w:tc>
        <w:tc>
          <w:tcPr>
            <w:tcW w:w="2000" w:type="dxa"/>
            <w:vAlign w:val="center"/>
          </w:tcPr>
          <w:p w14:paraId="1D233B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Ih≥3%IN</w:t>
            </w:r>
          </w:p>
        </w:tc>
        <w:tc>
          <w:tcPr>
            <w:tcW w:w="2492" w:type="dxa"/>
            <w:vAlign w:val="center"/>
          </w:tcPr>
          <w:p w14:paraId="310A01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ascii="Calibri" w:hAnsi="Calibri"/>
              </w:rPr>
              <w:sym w:font="Symbol" w:char="F0B1"/>
            </w:r>
            <w:r>
              <w:rPr>
                <w:rFonts w:hint="eastAsia" w:ascii="Calibri" w:hAnsi="Calibri"/>
              </w:rPr>
              <w:t>5%Ih</w:t>
            </w:r>
          </w:p>
        </w:tc>
        <w:tc>
          <w:tcPr>
            <w:tcW w:w="2225" w:type="dxa"/>
            <w:vMerge w:val="continue"/>
            <w:vAlign w:val="center"/>
          </w:tcPr>
          <w:p w14:paraId="595DD89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Calibri" w:hAnsi="Calibri"/>
              </w:rPr>
            </w:pPr>
          </w:p>
        </w:tc>
      </w:tr>
      <w:tr w14:paraId="289CE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32" w:type="dxa"/>
            <w:vMerge w:val="continue"/>
            <w:vAlign w:val="center"/>
          </w:tcPr>
          <w:p w14:paraId="52D208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p>
        </w:tc>
        <w:tc>
          <w:tcPr>
            <w:tcW w:w="1857" w:type="dxa"/>
            <w:vMerge w:val="continue"/>
            <w:vAlign w:val="center"/>
          </w:tcPr>
          <w:p w14:paraId="6D1772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p>
        </w:tc>
        <w:tc>
          <w:tcPr>
            <w:tcW w:w="2000" w:type="dxa"/>
            <w:vAlign w:val="center"/>
          </w:tcPr>
          <w:p w14:paraId="51A173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Ih＜3%IN</w:t>
            </w:r>
          </w:p>
        </w:tc>
        <w:tc>
          <w:tcPr>
            <w:tcW w:w="2492" w:type="dxa"/>
            <w:vAlign w:val="center"/>
          </w:tcPr>
          <w:p w14:paraId="701EAD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ascii="Calibri" w:hAnsi="Calibri"/>
              </w:rPr>
              <w:sym w:font="Symbol" w:char="F0B1"/>
            </w:r>
            <w:r>
              <w:rPr>
                <w:rFonts w:hint="eastAsia" w:ascii="Calibri" w:hAnsi="Calibri"/>
              </w:rPr>
              <w:t>0.15%IN</w:t>
            </w:r>
          </w:p>
        </w:tc>
        <w:tc>
          <w:tcPr>
            <w:tcW w:w="2225" w:type="dxa"/>
            <w:vMerge w:val="continue"/>
            <w:vAlign w:val="center"/>
          </w:tcPr>
          <w:p w14:paraId="7B9D41B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Calibri" w:hAnsi="Calibri"/>
              </w:rPr>
            </w:pPr>
          </w:p>
        </w:tc>
      </w:tr>
      <w:tr w14:paraId="23529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32" w:type="dxa"/>
            <w:vMerge w:val="continue"/>
            <w:vAlign w:val="center"/>
          </w:tcPr>
          <w:p w14:paraId="4F8078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p>
        </w:tc>
        <w:tc>
          <w:tcPr>
            <w:tcW w:w="1857" w:type="dxa"/>
            <w:vMerge w:val="restart"/>
            <w:vAlign w:val="center"/>
          </w:tcPr>
          <w:p w14:paraId="187EEC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功率</w:t>
            </w:r>
          </w:p>
        </w:tc>
        <w:tc>
          <w:tcPr>
            <w:tcW w:w="2000" w:type="dxa"/>
            <w:vAlign w:val="center"/>
          </w:tcPr>
          <w:p w14:paraId="4D0118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Ph≥150W</w:t>
            </w:r>
          </w:p>
        </w:tc>
        <w:tc>
          <w:tcPr>
            <w:tcW w:w="2492" w:type="dxa"/>
            <w:vAlign w:val="center"/>
          </w:tcPr>
          <w:p w14:paraId="5CD249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ascii="Calibri" w:hAnsi="Calibri"/>
              </w:rPr>
              <w:sym w:font="Symbol" w:char="F0B1"/>
            </w:r>
            <w:r>
              <w:rPr>
                <w:rFonts w:hint="eastAsia" w:ascii="Calibri" w:hAnsi="Calibri"/>
              </w:rPr>
              <w:t>1%Ph</w:t>
            </w:r>
          </w:p>
        </w:tc>
        <w:tc>
          <w:tcPr>
            <w:tcW w:w="2225" w:type="dxa"/>
            <w:vMerge w:val="continue"/>
            <w:vAlign w:val="center"/>
          </w:tcPr>
          <w:p w14:paraId="01A66D2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Calibri" w:hAnsi="Calibri"/>
              </w:rPr>
            </w:pPr>
          </w:p>
        </w:tc>
      </w:tr>
      <w:tr w14:paraId="0CC2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32" w:type="dxa"/>
            <w:vMerge w:val="continue"/>
            <w:vAlign w:val="center"/>
          </w:tcPr>
          <w:p w14:paraId="677C02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p>
        </w:tc>
        <w:tc>
          <w:tcPr>
            <w:tcW w:w="1857" w:type="dxa"/>
            <w:vMerge w:val="continue"/>
            <w:vAlign w:val="center"/>
          </w:tcPr>
          <w:p w14:paraId="2BE215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p>
        </w:tc>
        <w:tc>
          <w:tcPr>
            <w:tcW w:w="2000" w:type="dxa"/>
            <w:vAlign w:val="center"/>
          </w:tcPr>
          <w:p w14:paraId="456108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hint="eastAsia" w:ascii="Calibri" w:hAnsi="Calibri"/>
              </w:rPr>
              <w:t>Ph＜150W</w:t>
            </w:r>
          </w:p>
        </w:tc>
        <w:tc>
          <w:tcPr>
            <w:tcW w:w="2492" w:type="dxa"/>
            <w:vAlign w:val="center"/>
          </w:tcPr>
          <w:p w14:paraId="539E39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Calibri" w:hAnsi="Calibri"/>
              </w:rPr>
            </w:pPr>
            <w:r>
              <w:rPr>
                <w:rFonts w:ascii="Calibri" w:hAnsi="Calibri"/>
              </w:rPr>
              <w:sym w:font="Symbol" w:char="F0B1"/>
            </w:r>
            <w:r>
              <w:rPr>
                <w:rFonts w:hint="eastAsia" w:ascii="Calibri" w:hAnsi="Calibri"/>
              </w:rPr>
              <w:t>1.5W</w:t>
            </w:r>
          </w:p>
        </w:tc>
        <w:tc>
          <w:tcPr>
            <w:tcW w:w="2225" w:type="dxa"/>
            <w:vMerge w:val="continue"/>
            <w:vAlign w:val="center"/>
          </w:tcPr>
          <w:p w14:paraId="1EC388E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Calibri" w:hAnsi="Calibri"/>
              </w:rPr>
            </w:pPr>
          </w:p>
        </w:tc>
      </w:tr>
      <w:tr w14:paraId="2F83F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06" w:type="dxa"/>
            <w:gridSpan w:val="5"/>
            <w:vAlign w:val="center"/>
          </w:tcPr>
          <w:p w14:paraId="48F41BC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Calibri" w:hAnsi="Calibri"/>
              </w:rPr>
            </w:pPr>
            <w:r>
              <w:rPr>
                <w:rFonts w:hint="eastAsia" w:ascii="Calibri" w:hAnsi="Calibri"/>
              </w:rPr>
              <w:t>注：UN为标称电压，IN为额定电流，Uh为h次谐波电压，Ih为h次谐波电流。</w:t>
            </w:r>
          </w:p>
        </w:tc>
      </w:tr>
    </w:tbl>
    <w:p w14:paraId="6992D7F6">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rPr>
      </w:pPr>
      <w:bookmarkStart w:id="22" w:name="_Toc24000"/>
      <w:r>
        <w:rPr>
          <w:rFonts w:hint="eastAsia" w:ascii="宋体" w:hAnsi="宋体" w:eastAsia="宋体" w:cs="宋体"/>
          <w:b/>
          <w:bCs/>
        </w:rPr>
        <w:t>表3  其他指标测量最大允许误差</w:t>
      </w:r>
      <w:bookmarkEnd w:id="22"/>
    </w:p>
    <w:tbl>
      <w:tblPr>
        <w:tblStyle w:val="27"/>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9"/>
        <w:gridCol w:w="1858"/>
        <w:gridCol w:w="1287"/>
        <w:gridCol w:w="2288"/>
        <w:gridCol w:w="2714"/>
      </w:tblGrid>
      <w:tr w14:paraId="4866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859" w:type="dxa"/>
            <w:tcBorders>
              <w:top w:val="single" w:color="auto" w:sz="4" w:space="0"/>
              <w:left w:val="single" w:color="auto" w:sz="4" w:space="0"/>
              <w:bottom w:val="single" w:color="auto" w:sz="4" w:space="0"/>
              <w:right w:val="single" w:color="auto" w:sz="4" w:space="0"/>
            </w:tcBorders>
            <w:vAlign w:val="center"/>
          </w:tcPr>
          <w:p w14:paraId="08B925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rPr>
            </w:pPr>
            <w:r>
              <w:rPr>
                <w:rFonts w:hint="eastAsia" w:asciiTheme="minorEastAsia" w:hAnsiTheme="minorEastAsia" w:cstheme="minorEastAsia"/>
                <w:b/>
                <w:bCs/>
              </w:rPr>
              <w:t>指标</w:t>
            </w:r>
          </w:p>
        </w:tc>
        <w:tc>
          <w:tcPr>
            <w:tcW w:w="1858" w:type="dxa"/>
            <w:tcBorders>
              <w:top w:val="single" w:color="auto" w:sz="4" w:space="0"/>
              <w:left w:val="single" w:color="auto" w:sz="4" w:space="0"/>
              <w:bottom w:val="single" w:color="auto" w:sz="4" w:space="0"/>
              <w:right w:val="single" w:color="auto" w:sz="4" w:space="0"/>
            </w:tcBorders>
            <w:vAlign w:val="center"/>
          </w:tcPr>
          <w:p w14:paraId="037059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rPr>
            </w:pPr>
            <w:r>
              <w:rPr>
                <w:rFonts w:hint="eastAsia" w:asciiTheme="minorEastAsia" w:hAnsiTheme="minorEastAsia" w:cstheme="minorEastAsia"/>
                <w:b/>
                <w:bCs/>
              </w:rPr>
              <w:t>被测量</w:t>
            </w:r>
          </w:p>
        </w:tc>
        <w:tc>
          <w:tcPr>
            <w:tcW w:w="1287" w:type="dxa"/>
            <w:tcBorders>
              <w:top w:val="single" w:color="auto" w:sz="4" w:space="0"/>
              <w:left w:val="single" w:color="auto" w:sz="4" w:space="0"/>
              <w:bottom w:val="single" w:color="auto" w:sz="4" w:space="0"/>
              <w:right w:val="single" w:color="auto" w:sz="4" w:space="0"/>
            </w:tcBorders>
            <w:vAlign w:val="center"/>
          </w:tcPr>
          <w:p w14:paraId="3C1671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rPr>
            </w:pPr>
            <w:r>
              <w:rPr>
                <w:rFonts w:hint="eastAsia" w:asciiTheme="minorEastAsia" w:hAnsiTheme="minorEastAsia" w:cstheme="minorEastAsia"/>
                <w:b/>
                <w:bCs/>
              </w:rPr>
              <w:t>等级</w:t>
            </w:r>
          </w:p>
        </w:tc>
        <w:tc>
          <w:tcPr>
            <w:tcW w:w="2288" w:type="dxa"/>
            <w:tcBorders>
              <w:top w:val="single" w:color="auto" w:sz="4" w:space="0"/>
              <w:left w:val="single" w:color="auto" w:sz="4" w:space="0"/>
              <w:bottom w:val="single" w:color="auto" w:sz="4" w:space="0"/>
              <w:right w:val="single" w:color="auto" w:sz="4" w:space="0"/>
            </w:tcBorders>
            <w:vAlign w:val="center"/>
          </w:tcPr>
          <w:p w14:paraId="78C8EB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rPr>
            </w:pPr>
            <w:r>
              <w:rPr>
                <w:rFonts w:hint="eastAsia" w:asciiTheme="minorEastAsia" w:hAnsiTheme="minorEastAsia" w:cstheme="minorEastAsia"/>
                <w:b/>
                <w:bCs/>
              </w:rPr>
              <w:t>测量条件</w:t>
            </w:r>
          </w:p>
        </w:tc>
        <w:tc>
          <w:tcPr>
            <w:tcW w:w="2714" w:type="dxa"/>
            <w:tcBorders>
              <w:top w:val="single" w:color="auto" w:sz="4" w:space="0"/>
              <w:left w:val="single" w:color="auto" w:sz="4" w:space="0"/>
              <w:bottom w:val="single" w:color="auto" w:sz="4" w:space="0"/>
              <w:right w:val="single" w:color="auto" w:sz="4" w:space="0"/>
            </w:tcBorders>
            <w:vAlign w:val="center"/>
          </w:tcPr>
          <w:p w14:paraId="2F2CD7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rPr>
            </w:pPr>
            <w:r>
              <w:rPr>
                <w:rFonts w:hint="eastAsia" w:asciiTheme="minorEastAsia" w:hAnsiTheme="minorEastAsia" w:cstheme="minorEastAsia"/>
                <w:b/>
                <w:bCs/>
              </w:rPr>
              <w:t>最大允许误差</w:t>
            </w:r>
          </w:p>
        </w:tc>
      </w:tr>
      <w:tr w14:paraId="42BD6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vMerge w:val="restart"/>
            <w:tcBorders>
              <w:top w:val="single" w:color="auto" w:sz="4" w:space="0"/>
              <w:left w:val="single" w:color="auto" w:sz="4" w:space="0"/>
              <w:bottom w:val="single" w:color="auto" w:sz="4" w:space="0"/>
              <w:right w:val="single" w:color="auto" w:sz="4" w:space="0"/>
            </w:tcBorders>
            <w:vAlign w:val="center"/>
          </w:tcPr>
          <w:p w14:paraId="53EB1B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电压</w:t>
            </w:r>
          </w:p>
        </w:tc>
        <w:tc>
          <w:tcPr>
            <w:tcW w:w="1858" w:type="dxa"/>
            <w:tcBorders>
              <w:top w:val="single" w:color="auto" w:sz="4" w:space="0"/>
              <w:left w:val="single" w:color="auto" w:sz="4" w:space="0"/>
              <w:bottom w:val="single" w:color="auto" w:sz="4" w:space="0"/>
              <w:right w:val="single" w:color="auto" w:sz="4" w:space="0"/>
            </w:tcBorders>
            <w:vAlign w:val="center"/>
          </w:tcPr>
          <w:p w14:paraId="40A570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有效值</w:t>
            </w:r>
          </w:p>
        </w:tc>
        <w:tc>
          <w:tcPr>
            <w:tcW w:w="1287" w:type="dxa"/>
            <w:tcBorders>
              <w:top w:val="single" w:color="auto" w:sz="4" w:space="0"/>
              <w:left w:val="single" w:color="auto" w:sz="4" w:space="0"/>
              <w:bottom w:val="single" w:color="auto" w:sz="4" w:space="0"/>
              <w:right w:val="single" w:color="auto" w:sz="4" w:space="0"/>
            </w:tcBorders>
            <w:vAlign w:val="center"/>
          </w:tcPr>
          <w:p w14:paraId="290395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4202AA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10%</w:t>
            </w:r>
            <w:r>
              <w:rPr>
                <w:rFonts w:hint="eastAsia" w:asciiTheme="minorEastAsia" w:hAnsiTheme="minorEastAsia" w:cstheme="minorEastAsia"/>
              </w:rPr>
              <w:sym w:font="Symbol" w:char="F07E"/>
            </w:r>
            <w:r>
              <w:rPr>
                <w:rFonts w:hint="eastAsia" w:asciiTheme="minorEastAsia" w:hAnsiTheme="minorEastAsia" w:cstheme="minorEastAsia"/>
              </w:rPr>
              <w:t>150%标称电压</w:t>
            </w:r>
          </w:p>
        </w:tc>
        <w:tc>
          <w:tcPr>
            <w:tcW w:w="2714" w:type="dxa"/>
            <w:tcBorders>
              <w:top w:val="single" w:color="auto" w:sz="4" w:space="0"/>
              <w:left w:val="single" w:color="auto" w:sz="4" w:space="0"/>
              <w:bottom w:val="single" w:color="auto" w:sz="4" w:space="0"/>
              <w:right w:val="single" w:color="auto" w:sz="4" w:space="0"/>
            </w:tcBorders>
            <w:vAlign w:val="center"/>
          </w:tcPr>
          <w:p w14:paraId="78D79F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0.1%标称电压</w:t>
            </w:r>
          </w:p>
        </w:tc>
      </w:tr>
      <w:tr w14:paraId="1B984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vMerge w:val="continue"/>
            <w:tcBorders>
              <w:top w:val="single" w:color="auto" w:sz="4" w:space="0"/>
              <w:left w:val="single" w:color="auto" w:sz="4" w:space="0"/>
              <w:bottom w:val="single" w:color="auto" w:sz="4" w:space="0"/>
              <w:right w:val="single" w:color="auto" w:sz="4" w:space="0"/>
            </w:tcBorders>
            <w:vAlign w:val="center"/>
          </w:tcPr>
          <w:p w14:paraId="33999E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1858" w:type="dxa"/>
            <w:tcBorders>
              <w:top w:val="single" w:color="auto" w:sz="4" w:space="0"/>
              <w:left w:val="single" w:color="auto" w:sz="4" w:space="0"/>
              <w:bottom w:val="single" w:color="auto" w:sz="4" w:space="0"/>
              <w:right w:val="single" w:color="auto" w:sz="4" w:space="0"/>
            </w:tcBorders>
            <w:vAlign w:val="center"/>
          </w:tcPr>
          <w:p w14:paraId="61A093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不平衡度</w:t>
            </w:r>
          </w:p>
        </w:tc>
        <w:tc>
          <w:tcPr>
            <w:tcW w:w="1287" w:type="dxa"/>
            <w:tcBorders>
              <w:top w:val="single" w:color="auto" w:sz="4" w:space="0"/>
              <w:left w:val="single" w:color="auto" w:sz="4" w:space="0"/>
              <w:bottom w:val="single" w:color="auto" w:sz="4" w:space="0"/>
              <w:right w:val="single" w:color="auto" w:sz="4" w:space="0"/>
            </w:tcBorders>
            <w:vAlign w:val="center"/>
          </w:tcPr>
          <w:p w14:paraId="4FAF31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5CDE9D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0.5%</w:t>
            </w:r>
            <w:r>
              <w:rPr>
                <w:rFonts w:hint="eastAsia" w:asciiTheme="minorEastAsia" w:hAnsiTheme="minorEastAsia" w:cstheme="minorEastAsia"/>
              </w:rPr>
              <w:sym w:font="Symbol" w:char="F07E"/>
            </w:r>
            <w:r>
              <w:rPr>
                <w:rFonts w:hint="eastAsia" w:asciiTheme="minorEastAsia" w:hAnsiTheme="minorEastAsia" w:cstheme="minorEastAsia"/>
              </w:rPr>
              <w:t>5%</w:t>
            </w:r>
          </w:p>
        </w:tc>
        <w:tc>
          <w:tcPr>
            <w:tcW w:w="2714" w:type="dxa"/>
            <w:tcBorders>
              <w:top w:val="single" w:color="auto" w:sz="4" w:space="0"/>
              <w:left w:val="single" w:color="auto" w:sz="4" w:space="0"/>
              <w:bottom w:val="single" w:color="auto" w:sz="4" w:space="0"/>
              <w:right w:val="single" w:color="auto" w:sz="4" w:space="0"/>
            </w:tcBorders>
            <w:vAlign w:val="center"/>
          </w:tcPr>
          <w:p w14:paraId="2D1E00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0.15%</w:t>
            </w:r>
          </w:p>
        </w:tc>
      </w:tr>
      <w:tr w14:paraId="2EB9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vMerge w:val="continue"/>
            <w:tcBorders>
              <w:top w:val="single" w:color="auto" w:sz="4" w:space="0"/>
              <w:left w:val="single" w:color="auto" w:sz="4" w:space="0"/>
              <w:bottom w:val="single" w:color="auto" w:sz="4" w:space="0"/>
              <w:right w:val="single" w:color="auto" w:sz="4" w:space="0"/>
            </w:tcBorders>
            <w:vAlign w:val="center"/>
          </w:tcPr>
          <w:p w14:paraId="07E8CB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1858" w:type="dxa"/>
            <w:tcBorders>
              <w:top w:val="single" w:color="auto" w:sz="4" w:space="0"/>
              <w:left w:val="single" w:color="auto" w:sz="4" w:space="0"/>
              <w:bottom w:val="single" w:color="auto" w:sz="4" w:space="0"/>
              <w:right w:val="single" w:color="auto" w:sz="4" w:space="0"/>
            </w:tcBorders>
            <w:vAlign w:val="center"/>
          </w:tcPr>
          <w:p w14:paraId="43A40B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闪变</w:t>
            </w:r>
          </w:p>
        </w:tc>
        <w:tc>
          <w:tcPr>
            <w:tcW w:w="1287" w:type="dxa"/>
            <w:tcBorders>
              <w:top w:val="single" w:color="auto" w:sz="4" w:space="0"/>
              <w:left w:val="single" w:color="auto" w:sz="4" w:space="0"/>
              <w:bottom w:val="single" w:color="auto" w:sz="4" w:space="0"/>
              <w:right w:val="single" w:color="auto" w:sz="4" w:space="0"/>
            </w:tcBorders>
            <w:vAlign w:val="center"/>
          </w:tcPr>
          <w:p w14:paraId="0C23B1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09386A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Pst ：0.2</w:t>
            </w:r>
            <w:r>
              <w:rPr>
                <w:rFonts w:hint="eastAsia" w:asciiTheme="minorEastAsia" w:hAnsiTheme="minorEastAsia" w:cstheme="minorEastAsia"/>
              </w:rPr>
              <w:sym w:font="Symbol" w:char="F07E"/>
            </w:r>
            <w:r>
              <w:rPr>
                <w:rFonts w:hint="eastAsia" w:asciiTheme="minorEastAsia" w:hAnsiTheme="minorEastAsia" w:cstheme="minorEastAsia"/>
              </w:rPr>
              <w:t>10</w:t>
            </w:r>
          </w:p>
        </w:tc>
        <w:tc>
          <w:tcPr>
            <w:tcW w:w="2714" w:type="dxa"/>
            <w:tcBorders>
              <w:top w:val="single" w:color="auto" w:sz="4" w:space="0"/>
              <w:left w:val="single" w:color="auto" w:sz="4" w:space="0"/>
              <w:bottom w:val="single" w:color="auto" w:sz="4" w:space="0"/>
              <w:right w:val="single" w:color="auto" w:sz="4" w:space="0"/>
            </w:tcBorders>
            <w:vAlign w:val="center"/>
          </w:tcPr>
          <w:p w14:paraId="68EA1E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5%</w:t>
            </w:r>
          </w:p>
        </w:tc>
      </w:tr>
      <w:tr w14:paraId="5C3DA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vMerge w:val="continue"/>
            <w:tcBorders>
              <w:top w:val="single" w:color="auto" w:sz="4" w:space="0"/>
              <w:left w:val="single" w:color="auto" w:sz="4" w:space="0"/>
              <w:bottom w:val="single" w:color="auto" w:sz="4" w:space="0"/>
              <w:right w:val="single" w:color="auto" w:sz="4" w:space="0"/>
            </w:tcBorders>
            <w:vAlign w:val="center"/>
          </w:tcPr>
          <w:p w14:paraId="0597EF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1858" w:type="dxa"/>
            <w:tcBorders>
              <w:top w:val="single" w:color="auto" w:sz="4" w:space="0"/>
              <w:left w:val="single" w:color="auto" w:sz="4" w:space="0"/>
              <w:bottom w:val="single" w:color="auto" w:sz="4" w:space="0"/>
              <w:right w:val="single" w:color="auto" w:sz="4" w:space="0"/>
            </w:tcBorders>
            <w:vAlign w:val="center"/>
          </w:tcPr>
          <w:p w14:paraId="24B181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波动</w:t>
            </w:r>
          </w:p>
        </w:tc>
        <w:tc>
          <w:tcPr>
            <w:tcW w:w="1287" w:type="dxa"/>
            <w:tcBorders>
              <w:top w:val="single" w:color="auto" w:sz="4" w:space="0"/>
              <w:left w:val="single" w:color="auto" w:sz="4" w:space="0"/>
              <w:bottom w:val="single" w:color="auto" w:sz="4" w:space="0"/>
              <w:right w:val="single" w:color="auto" w:sz="4" w:space="0"/>
            </w:tcBorders>
            <w:vAlign w:val="center"/>
          </w:tcPr>
          <w:p w14:paraId="2B916E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25129D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2714" w:type="dxa"/>
            <w:tcBorders>
              <w:top w:val="single" w:color="auto" w:sz="4" w:space="0"/>
              <w:left w:val="single" w:color="auto" w:sz="4" w:space="0"/>
              <w:bottom w:val="single" w:color="auto" w:sz="4" w:space="0"/>
              <w:right w:val="single" w:color="auto" w:sz="4" w:space="0"/>
            </w:tcBorders>
            <w:vAlign w:val="center"/>
          </w:tcPr>
          <w:p w14:paraId="00E1F1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5%</w:t>
            </w:r>
          </w:p>
        </w:tc>
      </w:tr>
      <w:tr w14:paraId="45C2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vMerge w:val="restart"/>
            <w:tcBorders>
              <w:top w:val="single" w:color="auto" w:sz="4" w:space="0"/>
              <w:left w:val="single" w:color="auto" w:sz="4" w:space="0"/>
              <w:bottom w:val="single" w:color="auto" w:sz="4" w:space="0"/>
              <w:right w:val="single" w:color="auto" w:sz="4" w:space="0"/>
            </w:tcBorders>
            <w:vAlign w:val="center"/>
          </w:tcPr>
          <w:p w14:paraId="6B125A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电流</w:t>
            </w:r>
          </w:p>
        </w:tc>
        <w:tc>
          <w:tcPr>
            <w:tcW w:w="1858" w:type="dxa"/>
            <w:tcBorders>
              <w:top w:val="single" w:color="auto" w:sz="4" w:space="0"/>
              <w:left w:val="single" w:color="auto" w:sz="4" w:space="0"/>
              <w:bottom w:val="single" w:color="auto" w:sz="4" w:space="0"/>
              <w:right w:val="single" w:color="auto" w:sz="4" w:space="0"/>
            </w:tcBorders>
            <w:vAlign w:val="center"/>
          </w:tcPr>
          <w:p w14:paraId="0CFA16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有效值</w:t>
            </w:r>
          </w:p>
        </w:tc>
        <w:tc>
          <w:tcPr>
            <w:tcW w:w="1287" w:type="dxa"/>
            <w:tcBorders>
              <w:top w:val="single" w:color="auto" w:sz="4" w:space="0"/>
              <w:left w:val="single" w:color="auto" w:sz="4" w:space="0"/>
              <w:bottom w:val="single" w:color="auto" w:sz="4" w:space="0"/>
              <w:right w:val="single" w:color="auto" w:sz="4" w:space="0"/>
            </w:tcBorders>
            <w:vAlign w:val="center"/>
          </w:tcPr>
          <w:p w14:paraId="4FCE91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6FCC55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10%</w:t>
            </w:r>
            <w:r>
              <w:rPr>
                <w:rFonts w:hint="eastAsia" w:asciiTheme="minorEastAsia" w:hAnsiTheme="minorEastAsia" w:cstheme="minorEastAsia"/>
              </w:rPr>
              <w:sym w:font="Symbol" w:char="F07E"/>
            </w:r>
            <w:r>
              <w:rPr>
                <w:rFonts w:hint="eastAsia" w:asciiTheme="minorEastAsia" w:hAnsiTheme="minorEastAsia" w:cstheme="minorEastAsia"/>
              </w:rPr>
              <w:t>150%额定电流</w:t>
            </w:r>
          </w:p>
        </w:tc>
        <w:tc>
          <w:tcPr>
            <w:tcW w:w="2714" w:type="dxa"/>
            <w:tcBorders>
              <w:top w:val="single" w:color="auto" w:sz="4" w:space="0"/>
              <w:left w:val="single" w:color="auto" w:sz="4" w:space="0"/>
              <w:bottom w:val="single" w:color="auto" w:sz="4" w:space="0"/>
              <w:right w:val="single" w:color="auto" w:sz="4" w:space="0"/>
            </w:tcBorders>
            <w:vAlign w:val="center"/>
          </w:tcPr>
          <w:p w14:paraId="7775CE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0.5%</w:t>
            </w:r>
          </w:p>
        </w:tc>
      </w:tr>
      <w:tr w14:paraId="0E95F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vMerge w:val="continue"/>
            <w:tcBorders>
              <w:top w:val="single" w:color="auto" w:sz="4" w:space="0"/>
              <w:left w:val="single" w:color="auto" w:sz="4" w:space="0"/>
              <w:bottom w:val="single" w:color="auto" w:sz="4" w:space="0"/>
              <w:right w:val="single" w:color="auto" w:sz="4" w:space="0"/>
            </w:tcBorders>
            <w:vAlign w:val="center"/>
          </w:tcPr>
          <w:p w14:paraId="00CA4B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1858" w:type="dxa"/>
            <w:tcBorders>
              <w:top w:val="single" w:color="auto" w:sz="4" w:space="0"/>
              <w:left w:val="single" w:color="auto" w:sz="4" w:space="0"/>
              <w:bottom w:val="single" w:color="auto" w:sz="4" w:space="0"/>
              <w:right w:val="single" w:color="auto" w:sz="4" w:space="0"/>
            </w:tcBorders>
            <w:vAlign w:val="center"/>
          </w:tcPr>
          <w:p w14:paraId="2FBC5A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不平衡度</w:t>
            </w:r>
          </w:p>
        </w:tc>
        <w:tc>
          <w:tcPr>
            <w:tcW w:w="1287" w:type="dxa"/>
            <w:tcBorders>
              <w:top w:val="single" w:color="auto" w:sz="4" w:space="0"/>
              <w:left w:val="single" w:color="auto" w:sz="4" w:space="0"/>
              <w:bottom w:val="single" w:color="auto" w:sz="4" w:space="0"/>
              <w:right w:val="single" w:color="auto" w:sz="4" w:space="0"/>
            </w:tcBorders>
            <w:vAlign w:val="center"/>
          </w:tcPr>
          <w:p w14:paraId="76E4EE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74B59B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2714" w:type="dxa"/>
            <w:tcBorders>
              <w:top w:val="single" w:color="auto" w:sz="4" w:space="0"/>
              <w:left w:val="single" w:color="auto" w:sz="4" w:space="0"/>
              <w:bottom w:val="single" w:color="auto" w:sz="4" w:space="0"/>
              <w:right w:val="single" w:color="auto" w:sz="4" w:space="0"/>
            </w:tcBorders>
            <w:vAlign w:val="center"/>
          </w:tcPr>
          <w:p w14:paraId="321094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1%</w:t>
            </w:r>
            <w:r>
              <w:rPr>
                <w:rFonts w:hint="eastAsia" w:asciiTheme="minorEastAsia" w:hAnsiTheme="minorEastAsia" w:cstheme="minorEastAsia"/>
                <w:sz w:val="24"/>
                <w:vertAlign w:val="superscript"/>
              </w:rPr>
              <w:t>1</w:t>
            </w:r>
          </w:p>
        </w:tc>
      </w:tr>
      <w:tr w14:paraId="4D50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tcBorders>
              <w:top w:val="single" w:color="auto" w:sz="4" w:space="0"/>
              <w:left w:val="single" w:color="auto" w:sz="4" w:space="0"/>
              <w:bottom w:val="single" w:color="auto" w:sz="4" w:space="0"/>
              <w:right w:val="single" w:color="auto" w:sz="4" w:space="0"/>
            </w:tcBorders>
            <w:vAlign w:val="center"/>
          </w:tcPr>
          <w:p w14:paraId="1DA485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频率</w:t>
            </w:r>
          </w:p>
        </w:tc>
        <w:tc>
          <w:tcPr>
            <w:tcW w:w="1858" w:type="dxa"/>
            <w:tcBorders>
              <w:top w:val="single" w:color="auto" w:sz="4" w:space="0"/>
              <w:left w:val="single" w:color="auto" w:sz="4" w:space="0"/>
              <w:bottom w:val="single" w:color="auto" w:sz="4" w:space="0"/>
              <w:right w:val="single" w:color="auto" w:sz="4" w:space="0"/>
            </w:tcBorders>
            <w:vAlign w:val="center"/>
          </w:tcPr>
          <w:p w14:paraId="0A6147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频率</w:t>
            </w:r>
          </w:p>
        </w:tc>
        <w:tc>
          <w:tcPr>
            <w:tcW w:w="1287" w:type="dxa"/>
            <w:tcBorders>
              <w:top w:val="single" w:color="auto" w:sz="4" w:space="0"/>
              <w:left w:val="single" w:color="auto" w:sz="4" w:space="0"/>
              <w:bottom w:val="single" w:color="auto" w:sz="4" w:space="0"/>
              <w:right w:val="single" w:color="auto" w:sz="4" w:space="0"/>
            </w:tcBorders>
            <w:vAlign w:val="center"/>
          </w:tcPr>
          <w:p w14:paraId="552854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68615E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42.5</w:t>
            </w:r>
            <w:r>
              <w:rPr>
                <w:rFonts w:hint="eastAsia" w:asciiTheme="minorEastAsia" w:hAnsiTheme="minorEastAsia" w:cstheme="minorEastAsia"/>
              </w:rPr>
              <w:sym w:font="Symbol" w:char="F07E"/>
            </w:r>
            <w:r>
              <w:rPr>
                <w:rFonts w:hint="eastAsia" w:asciiTheme="minorEastAsia" w:hAnsiTheme="minorEastAsia" w:cstheme="minorEastAsia"/>
              </w:rPr>
              <w:t>57.5Hz</w:t>
            </w:r>
          </w:p>
        </w:tc>
        <w:tc>
          <w:tcPr>
            <w:tcW w:w="2714" w:type="dxa"/>
            <w:tcBorders>
              <w:top w:val="single" w:color="auto" w:sz="4" w:space="0"/>
              <w:left w:val="single" w:color="auto" w:sz="4" w:space="0"/>
              <w:bottom w:val="single" w:color="auto" w:sz="4" w:space="0"/>
              <w:right w:val="single" w:color="auto" w:sz="4" w:space="0"/>
            </w:tcBorders>
            <w:vAlign w:val="center"/>
          </w:tcPr>
          <w:p w14:paraId="693CE4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0.01Hz</w:t>
            </w:r>
          </w:p>
        </w:tc>
      </w:tr>
      <w:tr w14:paraId="2BE7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tcBorders>
              <w:top w:val="single" w:color="auto" w:sz="4" w:space="0"/>
              <w:left w:val="single" w:color="auto" w:sz="4" w:space="0"/>
              <w:bottom w:val="single" w:color="auto" w:sz="4" w:space="0"/>
              <w:right w:val="single" w:color="auto" w:sz="4" w:space="0"/>
            </w:tcBorders>
            <w:vAlign w:val="center"/>
          </w:tcPr>
          <w:p w14:paraId="5D4F9F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基波相位</w:t>
            </w:r>
          </w:p>
        </w:tc>
        <w:tc>
          <w:tcPr>
            <w:tcW w:w="1858" w:type="dxa"/>
            <w:tcBorders>
              <w:top w:val="single" w:color="auto" w:sz="4" w:space="0"/>
              <w:left w:val="single" w:color="auto" w:sz="4" w:space="0"/>
              <w:bottom w:val="single" w:color="auto" w:sz="4" w:space="0"/>
              <w:right w:val="single" w:color="auto" w:sz="4" w:space="0"/>
            </w:tcBorders>
            <w:vAlign w:val="center"/>
          </w:tcPr>
          <w:p w14:paraId="48B1DF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电压、电流</w:t>
            </w:r>
          </w:p>
        </w:tc>
        <w:tc>
          <w:tcPr>
            <w:tcW w:w="1287" w:type="dxa"/>
            <w:tcBorders>
              <w:top w:val="single" w:color="auto" w:sz="4" w:space="0"/>
              <w:left w:val="single" w:color="auto" w:sz="4" w:space="0"/>
              <w:bottom w:val="single" w:color="auto" w:sz="4" w:space="0"/>
              <w:right w:val="single" w:color="auto" w:sz="4" w:space="0"/>
            </w:tcBorders>
            <w:vAlign w:val="center"/>
          </w:tcPr>
          <w:p w14:paraId="1795F8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5416D9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2714" w:type="dxa"/>
            <w:tcBorders>
              <w:top w:val="single" w:color="auto" w:sz="4" w:space="0"/>
              <w:left w:val="single" w:color="auto" w:sz="4" w:space="0"/>
              <w:bottom w:val="single" w:color="auto" w:sz="4" w:space="0"/>
              <w:right w:val="single" w:color="auto" w:sz="4" w:space="0"/>
            </w:tcBorders>
            <w:vAlign w:val="center"/>
          </w:tcPr>
          <w:p w14:paraId="30B765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0.50</w:t>
            </w:r>
          </w:p>
        </w:tc>
      </w:tr>
      <w:tr w14:paraId="39D8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tcBorders>
              <w:top w:val="single" w:color="auto" w:sz="4" w:space="0"/>
              <w:left w:val="single" w:color="auto" w:sz="4" w:space="0"/>
              <w:bottom w:val="single" w:color="auto" w:sz="4" w:space="0"/>
              <w:right w:val="single" w:color="auto" w:sz="4" w:space="0"/>
            </w:tcBorders>
            <w:vAlign w:val="center"/>
          </w:tcPr>
          <w:p w14:paraId="6DF0AD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功率</w:t>
            </w:r>
          </w:p>
        </w:tc>
        <w:tc>
          <w:tcPr>
            <w:tcW w:w="1858" w:type="dxa"/>
            <w:tcBorders>
              <w:top w:val="single" w:color="auto" w:sz="4" w:space="0"/>
              <w:left w:val="single" w:color="auto" w:sz="4" w:space="0"/>
              <w:bottom w:val="single" w:color="auto" w:sz="4" w:space="0"/>
              <w:right w:val="single" w:color="auto" w:sz="4" w:space="0"/>
            </w:tcBorders>
            <w:vAlign w:val="center"/>
          </w:tcPr>
          <w:p w14:paraId="1E231D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1287" w:type="dxa"/>
            <w:tcBorders>
              <w:top w:val="single" w:color="auto" w:sz="4" w:space="0"/>
              <w:left w:val="single" w:color="auto" w:sz="4" w:space="0"/>
              <w:bottom w:val="single" w:color="auto" w:sz="4" w:space="0"/>
              <w:right w:val="single" w:color="auto" w:sz="4" w:space="0"/>
            </w:tcBorders>
            <w:vAlign w:val="center"/>
          </w:tcPr>
          <w:p w14:paraId="787B1A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549F0E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2714" w:type="dxa"/>
            <w:tcBorders>
              <w:top w:val="single" w:color="auto" w:sz="4" w:space="0"/>
              <w:left w:val="single" w:color="auto" w:sz="4" w:space="0"/>
              <w:bottom w:val="single" w:color="auto" w:sz="4" w:space="0"/>
              <w:right w:val="single" w:color="auto" w:sz="4" w:space="0"/>
            </w:tcBorders>
            <w:vAlign w:val="center"/>
          </w:tcPr>
          <w:p w14:paraId="44F637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0.5%</w:t>
            </w:r>
          </w:p>
        </w:tc>
      </w:tr>
      <w:tr w14:paraId="51A5D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vMerge w:val="restart"/>
            <w:tcBorders>
              <w:top w:val="single" w:color="auto" w:sz="4" w:space="0"/>
              <w:left w:val="single" w:color="auto" w:sz="4" w:space="0"/>
              <w:bottom w:val="single" w:color="auto" w:sz="4" w:space="0"/>
              <w:right w:val="single" w:color="auto" w:sz="4" w:space="0"/>
            </w:tcBorders>
            <w:vAlign w:val="center"/>
          </w:tcPr>
          <w:p w14:paraId="3F23E0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电压暂降、暂升、短时中断</w:t>
            </w:r>
          </w:p>
        </w:tc>
        <w:tc>
          <w:tcPr>
            <w:tcW w:w="1858" w:type="dxa"/>
            <w:tcBorders>
              <w:top w:val="single" w:color="auto" w:sz="4" w:space="0"/>
              <w:left w:val="single" w:color="auto" w:sz="4" w:space="0"/>
              <w:bottom w:val="single" w:color="auto" w:sz="4" w:space="0"/>
              <w:right w:val="single" w:color="auto" w:sz="4" w:space="0"/>
            </w:tcBorders>
            <w:vAlign w:val="center"/>
          </w:tcPr>
          <w:p w14:paraId="42A78E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幅度</w:t>
            </w:r>
          </w:p>
        </w:tc>
        <w:tc>
          <w:tcPr>
            <w:tcW w:w="1287" w:type="dxa"/>
            <w:tcBorders>
              <w:top w:val="single" w:color="auto" w:sz="4" w:space="0"/>
              <w:left w:val="single" w:color="auto" w:sz="4" w:space="0"/>
              <w:bottom w:val="single" w:color="auto" w:sz="4" w:space="0"/>
              <w:right w:val="single" w:color="auto" w:sz="4" w:space="0"/>
            </w:tcBorders>
            <w:vAlign w:val="center"/>
          </w:tcPr>
          <w:p w14:paraId="593ADD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455227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2714" w:type="dxa"/>
            <w:tcBorders>
              <w:top w:val="single" w:color="auto" w:sz="4" w:space="0"/>
              <w:left w:val="single" w:color="auto" w:sz="4" w:space="0"/>
              <w:bottom w:val="single" w:color="auto" w:sz="4" w:space="0"/>
              <w:right w:val="single" w:color="auto" w:sz="4" w:space="0"/>
            </w:tcBorders>
            <w:vAlign w:val="center"/>
          </w:tcPr>
          <w:p w14:paraId="31D4AD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0.2%标称电压</w:t>
            </w:r>
          </w:p>
        </w:tc>
      </w:tr>
      <w:tr w14:paraId="0EBA0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59" w:type="dxa"/>
            <w:vMerge w:val="continue"/>
            <w:tcBorders>
              <w:top w:val="single" w:color="auto" w:sz="4" w:space="0"/>
              <w:left w:val="single" w:color="auto" w:sz="4" w:space="0"/>
              <w:bottom w:val="single" w:color="auto" w:sz="4" w:space="0"/>
              <w:right w:val="single" w:color="auto" w:sz="4" w:space="0"/>
            </w:tcBorders>
            <w:vAlign w:val="center"/>
          </w:tcPr>
          <w:p w14:paraId="628180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1858" w:type="dxa"/>
            <w:tcBorders>
              <w:top w:val="single" w:color="auto" w:sz="4" w:space="0"/>
              <w:left w:val="single" w:color="auto" w:sz="4" w:space="0"/>
              <w:bottom w:val="single" w:color="auto" w:sz="4" w:space="0"/>
              <w:right w:val="single" w:color="auto" w:sz="4" w:space="0"/>
            </w:tcBorders>
            <w:vAlign w:val="center"/>
          </w:tcPr>
          <w:p w14:paraId="5DC3D8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持续时间</w:t>
            </w:r>
          </w:p>
        </w:tc>
        <w:tc>
          <w:tcPr>
            <w:tcW w:w="1287" w:type="dxa"/>
            <w:tcBorders>
              <w:top w:val="single" w:color="auto" w:sz="4" w:space="0"/>
              <w:left w:val="single" w:color="auto" w:sz="4" w:space="0"/>
              <w:bottom w:val="single" w:color="auto" w:sz="4" w:space="0"/>
              <w:right w:val="single" w:color="auto" w:sz="4" w:space="0"/>
            </w:tcBorders>
            <w:vAlign w:val="center"/>
          </w:tcPr>
          <w:p w14:paraId="52E11E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t>A</w:t>
            </w:r>
          </w:p>
        </w:tc>
        <w:tc>
          <w:tcPr>
            <w:tcW w:w="2288" w:type="dxa"/>
            <w:tcBorders>
              <w:top w:val="single" w:color="auto" w:sz="4" w:space="0"/>
              <w:left w:val="single" w:color="auto" w:sz="4" w:space="0"/>
              <w:bottom w:val="single" w:color="auto" w:sz="4" w:space="0"/>
              <w:right w:val="single" w:color="auto" w:sz="4" w:space="0"/>
            </w:tcBorders>
            <w:vAlign w:val="center"/>
          </w:tcPr>
          <w:p w14:paraId="738B50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p>
        </w:tc>
        <w:tc>
          <w:tcPr>
            <w:tcW w:w="2714" w:type="dxa"/>
            <w:tcBorders>
              <w:top w:val="single" w:color="auto" w:sz="4" w:space="0"/>
              <w:left w:val="single" w:color="auto" w:sz="4" w:space="0"/>
              <w:bottom w:val="single" w:color="auto" w:sz="4" w:space="0"/>
              <w:right w:val="single" w:color="auto" w:sz="4" w:space="0"/>
            </w:tcBorders>
            <w:vAlign w:val="center"/>
          </w:tcPr>
          <w:p w14:paraId="49CECA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rPr>
            </w:pPr>
            <w:r>
              <w:rPr>
                <w:rFonts w:hint="eastAsia" w:asciiTheme="minorEastAsia" w:hAnsiTheme="minorEastAsia" w:cstheme="minorEastAsia"/>
              </w:rPr>
              <w:sym w:font="Symbol" w:char="F0B1"/>
            </w:r>
            <w:r>
              <w:rPr>
                <w:rFonts w:hint="eastAsia" w:asciiTheme="minorEastAsia" w:hAnsiTheme="minorEastAsia" w:cstheme="minorEastAsia"/>
              </w:rPr>
              <w:t>1个周波</w:t>
            </w:r>
          </w:p>
        </w:tc>
      </w:tr>
      <w:tr w14:paraId="7B60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06" w:type="dxa"/>
            <w:gridSpan w:val="5"/>
            <w:tcBorders>
              <w:top w:val="single" w:color="auto" w:sz="4" w:space="0"/>
              <w:left w:val="single" w:color="auto" w:sz="4" w:space="0"/>
              <w:bottom w:val="single" w:color="auto" w:sz="4" w:space="0"/>
              <w:right w:val="single" w:color="auto" w:sz="4" w:space="0"/>
            </w:tcBorders>
            <w:vAlign w:val="center"/>
          </w:tcPr>
          <w:p w14:paraId="39054C1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cstheme="minorEastAsia"/>
              </w:rPr>
            </w:pPr>
            <w:r>
              <w:rPr>
                <w:rFonts w:hint="eastAsia" w:asciiTheme="minorEastAsia" w:hAnsiTheme="minorEastAsia" w:cstheme="minorEastAsia"/>
              </w:rPr>
              <w:t>注：绝对误差。</w:t>
            </w:r>
          </w:p>
        </w:tc>
      </w:tr>
    </w:tbl>
    <w:p w14:paraId="0E4A0EF7">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rPr>
      </w:pPr>
      <w:bookmarkStart w:id="23" w:name="_Toc19588"/>
      <w:r>
        <w:rPr>
          <w:rFonts w:hint="eastAsia" w:ascii="宋体" w:hAnsi="宋体" w:eastAsia="宋体" w:cs="宋体"/>
          <w:b/>
          <w:bCs/>
        </w:rPr>
        <w:t>表4  绝缘电阻技术要求</w:t>
      </w:r>
      <w:bookmarkEnd w:id="23"/>
    </w:p>
    <w:tbl>
      <w:tblPr>
        <w:tblStyle w:val="27"/>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7"/>
        <w:gridCol w:w="2324"/>
        <w:gridCol w:w="2382"/>
        <w:gridCol w:w="2213"/>
      </w:tblGrid>
      <w:tr w14:paraId="61B92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087" w:type="dxa"/>
            <w:vMerge w:val="restart"/>
            <w:tcBorders>
              <w:top w:val="single" w:color="auto" w:sz="4" w:space="0"/>
              <w:left w:val="single" w:color="auto" w:sz="4" w:space="0"/>
              <w:bottom w:val="single" w:color="auto" w:sz="4" w:space="0"/>
              <w:right w:val="single" w:color="auto" w:sz="4" w:space="0"/>
            </w:tcBorders>
            <w:vAlign w:val="center"/>
          </w:tcPr>
          <w:p w14:paraId="4EE4F8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额定电压（V）</w:t>
            </w:r>
          </w:p>
        </w:tc>
        <w:tc>
          <w:tcPr>
            <w:tcW w:w="4706" w:type="dxa"/>
            <w:gridSpan w:val="2"/>
            <w:tcBorders>
              <w:top w:val="single" w:color="auto" w:sz="4" w:space="0"/>
              <w:left w:val="single" w:color="auto" w:sz="4" w:space="0"/>
              <w:bottom w:val="single" w:color="auto" w:sz="4" w:space="0"/>
              <w:right w:val="single" w:color="auto" w:sz="4" w:space="0"/>
            </w:tcBorders>
            <w:vAlign w:val="center"/>
          </w:tcPr>
          <w:p w14:paraId="7A4AA2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绝缘电阻要求（MΩ）</w:t>
            </w:r>
          </w:p>
        </w:tc>
        <w:tc>
          <w:tcPr>
            <w:tcW w:w="2213" w:type="dxa"/>
            <w:vMerge w:val="restart"/>
            <w:tcBorders>
              <w:top w:val="single" w:color="auto" w:sz="4" w:space="0"/>
              <w:left w:val="single" w:color="auto" w:sz="4" w:space="0"/>
              <w:bottom w:val="single" w:color="auto" w:sz="4" w:space="0"/>
              <w:right w:val="single" w:color="auto" w:sz="4" w:space="0"/>
            </w:tcBorders>
            <w:vAlign w:val="center"/>
          </w:tcPr>
          <w:p w14:paraId="7DEC6C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测试电压（V）</w:t>
            </w:r>
          </w:p>
        </w:tc>
      </w:tr>
      <w:tr w14:paraId="7B0F3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087" w:type="dxa"/>
            <w:vMerge w:val="continue"/>
            <w:tcBorders>
              <w:top w:val="single" w:color="auto" w:sz="4" w:space="0"/>
              <w:left w:val="single" w:color="auto" w:sz="4" w:space="0"/>
              <w:bottom w:val="single" w:color="auto" w:sz="4" w:space="0"/>
              <w:right w:val="single" w:color="auto" w:sz="4" w:space="0"/>
            </w:tcBorders>
            <w:vAlign w:val="center"/>
          </w:tcPr>
          <w:p w14:paraId="45D2FD8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cstheme="minorEastAsia"/>
                <w:bCs/>
              </w:rPr>
            </w:pPr>
          </w:p>
        </w:tc>
        <w:tc>
          <w:tcPr>
            <w:tcW w:w="2324" w:type="dxa"/>
            <w:tcBorders>
              <w:top w:val="single" w:color="auto" w:sz="4" w:space="0"/>
              <w:left w:val="single" w:color="auto" w:sz="4" w:space="0"/>
              <w:bottom w:val="single" w:color="auto" w:sz="4" w:space="0"/>
              <w:right w:val="single" w:color="auto" w:sz="4" w:space="0"/>
            </w:tcBorders>
            <w:vAlign w:val="center"/>
          </w:tcPr>
          <w:p w14:paraId="663DD4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正常条件</w:t>
            </w:r>
          </w:p>
        </w:tc>
        <w:tc>
          <w:tcPr>
            <w:tcW w:w="2382" w:type="dxa"/>
            <w:tcBorders>
              <w:top w:val="single" w:color="auto" w:sz="4" w:space="0"/>
              <w:left w:val="single" w:color="auto" w:sz="4" w:space="0"/>
              <w:bottom w:val="single" w:color="auto" w:sz="4" w:space="0"/>
              <w:right w:val="single" w:color="auto" w:sz="4" w:space="0"/>
            </w:tcBorders>
            <w:vAlign w:val="center"/>
          </w:tcPr>
          <w:p w14:paraId="78A2B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湿热条件</w:t>
            </w:r>
          </w:p>
        </w:tc>
        <w:tc>
          <w:tcPr>
            <w:tcW w:w="2213" w:type="dxa"/>
            <w:vMerge w:val="continue"/>
            <w:tcBorders>
              <w:top w:val="single" w:color="auto" w:sz="4" w:space="0"/>
              <w:left w:val="single" w:color="auto" w:sz="4" w:space="0"/>
              <w:bottom w:val="single" w:color="auto" w:sz="4" w:space="0"/>
              <w:right w:val="single" w:color="auto" w:sz="4" w:space="0"/>
            </w:tcBorders>
            <w:vAlign w:val="center"/>
          </w:tcPr>
          <w:p w14:paraId="3A75B9D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cstheme="minorEastAsia"/>
                <w:bCs/>
              </w:rPr>
            </w:pPr>
          </w:p>
        </w:tc>
      </w:tr>
      <w:tr w14:paraId="710F8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7" w:type="dxa"/>
            <w:tcBorders>
              <w:top w:val="single" w:color="auto" w:sz="4" w:space="0"/>
              <w:left w:val="single" w:color="auto" w:sz="4" w:space="0"/>
              <w:bottom w:val="single" w:color="auto" w:sz="4" w:space="0"/>
              <w:right w:val="single" w:color="auto" w:sz="4" w:space="0"/>
            </w:tcBorders>
            <w:vAlign w:val="center"/>
          </w:tcPr>
          <w:p w14:paraId="229055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U≤60</w:t>
            </w:r>
          </w:p>
        </w:tc>
        <w:tc>
          <w:tcPr>
            <w:tcW w:w="2324" w:type="dxa"/>
            <w:tcBorders>
              <w:top w:val="single" w:color="auto" w:sz="4" w:space="0"/>
              <w:left w:val="single" w:color="auto" w:sz="4" w:space="0"/>
              <w:bottom w:val="single" w:color="auto" w:sz="4" w:space="0"/>
              <w:right w:val="single" w:color="auto" w:sz="4" w:space="0"/>
            </w:tcBorders>
            <w:vAlign w:val="center"/>
          </w:tcPr>
          <w:p w14:paraId="6141E7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≥10</w:t>
            </w:r>
          </w:p>
        </w:tc>
        <w:tc>
          <w:tcPr>
            <w:tcW w:w="2382" w:type="dxa"/>
            <w:tcBorders>
              <w:top w:val="single" w:color="auto" w:sz="4" w:space="0"/>
              <w:left w:val="single" w:color="auto" w:sz="4" w:space="0"/>
              <w:bottom w:val="single" w:color="auto" w:sz="4" w:space="0"/>
              <w:right w:val="single" w:color="auto" w:sz="4" w:space="0"/>
            </w:tcBorders>
            <w:vAlign w:val="center"/>
          </w:tcPr>
          <w:p w14:paraId="2CFE5F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≥2</w:t>
            </w:r>
          </w:p>
        </w:tc>
        <w:tc>
          <w:tcPr>
            <w:tcW w:w="2213" w:type="dxa"/>
            <w:tcBorders>
              <w:top w:val="single" w:color="auto" w:sz="4" w:space="0"/>
              <w:left w:val="single" w:color="auto" w:sz="4" w:space="0"/>
              <w:bottom w:val="single" w:color="auto" w:sz="4" w:space="0"/>
              <w:right w:val="single" w:color="auto" w:sz="4" w:space="0"/>
            </w:tcBorders>
            <w:vAlign w:val="center"/>
          </w:tcPr>
          <w:p w14:paraId="3A64FA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250</w:t>
            </w:r>
          </w:p>
        </w:tc>
      </w:tr>
      <w:tr w14:paraId="371C3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7" w:type="dxa"/>
            <w:tcBorders>
              <w:top w:val="single" w:color="auto" w:sz="4" w:space="0"/>
              <w:left w:val="single" w:color="auto" w:sz="4" w:space="0"/>
              <w:bottom w:val="single" w:color="auto" w:sz="4" w:space="0"/>
              <w:right w:val="single" w:color="auto" w:sz="4" w:space="0"/>
            </w:tcBorders>
            <w:vAlign w:val="center"/>
          </w:tcPr>
          <w:p w14:paraId="26D83B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60＜U≤250</w:t>
            </w:r>
          </w:p>
        </w:tc>
        <w:tc>
          <w:tcPr>
            <w:tcW w:w="2324" w:type="dxa"/>
            <w:tcBorders>
              <w:top w:val="single" w:color="auto" w:sz="4" w:space="0"/>
              <w:left w:val="single" w:color="auto" w:sz="4" w:space="0"/>
              <w:bottom w:val="single" w:color="auto" w:sz="4" w:space="0"/>
              <w:right w:val="single" w:color="auto" w:sz="4" w:space="0"/>
            </w:tcBorders>
            <w:vAlign w:val="center"/>
          </w:tcPr>
          <w:p w14:paraId="170A16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≥10</w:t>
            </w:r>
          </w:p>
        </w:tc>
        <w:tc>
          <w:tcPr>
            <w:tcW w:w="2382" w:type="dxa"/>
            <w:tcBorders>
              <w:top w:val="single" w:color="auto" w:sz="4" w:space="0"/>
              <w:left w:val="single" w:color="auto" w:sz="4" w:space="0"/>
              <w:bottom w:val="single" w:color="auto" w:sz="4" w:space="0"/>
              <w:right w:val="single" w:color="auto" w:sz="4" w:space="0"/>
            </w:tcBorders>
            <w:vAlign w:val="center"/>
          </w:tcPr>
          <w:p w14:paraId="0FABE9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≥2</w:t>
            </w:r>
          </w:p>
        </w:tc>
        <w:tc>
          <w:tcPr>
            <w:tcW w:w="2213" w:type="dxa"/>
            <w:tcBorders>
              <w:top w:val="single" w:color="auto" w:sz="4" w:space="0"/>
              <w:left w:val="single" w:color="auto" w:sz="4" w:space="0"/>
              <w:bottom w:val="single" w:color="auto" w:sz="4" w:space="0"/>
              <w:right w:val="single" w:color="auto" w:sz="4" w:space="0"/>
            </w:tcBorders>
            <w:vAlign w:val="center"/>
          </w:tcPr>
          <w:p w14:paraId="5F52BB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500</w:t>
            </w:r>
          </w:p>
        </w:tc>
      </w:tr>
      <w:tr w14:paraId="02F4B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7" w:type="dxa"/>
            <w:tcBorders>
              <w:top w:val="single" w:color="auto" w:sz="4" w:space="0"/>
              <w:left w:val="single" w:color="auto" w:sz="4" w:space="0"/>
              <w:bottom w:val="single" w:color="auto" w:sz="4" w:space="0"/>
              <w:right w:val="single" w:color="auto" w:sz="4" w:space="0"/>
            </w:tcBorders>
            <w:vAlign w:val="center"/>
          </w:tcPr>
          <w:p w14:paraId="2FD31C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U&gt;250</w:t>
            </w:r>
          </w:p>
        </w:tc>
        <w:tc>
          <w:tcPr>
            <w:tcW w:w="2324" w:type="dxa"/>
            <w:tcBorders>
              <w:top w:val="single" w:color="auto" w:sz="4" w:space="0"/>
              <w:left w:val="single" w:color="auto" w:sz="4" w:space="0"/>
              <w:bottom w:val="single" w:color="auto" w:sz="4" w:space="0"/>
              <w:right w:val="single" w:color="auto" w:sz="4" w:space="0"/>
            </w:tcBorders>
            <w:vAlign w:val="center"/>
          </w:tcPr>
          <w:p w14:paraId="513D43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≥10</w:t>
            </w:r>
          </w:p>
        </w:tc>
        <w:tc>
          <w:tcPr>
            <w:tcW w:w="2382" w:type="dxa"/>
            <w:tcBorders>
              <w:top w:val="single" w:color="auto" w:sz="4" w:space="0"/>
              <w:left w:val="single" w:color="auto" w:sz="4" w:space="0"/>
              <w:bottom w:val="single" w:color="auto" w:sz="4" w:space="0"/>
              <w:right w:val="single" w:color="auto" w:sz="4" w:space="0"/>
            </w:tcBorders>
            <w:vAlign w:val="center"/>
          </w:tcPr>
          <w:p w14:paraId="4C3F25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≥2</w:t>
            </w:r>
          </w:p>
        </w:tc>
        <w:tc>
          <w:tcPr>
            <w:tcW w:w="2213" w:type="dxa"/>
            <w:tcBorders>
              <w:top w:val="single" w:color="auto" w:sz="4" w:space="0"/>
              <w:left w:val="single" w:color="auto" w:sz="4" w:space="0"/>
              <w:bottom w:val="single" w:color="auto" w:sz="4" w:space="0"/>
              <w:right w:val="single" w:color="auto" w:sz="4" w:space="0"/>
            </w:tcBorders>
            <w:vAlign w:val="center"/>
          </w:tcPr>
          <w:p w14:paraId="64FEE8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1000</w:t>
            </w:r>
          </w:p>
        </w:tc>
      </w:tr>
      <w:tr w14:paraId="787B4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06" w:type="dxa"/>
            <w:gridSpan w:val="4"/>
            <w:tcBorders>
              <w:top w:val="single" w:color="auto" w:sz="4" w:space="0"/>
              <w:left w:val="single" w:color="auto" w:sz="4" w:space="0"/>
              <w:bottom w:val="single" w:color="auto" w:sz="4" w:space="0"/>
              <w:right w:val="single" w:color="auto" w:sz="4" w:space="0"/>
            </w:tcBorders>
            <w:vAlign w:val="center"/>
          </w:tcPr>
          <w:p w14:paraId="5891F1D2">
            <w:pPr>
              <w:pStyle w:val="17"/>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Cs/>
              </w:rPr>
            </w:pPr>
            <w:r>
              <w:rPr>
                <w:rFonts w:hint="eastAsia" w:asciiTheme="minorEastAsia" w:hAnsiTheme="minorEastAsia" w:eastAsiaTheme="minorEastAsia" w:cstheme="minorEastAsia"/>
                <w:bCs/>
              </w:rPr>
              <w:t>注：与二次设备及外部回路直接连接的接口回路采用U＞250V的要求。</w:t>
            </w:r>
          </w:p>
        </w:tc>
      </w:tr>
    </w:tbl>
    <w:p w14:paraId="21BEE92E">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rPr>
      </w:pPr>
      <w:r>
        <w:rPr>
          <w:rFonts w:hint="eastAsia" w:ascii="宋体" w:hAnsi="宋体" w:eastAsia="宋体" w:cs="宋体"/>
          <w:b/>
          <w:bCs/>
        </w:rPr>
        <w:t>表5  试验电压（单位：伏）</w:t>
      </w:r>
    </w:p>
    <w:tbl>
      <w:tblPr>
        <w:tblStyle w:val="27"/>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2454"/>
        <w:gridCol w:w="2457"/>
        <w:gridCol w:w="2451"/>
      </w:tblGrid>
      <w:tr w14:paraId="50AD5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0B8830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额定电压</w:t>
            </w:r>
          </w:p>
        </w:tc>
        <w:tc>
          <w:tcPr>
            <w:tcW w:w="2454" w:type="dxa"/>
            <w:tcBorders>
              <w:top w:val="single" w:color="auto" w:sz="4" w:space="0"/>
              <w:left w:val="single" w:color="auto" w:sz="4" w:space="0"/>
              <w:bottom w:val="single" w:color="auto" w:sz="4" w:space="0"/>
              <w:right w:val="single" w:color="auto" w:sz="4" w:space="0"/>
            </w:tcBorders>
            <w:vAlign w:val="center"/>
          </w:tcPr>
          <w:p w14:paraId="12A31D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试验电压有效值</w:t>
            </w:r>
          </w:p>
        </w:tc>
        <w:tc>
          <w:tcPr>
            <w:tcW w:w="2457" w:type="dxa"/>
            <w:tcBorders>
              <w:top w:val="single" w:color="auto" w:sz="4" w:space="0"/>
              <w:left w:val="single" w:color="auto" w:sz="4" w:space="0"/>
              <w:bottom w:val="single" w:color="auto" w:sz="4" w:space="0"/>
              <w:right w:val="single" w:color="auto" w:sz="4" w:space="0"/>
            </w:tcBorders>
            <w:vAlign w:val="center"/>
          </w:tcPr>
          <w:p w14:paraId="6A1F5A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额定电压</w:t>
            </w:r>
          </w:p>
        </w:tc>
        <w:tc>
          <w:tcPr>
            <w:tcW w:w="2451" w:type="dxa"/>
            <w:tcBorders>
              <w:top w:val="single" w:color="auto" w:sz="4" w:space="0"/>
              <w:left w:val="single" w:color="auto" w:sz="4" w:space="0"/>
              <w:bottom w:val="single" w:color="auto" w:sz="4" w:space="0"/>
              <w:right w:val="single" w:color="auto" w:sz="4" w:space="0"/>
            </w:tcBorders>
            <w:vAlign w:val="center"/>
          </w:tcPr>
          <w:p w14:paraId="255ED4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
                <w:bCs w:val="0"/>
              </w:rPr>
            </w:pPr>
            <w:r>
              <w:rPr>
                <w:rFonts w:hint="eastAsia" w:asciiTheme="minorEastAsia" w:hAnsiTheme="minorEastAsia" w:cstheme="minorEastAsia"/>
                <w:b/>
                <w:bCs w:val="0"/>
              </w:rPr>
              <w:t>试验电压有效值</w:t>
            </w:r>
          </w:p>
        </w:tc>
      </w:tr>
      <w:tr w14:paraId="53DF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1095ED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U≤60</w:t>
            </w:r>
          </w:p>
        </w:tc>
        <w:tc>
          <w:tcPr>
            <w:tcW w:w="2454" w:type="dxa"/>
            <w:tcBorders>
              <w:top w:val="single" w:color="auto" w:sz="4" w:space="0"/>
              <w:left w:val="single" w:color="auto" w:sz="4" w:space="0"/>
              <w:bottom w:val="single" w:color="auto" w:sz="4" w:space="0"/>
              <w:right w:val="single" w:color="auto" w:sz="4" w:space="0"/>
            </w:tcBorders>
            <w:vAlign w:val="center"/>
          </w:tcPr>
          <w:p w14:paraId="750D5D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500</w:t>
            </w:r>
          </w:p>
        </w:tc>
        <w:tc>
          <w:tcPr>
            <w:tcW w:w="2457" w:type="dxa"/>
            <w:tcBorders>
              <w:top w:val="single" w:color="auto" w:sz="4" w:space="0"/>
              <w:left w:val="single" w:color="auto" w:sz="4" w:space="0"/>
              <w:bottom w:val="single" w:color="auto" w:sz="4" w:space="0"/>
              <w:right w:val="single" w:color="auto" w:sz="4" w:space="0"/>
            </w:tcBorders>
            <w:vAlign w:val="center"/>
          </w:tcPr>
          <w:p w14:paraId="6DC266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125＜U≤250</w:t>
            </w:r>
          </w:p>
        </w:tc>
        <w:tc>
          <w:tcPr>
            <w:tcW w:w="2451" w:type="dxa"/>
            <w:tcBorders>
              <w:top w:val="single" w:color="auto" w:sz="4" w:space="0"/>
              <w:left w:val="single" w:color="auto" w:sz="4" w:space="0"/>
              <w:bottom w:val="single" w:color="auto" w:sz="4" w:space="0"/>
              <w:right w:val="single" w:color="auto" w:sz="4" w:space="0"/>
            </w:tcBorders>
            <w:vAlign w:val="center"/>
          </w:tcPr>
          <w:p w14:paraId="6E939C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2000</w:t>
            </w:r>
          </w:p>
        </w:tc>
      </w:tr>
      <w:tr w14:paraId="651F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25B76F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60＜U≤125</w:t>
            </w:r>
          </w:p>
        </w:tc>
        <w:tc>
          <w:tcPr>
            <w:tcW w:w="2454" w:type="dxa"/>
            <w:tcBorders>
              <w:top w:val="single" w:color="auto" w:sz="4" w:space="0"/>
              <w:left w:val="single" w:color="auto" w:sz="4" w:space="0"/>
              <w:bottom w:val="single" w:color="auto" w:sz="4" w:space="0"/>
              <w:right w:val="single" w:color="auto" w:sz="4" w:space="0"/>
            </w:tcBorders>
            <w:vAlign w:val="center"/>
          </w:tcPr>
          <w:p w14:paraId="08141D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1500</w:t>
            </w:r>
          </w:p>
        </w:tc>
        <w:tc>
          <w:tcPr>
            <w:tcW w:w="2457" w:type="dxa"/>
            <w:tcBorders>
              <w:top w:val="single" w:color="auto" w:sz="4" w:space="0"/>
              <w:left w:val="single" w:color="auto" w:sz="4" w:space="0"/>
              <w:bottom w:val="single" w:color="auto" w:sz="4" w:space="0"/>
              <w:right w:val="single" w:color="auto" w:sz="4" w:space="0"/>
            </w:tcBorders>
            <w:vAlign w:val="center"/>
          </w:tcPr>
          <w:p w14:paraId="1CF0F6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250＜U≤800</w:t>
            </w:r>
          </w:p>
        </w:tc>
        <w:tc>
          <w:tcPr>
            <w:tcW w:w="2451" w:type="dxa"/>
            <w:tcBorders>
              <w:top w:val="single" w:color="auto" w:sz="4" w:space="0"/>
              <w:left w:val="single" w:color="auto" w:sz="4" w:space="0"/>
              <w:bottom w:val="single" w:color="auto" w:sz="4" w:space="0"/>
              <w:right w:val="single" w:color="auto" w:sz="4" w:space="0"/>
            </w:tcBorders>
            <w:vAlign w:val="center"/>
          </w:tcPr>
          <w:p w14:paraId="481308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cstheme="minorEastAsia"/>
                <w:bCs/>
              </w:rPr>
            </w:pPr>
            <w:r>
              <w:rPr>
                <w:rFonts w:hint="eastAsia" w:asciiTheme="minorEastAsia" w:hAnsiTheme="minorEastAsia" w:cstheme="minorEastAsia"/>
                <w:bCs/>
              </w:rPr>
              <w:t>2500</w:t>
            </w:r>
          </w:p>
        </w:tc>
      </w:tr>
    </w:tbl>
    <w:p w14:paraId="609705CA">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rPr>
      </w:pPr>
      <w:r>
        <w:rPr>
          <w:rFonts w:hint="eastAsia" w:ascii="宋体" w:hAnsi="宋体" w:eastAsia="宋体" w:cs="宋体"/>
          <w:b/>
          <w:bCs/>
        </w:rPr>
        <w:t>表6  结构要求</w:t>
      </w:r>
    </w:p>
    <w:tbl>
      <w:tblPr>
        <w:tblStyle w:val="61"/>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2"/>
        <w:gridCol w:w="1944"/>
        <w:gridCol w:w="2387"/>
        <w:gridCol w:w="4183"/>
      </w:tblGrid>
      <w:tr w14:paraId="7932D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92" w:type="dxa"/>
            <w:vAlign w:val="center"/>
          </w:tcPr>
          <w:p w14:paraId="03D5E7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944" w:type="dxa"/>
            <w:vAlign w:val="center"/>
          </w:tcPr>
          <w:p w14:paraId="025B83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模块</w:t>
            </w:r>
          </w:p>
        </w:tc>
        <w:tc>
          <w:tcPr>
            <w:tcW w:w="2387" w:type="dxa"/>
            <w:vAlign w:val="center"/>
          </w:tcPr>
          <w:p w14:paraId="3E3CD0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指标名称</w:t>
            </w:r>
          </w:p>
        </w:tc>
        <w:tc>
          <w:tcPr>
            <w:tcW w:w="4183" w:type="dxa"/>
            <w:vAlign w:val="center"/>
          </w:tcPr>
          <w:p w14:paraId="64F6A3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指标要求</w:t>
            </w:r>
          </w:p>
        </w:tc>
      </w:tr>
      <w:tr w14:paraId="72CA4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restart"/>
            <w:vAlign w:val="center"/>
          </w:tcPr>
          <w:p w14:paraId="446E99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1944" w:type="dxa"/>
            <w:vMerge w:val="restart"/>
            <w:vAlign w:val="center"/>
          </w:tcPr>
          <w:p w14:paraId="7AE265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数据处理模块(CPU)</w:t>
            </w:r>
          </w:p>
        </w:tc>
        <w:tc>
          <w:tcPr>
            <w:tcW w:w="2387" w:type="dxa"/>
            <w:vAlign w:val="center"/>
          </w:tcPr>
          <w:p w14:paraId="3F7BFE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长</w:t>
            </w:r>
          </w:p>
        </w:tc>
        <w:tc>
          <w:tcPr>
            <w:tcW w:w="4183" w:type="dxa"/>
            <w:vAlign w:val="center"/>
          </w:tcPr>
          <w:p w14:paraId="31D220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68mm±0.2mm</w:t>
            </w:r>
          </w:p>
        </w:tc>
      </w:tr>
      <w:tr w14:paraId="128A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continue"/>
            <w:vAlign w:val="center"/>
          </w:tcPr>
          <w:p w14:paraId="381297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1944" w:type="dxa"/>
            <w:vMerge w:val="continue"/>
            <w:vAlign w:val="center"/>
          </w:tcPr>
          <w:p w14:paraId="3D619D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2387" w:type="dxa"/>
            <w:vAlign w:val="center"/>
          </w:tcPr>
          <w:p w14:paraId="0631F9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宽</w:t>
            </w:r>
          </w:p>
        </w:tc>
        <w:tc>
          <w:tcPr>
            <w:tcW w:w="4183" w:type="dxa"/>
            <w:vAlign w:val="center"/>
          </w:tcPr>
          <w:p w14:paraId="20A7E4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45mm±0.2mm</w:t>
            </w:r>
          </w:p>
        </w:tc>
      </w:tr>
      <w:tr w14:paraId="1048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restart"/>
            <w:vAlign w:val="center"/>
          </w:tcPr>
          <w:p w14:paraId="094592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1944" w:type="dxa"/>
            <w:vMerge w:val="restart"/>
            <w:vAlign w:val="center"/>
          </w:tcPr>
          <w:p w14:paraId="364E9A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通信模块</w:t>
            </w:r>
          </w:p>
        </w:tc>
        <w:tc>
          <w:tcPr>
            <w:tcW w:w="2387" w:type="dxa"/>
            <w:vAlign w:val="center"/>
          </w:tcPr>
          <w:p w14:paraId="36F37C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长</w:t>
            </w:r>
          </w:p>
        </w:tc>
        <w:tc>
          <w:tcPr>
            <w:tcW w:w="4183" w:type="dxa"/>
            <w:vAlign w:val="center"/>
          </w:tcPr>
          <w:p w14:paraId="052ED5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223.4mm±0.2mm</w:t>
            </w:r>
          </w:p>
        </w:tc>
      </w:tr>
      <w:tr w14:paraId="5DBA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continue"/>
            <w:vAlign w:val="center"/>
          </w:tcPr>
          <w:p w14:paraId="1AEDD4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1944" w:type="dxa"/>
            <w:vMerge w:val="continue"/>
            <w:vAlign w:val="center"/>
          </w:tcPr>
          <w:p w14:paraId="05C9D1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2387" w:type="dxa"/>
            <w:vAlign w:val="center"/>
          </w:tcPr>
          <w:p w14:paraId="7838FC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宽</w:t>
            </w:r>
          </w:p>
        </w:tc>
        <w:tc>
          <w:tcPr>
            <w:tcW w:w="4183" w:type="dxa"/>
            <w:vAlign w:val="center"/>
          </w:tcPr>
          <w:p w14:paraId="1DAAE1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160mm±0.2mm</w:t>
            </w:r>
          </w:p>
        </w:tc>
      </w:tr>
      <w:tr w14:paraId="53C61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restart"/>
            <w:vAlign w:val="center"/>
          </w:tcPr>
          <w:p w14:paraId="282AA5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1944" w:type="dxa"/>
            <w:vMerge w:val="restart"/>
            <w:vAlign w:val="center"/>
          </w:tcPr>
          <w:p w14:paraId="6D5F4F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多</w:t>
            </w:r>
            <w:r>
              <w:rPr>
                <w:rFonts w:hint="eastAsia" w:asciiTheme="minorEastAsia" w:hAnsiTheme="minorEastAsia" w:eastAsiaTheme="minorEastAsia" w:cstheme="minorEastAsia"/>
                <w:color w:val="auto"/>
                <w:sz w:val="24"/>
                <w:szCs w:val="24"/>
              </w:rPr>
              <w:t>路模拟采集模块</w:t>
            </w:r>
          </w:p>
        </w:tc>
        <w:tc>
          <w:tcPr>
            <w:tcW w:w="2387" w:type="dxa"/>
            <w:vAlign w:val="center"/>
          </w:tcPr>
          <w:p w14:paraId="14AE8E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长</w:t>
            </w:r>
          </w:p>
        </w:tc>
        <w:tc>
          <w:tcPr>
            <w:tcW w:w="4183" w:type="dxa"/>
            <w:vAlign w:val="center"/>
          </w:tcPr>
          <w:p w14:paraId="68A916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223.4mm±0.2mm</w:t>
            </w:r>
          </w:p>
        </w:tc>
      </w:tr>
      <w:tr w14:paraId="306F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continue"/>
            <w:vAlign w:val="center"/>
          </w:tcPr>
          <w:p w14:paraId="4E2702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1944" w:type="dxa"/>
            <w:vMerge w:val="continue"/>
            <w:vAlign w:val="center"/>
          </w:tcPr>
          <w:p w14:paraId="6831DA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2387" w:type="dxa"/>
            <w:vAlign w:val="center"/>
          </w:tcPr>
          <w:p w14:paraId="4DAF4F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宽</w:t>
            </w:r>
          </w:p>
        </w:tc>
        <w:tc>
          <w:tcPr>
            <w:tcW w:w="4183" w:type="dxa"/>
            <w:vAlign w:val="center"/>
          </w:tcPr>
          <w:p w14:paraId="134524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160mm±0.2mm</w:t>
            </w:r>
          </w:p>
        </w:tc>
      </w:tr>
      <w:tr w14:paraId="2F11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restart"/>
            <w:vAlign w:val="center"/>
          </w:tcPr>
          <w:p w14:paraId="4DEDF4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1944" w:type="dxa"/>
            <w:vMerge w:val="restart"/>
            <w:vAlign w:val="center"/>
          </w:tcPr>
          <w:p w14:paraId="4E57C4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显示模块</w:t>
            </w:r>
          </w:p>
        </w:tc>
        <w:tc>
          <w:tcPr>
            <w:tcW w:w="2387" w:type="dxa"/>
            <w:vAlign w:val="center"/>
          </w:tcPr>
          <w:p w14:paraId="4F5EBE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长</w:t>
            </w:r>
          </w:p>
        </w:tc>
        <w:tc>
          <w:tcPr>
            <w:tcW w:w="4183" w:type="dxa"/>
            <w:vAlign w:val="center"/>
          </w:tcPr>
          <w:p w14:paraId="58095A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217.5mm±0.2mm</w:t>
            </w:r>
          </w:p>
        </w:tc>
      </w:tr>
      <w:tr w14:paraId="354A5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continue"/>
            <w:vAlign w:val="center"/>
          </w:tcPr>
          <w:p w14:paraId="7F9633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1944" w:type="dxa"/>
            <w:vMerge w:val="continue"/>
            <w:vAlign w:val="center"/>
          </w:tcPr>
          <w:p w14:paraId="61C76D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2387" w:type="dxa"/>
            <w:vAlign w:val="center"/>
          </w:tcPr>
          <w:p w14:paraId="1571C5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宽</w:t>
            </w:r>
          </w:p>
        </w:tc>
        <w:tc>
          <w:tcPr>
            <w:tcW w:w="4183" w:type="dxa"/>
            <w:vAlign w:val="center"/>
          </w:tcPr>
          <w:p w14:paraId="54ABF0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190mm±0.2mm</w:t>
            </w:r>
          </w:p>
        </w:tc>
      </w:tr>
      <w:tr w14:paraId="6A6F4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restart"/>
            <w:vAlign w:val="center"/>
          </w:tcPr>
          <w:p w14:paraId="7853E7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1944" w:type="dxa"/>
            <w:vMerge w:val="restart"/>
            <w:vAlign w:val="center"/>
          </w:tcPr>
          <w:p w14:paraId="1703E6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电源模块</w:t>
            </w:r>
          </w:p>
        </w:tc>
        <w:tc>
          <w:tcPr>
            <w:tcW w:w="2387" w:type="dxa"/>
            <w:vAlign w:val="center"/>
          </w:tcPr>
          <w:p w14:paraId="21D538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长</w:t>
            </w:r>
          </w:p>
        </w:tc>
        <w:tc>
          <w:tcPr>
            <w:tcW w:w="4183" w:type="dxa"/>
            <w:vAlign w:val="center"/>
          </w:tcPr>
          <w:p w14:paraId="5C5C90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223.4mm±0.2mm</w:t>
            </w:r>
          </w:p>
        </w:tc>
      </w:tr>
      <w:tr w14:paraId="51A25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continue"/>
            <w:vAlign w:val="center"/>
          </w:tcPr>
          <w:p w14:paraId="1C88B8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1944" w:type="dxa"/>
            <w:vMerge w:val="continue"/>
            <w:vAlign w:val="center"/>
          </w:tcPr>
          <w:p w14:paraId="5904D4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2387" w:type="dxa"/>
            <w:vAlign w:val="center"/>
          </w:tcPr>
          <w:p w14:paraId="5BEB2F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宽</w:t>
            </w:r>
          </w:p>
        </w:tc>
        <w:tc>
          <w:tcPr>
            <w:tcW w:w="4183" w:type="dxa"/>
            <w:vAlign w:val="center"/>
          </w:tcPr>
          <w:p w14:paraId="1DA3FC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160mm±0.2mm</w:t>
            </w:r>
          </w:p>
        </w:tc>
      </w:tr>
      <w:tr w14:paraId="1F6E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restart"/>
            <w:vAlign w:val="center"/>
          </w:tcPr>
          <w:p w14:paraId="26FFAC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1944" w:type="dxa"/>
            <w:vMerge w:val="restart"/>
            <w:vAlign w:val="center"/>
          </w:tcPr>
          <w:p w14:paraId="3AEF37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多路</w:t>
            </w:r>
            <w:r>
              <w:rPr>
                <w:rFonts w:hint="eastAsia" w:asciiTheme="minorEastAsia" w:hAnsiTheme="minorEastAsia" w:eastAsiaTheme="minorEastAsia" w:cstheme="minorEastAsia"/>
                <w:color w:val="auto"/>
                <w:sz w:val="24"/>
                <w:szCs w:val="24"/>
              </w:rPr>
              <w:t>背板</w:t>
            </w:r>
          </w:p>
        </w:tc>
        <w:tc>
          <w:tcPr>
            <w:tcW w:w="2387" w:type="dxa"/>
            <w:vAlign w:val="center"/>
          </w:tcPr>
          <w:p w14:paraId="69600C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长</w:t>
            </w:r>
          </w:p>
        </w:tc>
        <w:tc>
          <w:tcPr>
            <w:tcW w:w="4183" w:type="dxa"/>
            <w:vAlign w:val="center"/>
          </w:tcPr>
          <w:p w14:paraId="59436E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246mm±0.2mm</w:t>
            </w:r>
          </w:p>
        </w:tc>
      </w:tr>
      <w:tr w14:paraId="19FD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2" w:type="dxa"/>
            <w:vMerge w:val="continue"/>
            <w:vAlign w:val="center"/>
          </w:tcPr>
          <w:p w14:paraId="19EFE1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1944" w:type="dxa"/>
            <w:vMerge w:val="continue"/>
            <w:vAlign w:val="center"/>
          </w:tcPr>
          <w:p w14:paraId="5A26CD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p>
        </w:tc>
        <w:tc>
          <w:tcPr>
            <w:tcW w:w="2387" w:type="dxa"/>
            <w:vAlign w:val="center"/>
          </w:tcPr>
          <w:p w14:paraId="0CFEDE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宽</w:t>
            </w:r>
          </w:p>
        </w:tc>
        <w:tc>
          <w:tcPr>
            <w:tcW w:w="4183" w:type="dxa"/>
            <w:vAlign w:val="center"/>
          </w:tcPr>
          <w:p w14:paraId="2C08CA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200mm±0.2mm</w:t>
            </w:r>
          </w:p>
        </w:tc>
      </w:tr>
    </w:tbl>
    <w:p w14:paraId="63064819">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lang w:val="en-US" w:eastAsia="zh-CN"/>
        </w:rPr>
      </w:pPr>
    </w:p>
    <w:p w14:paraId="663639F6">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lang w:val="en-US" w:eastAsia="zh-CN"/>
        </w:rPr>
      </w:pPr>
    </w:p>
    <w:p w14:paraId="3620153A">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lang w:val="en-US" w:eastAsia="zh-CN"/>
        </w:rPr>
      </w:pPr>
    </w:p>
    <w:p w14:paraId="7D4CC9F9">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cs="宋体"/>
          <w:b/>
          <w:bCs/>
          <w:lang w:val="en-US" w:eastAsia="zh-CN"/>
        </w:rPr>
      </w:pPr>
      <w:r>
        <w:rPr>
          <w:rFonts w:hint="eastAsia" w:ascii="宋体" w:hAnsi="宋体" w:eastAsia="宋体" w:cs="宋体"/>
          <w:b/>
          <w:bCs/>
          <w:lang w:val="en-US" w:eastAsia="zh-CN"/>
        </w:rPr>
        <w:t>图1</w:t>
      </w:r>
      <w:r>
        <w:rPr>
          <w:rFonts w:hint="eastAsia" w:ascii="宋体" w:hAnsi="宋体" w:cs="宋体"/>
          <w:b/>
          <w:bCs/>
          <w:lang w:val="en-US" w:eastAsia="zh-CN"/>
        </w:rPr>
        <w:t xml:space="preserve"> 外壳结构及安装开孔要求</w:t>
      </w:r>
    </w:p>
    <w:p w14:paraId="5382475E">
      <w:pPr>
        <w:pStyle w:val="2"/>
        <w:rPr>
          <w:rFonts w:hint="default"/>
          <w:lang w:val="en-US" w:eastAsia="zh-CN"/>
        </w:rPr>
      </w:pPr>
      <w:r>
        <w:rPr>
          <w:rFonts w:hint="default"/>
          <w:lang w:val="en-US" w:eastAsia="zh-CN"/>
        </w:rPr>
        <w:drawing>
          <wp:inline distT="0" distB="0" distL="114300" distR="114300">
            <wp:extent cx="5398770" cy="4954270"/>
            <wp:effectExtent l="0" t="0" r="11430" b="11430"/>
            <wp:docPr id="1" name="图片 1" descr="745894932e212b5f37c70fc1f024df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45894932e212b5f37c70fc1f024df8e"/>
                    <pic:cNvPicPr>
                      <a:picLocks noChangeAspect="1"/>
                    </pic:cNvPicPr>
                  </pic:nvPicPr>
                  <pic:blipFill>
                    <a:blip r:embed="rId17"/>
                    <a:stretch>
                      <a:fillRect/>
                    </a:stretch>
                  </pic:blipFill>
                  <pic:spPr>
                    <a:xfrm>
                      <a:off x="0" y="0"/>
                      <a:ext cx="5398770" cy="4954270"/>
                    </a:xfrm>
                    <a:prstGeom prst="rect">
                      <a:avLst/>
                    </a:prstGeom>
                  </pic:spPr>
                </pic:pic>
              </a:graphicData>
            </a:graphic>
          </wp:inline>
        </w:drawing>
      </w:r>
    </w:p>
    <w:p w14:paraId="2D99D29B">
      <w:pPr>
        <w:pStyle w:val="3"/>
      </w:pPr>
      <w:r>
        <w:rPr>
          <w:rFonts w:hint="eastAsia"/>
        </w:rPr>
        <w:t>质量保证要求</w:t>
      </w:r>
    </w:p>
    <w:p w14:paraId="24D9FD94">
      <w:pPr>
        <w:ind w:firstLine="480"/>
        <w:rPr>
          <w:rFonts w:hint="eastAsia" w:ascii="宋体" w:hAnsi="宋体" w:cs="宋体"/>
          <w:color w:val="000000"/>
          <w:szCs w:val="21"/>
        </w:rPr>
      </w:pPr>
      <w:r>
        <w:rPr>
          <w:rFonts w:hint="eastAsia" w:ascii="宋体" w:hAnsi="宋体" w:cs="宋体"/>
          <w:color w:val="000000"/>
          <w:szCs w:val="21"/>
        </w:rPr>
        <w:t>（1）投标方应保证</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color w:val="000000"/>
          <w:szCs w:val="21"/>
        </w:rPr>
        <w:t>的完整性和可用性，若出现不满足要求或其所提供的技术支持和服务不全面而导致设备功能无法实现或不能完全实现，由投标方负全部责任。</w:t>
      </w:r>
    </w:p>
    <w:p w14:paraId="798E506F">
      <w:pPr>
        <w:ind w:firstLine="480"/>
        <w:rPr>
          <w:rFonts w:hint="eastAsia" w:ascii="宋体" w:hAnsi="宋体" w:cs="宋体"/>
          <w:color w:val="000000"/>
          <w:szCs w:val="21"/>
        </w:rPr>
      </w:pPr>
      <w:r>
        <w:rPr>
          <w:rFonts w:hint="eastAsia" w:ascii="宋体" w:hAnsi="宋体" w:cs="宋体"/>
          <w:color w:val="000000"/>
          <w:szCs w:val="21"/>
        </w:rPr>
        <w:t>（2）投标方提供的所有</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color w:val="000000"/>
          <w:szCs w:val="21"/>
        </w:rPr>
        <w:t>，均应是新的，应附有制造商发出的、有投标方签字的质量保证书、合格证书。</w:t>
      </w:r>
    </w:p>
    <w:p w14:paraId="49F7CEF8">
      <w:pPr>
        <w:ind w:firstLine="480"/>
        <w:rPr>
          <w:rFonts w:hint="eastAsia" w:ascii="宋体" w:hAnsi="宋体" w:cs="宋体"/>
          <w:color w:val="000000"/>
          <w:szCs w:val="21"/>
        </w:rPr>
      </w:pPr>
      <w:r>
        <w:rPr>
          <w:rFonts w:hint="eastAsia" w:ascii="宋体" w:hAnsi="宋体" w:cs="宋体"/>
          <w:color w:val="000000"/>
          <w:szCs w:val="21"/>
        </w:rPr>
        <w:t>（3）</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color w:val="000000"/>
          <w:szCs w:val="21"/>
        </w:rPr>
        <w:t>应运送到招标方指定地点，运输费用由投标方承担。运输过程中各种包装应确保</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color w:val="000000"/>
          <w:szCs w:val="21"/>
        </w:rPr>
        <w:t>在运输过程中不致遭到损坏、丢失、变形、受潮和腐蚀，随</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color w:val="000000"/>
          <w:szCs w:val="21"/>
        </w:rPr>
        <w:t>提供的技术资料应完整无缺。</w:t>
      </w:r>
    </w:p>
    <w:p w14:paraId="369CEAD2">
      <w:pPr>
        <w:pStyle w:val="3"/>
      </w:pPr>
      <w:r>
        <w:rPr>
          <w:rFonts w:hint="eastAsia"/>
        </w:rPr>
        <w:t>售后服务及质量保证</w:t>
      </w:r>
    </w:p>
    <w:p w14:paraId="1A056F5A">
      <w:pPr>
        <w:pStyle w:val="4"/>
        <w:ind w:left="0"/>
      </w:pPr>
      <w:r>
        <w:rPr>
          <w:rFonts w:hint="eastAsia"/>
        </w:rPr>
        <w:t>售后服务</w:t>
      </w:r>
    </w:p>
    <w:p w14:paraId="1135F08D">
      <w:pPr>
        <w:ind w:firstLine="480"/>
      </w:pPr>
      <w:r>
        <w:rPr>
          <w:rFonts w:hint="eastAsia"/>
        </w:rPr>
        <w:t>（1）在</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rPr>
        <w:t>安装、调试及保修期期间，投标方提供无偿的现场服务，直至</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rPr>
        <w:t>无缺陷为止。投标方服务人员的一切费用已包含在合同总价中，它包括诸如服务人员的工资及各种补助、交通费、通讯费、食宿费、各种保险费、各种税费等等。</w:t>
      </w:r>
    </w:p>
    <w:p w14:paraId="6B0A5CAC">
      <w:pPr>
        <w:ind w:firstLine="480"/>
      </w:pPr>
      <w:r>
        <w:rPr>
          <w:rFonts w:hint="eastAsia"/>
        </w:rPr>
        <w:t>（2）</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rPr>
        <w:t>的免费质保期应不低于1年（从验收合格之日算起），之后如发生</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rPr>
        <w:t>损坏，投标方应及时为所供</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rPr>
        <w:t>提供维修部件，并按最近的投标价提供。</w:t>
      </w:r>
    </w:p>
    <w:p w14:paraId="6D217306">
      <w:pPr>
        <w:ind w:firstLine="480"/>
      </w:pPr>
      <w:r>
        <w:rPr>
          <w:rFonts w:hint="eastAsia"/>
        </w:rPr>
        <w:t>（3）投标方应具备专业运维队伍，接到需方反映的信息后，1小时内响应，4小时内明确答复处理意见，若需派人则在24小时内赶到现场解决问题。</w:t>
      </w:r>
    </w:p>
    <w:p w14:paraId="1FBF1738">
      <w:pPr>
        <w:pStyle w:val="4"/>
        <w:ind w:left="0"/>
      </w:pPr>
      <w:r>
        <w:rPr>
          <w:rFonts w:hint="eastAsia"/>
        </w:rPr>
        <w:t>质量保证</w:t>
      </w:r>
    </w:p>
    <w:p w14:paraId="5E2F04E8">
      <w:pPr>
        <w:ind w:firstLine="480"/>
      </w:pPr>
      <w:r>
        <w:rPr>
          <w:rFonts w:hint="eastAsia" w:ascii="宋体" w:hAnsi="宋体" w:cs="宋体"/>
          <w:bCs/>
          <w:szCs w:val="21"/>
        </w:rPr>
        <w:t>（1）全部</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bCs/>
          <w:szCs w:val="21"/>
        </w:rPr>
        <w:t>必须是全新的，持久耐用的，应满足作为一个完整</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bCs/>
          <w:szCs w:val="21"/>
        </w:rPr>
        <w:t>所能满足的全部要</w:t>
      </w:r>
      <w:r>
        <w:rPr>
          <w:rFonts w:hint="eastAsia"/>
        </w:rPr>
        <w:t>求。投标方应保证</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rPr>
        <w:t>在规定的使用条件下运行、并按使用说明书进行安装和维护、预期寿命应不少于10年。</w:t>
      </w:r>
    </w:p>
    <w:p w14:paraId="35325044">
      <w:pPr>
        <w:ind w:firstLine="480"/>
        <w:rPr>
          <w:rFonts w:hint="eastAsia"/>
        </w:rPr>
      </w:pPr>
      <w:r>
        <w:rPr>
          <w:rFonts w:hint="eastAsia"/>
        </w:rPr>
        <w:t>（2）投标方应保证制造过程中的所有工艺、材料试验等（包括投标方的外购件在内）均应符合本标准的规定。若招标方根据使用经验指定投标方提供某种外购零部件，投标方应积极配合。</w:t>
      </w:r>
    </w:p>
    <w:bookmarkEnd w:id="5"/>
    <w:bookmarkEnd w:id="6"/>
    <w:p w14:paraId="325AF5DF">
      <w:pPr>
        <w:pStyle w:val="3"/>
        <w:rPr>
          <w:rFonts w:ascii="Times New Roman Regular" w:hAnsi="Times New Roman Regular" w:cs="Times New Roman Regular"/>
        </w:rPr>
      </w:pPr>
      <w:bookmarkStart w:id="24" w:name="_Toc704"/>
      <w:bookmarkStart w:id="25" w:name="_Toc3393"/>
      <w:r>
        <w:rPr>
          <w:rFonts w:hint="eastAsia" w:ascii="Times New Roman Regular" w:hAnsi="Times New Roman Regular" w:cs="Times New Roman Regular"/>
        </w:rPr>
        <w:t>监造及验收</w:t>
      </w:r>
      <w:r>
        <w:rPr>
          <w:rFonts w:ascii="Times New Roman Regular" w:hAnsi="Times New Roman Regular" w:cs="Times New Roman Regular"/>
        </w:rPr>
        <w:t>要求</w:t>
      </w:r>
    </w:p>
    <w:p w14:paraId="44F27DC9">
      <w:pPr>
        <w:pStyle w:val="4"/>
        <w:ind w:left="0"/>
      </w:pPr>
      <w:r>
        <w:rPr>
          <w:rFonts w:hint="eastAsia"/>
        </w:rPr>
        <w:t>监造</w:t>
      </w:r>
    </w:p>
    <w:p w14:paraId="79AAF90A">
      <w:pPr>
        <w:ind w:firstLine="480"/>
        <w:rPr>
          <w:rFonts w:hint="eastAsia" w:ascii="宋体" w:hAnsi="宋体" w:cs="宋体"/>
          <w:szCs w:val="21"/>
        </w:rPr>
      </w:pPr>
      <w:r>
        <w:rPr>
          <w:rFonts w:hint="eastAsia" w:ascii="宋体" w:hAnsi="宋体" w:cs="宋体"/>
          <w:szCs w:val="21"/>
        </w:rPr>
        <w:t>（1）合同生效后，买方采取自行或委托监造单位派出监造代表依照技术协议的约定以及买方的监造作业指导书，对</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的制造过程进行监造。卖方应配合买方组织的监造（含出厂试验见证），按监造代表的要求及时、无偿提供</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的设计文件、工艺文件、工艺标准、检验标准、设计联络会纪要、图纸、工艺和检验记录、监造见证文件等资料，并承担由此发生的配合费用。</w:t>
      </w:r>
    </w:p>
    <w:p w14:paraId="7B1410D1">
      <w:pPr>
        <w:ind w:firstLine="480"/>
        <w:rPr>
          <w:rFonts w:hint="eastAsia" w:ascii="宋体" w:hAnsi="宋体" w:cs="宋体"/>
          <w:szCs w:val="21"/>
        </w:rPr>
      </w:pPr>
      <w:r>
        <w:rPr>
          <w:rFonts w:hint="eastAsia" w:ascii="宋体" w:hAnsi="宋体" w:cs="宋体"/>
          <w:szCs w:val="21"/>
        </w:rPr>
        <w:t>（2）在监造过程中如发现</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存在质量问题或不符合合同约定的标准或包装要求时，卖方应及时向监造代表、项目管理单位报送相关信息，监造代表及买方相关人员有权参与、跟踪检查整改工作并提出意见，卖方根据监造代表的意见采取相应措施，保障质量。</w:t>
      </w:r>
    </w:p>
    <w:p w14:paraId="52EB20A8">
      <w:pPr>
        <w:ind w:firstLine="480"/>
        <w:rPr>
          <w:rFonts w:hint="eastAsia" w:ascii="宋体" w:hAnsi="宋体" w:cs="宋体"/>
          <w:szCs w:val="21"/>
        </w:rPr>
      </w:pPr>
      <w:r>
        <w:rPr>
          <w:rFonts w:hint="eastAsia" w:ascii="宋体" w:hAnsi="宋体" w:cs="宋体"/>
          <w:szCs w:val="21"/>
        </w:rPr>
        <w:t>（3）由卖方供应的所有</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出厂时，应附有制造厂签发的产品质量合格证，作为交货时的质量证明文件。专用条款有要求时，还应提供由买方监造代表签署的监造记录和试验报告。买方组织驻厂监造的</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在监造代表签署“出厂见证表”后方可出厂。</w:t>
      </w:r>
    </w:p>
    <w:p w14:paraId="17946CFD">
      <w:pPr>
        <w:ind w:firstLine="480"/>
        <w:rPr>
          <w:rFonts w:hint="eastAsia" w:ascii="宋体" w:hAnsi="宋体" w:cs="宋体"/>
          <w:szCs w:val="21"/>
        </w:rPr>
      </w:pPr>
      <w:r>
        <w:rPr>
          <w:rFonts w:hint="eastAsia" w:ascii="宋体" w:hAnsi="宋体" w:cs="宋体"/>
          <w:szCs w:val="21"/>
        </w:rPr>
        <w:t>（4）不论监造代表是否参与了监造或者是否签署了监造记录或报告，均不能免除卖方对</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质量应尽的义务，也不能代替</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到达交货地后买方根据合同进行的现场检验。</w:t>
      </w:r>
    </w:p>
    <w:p w14:paraId="1619AFF0">
      <w:pPr>
        <w:ind w:firstLine="480"/>
        <w:rPr>
          <w:rFonts w:hint="eastAsia" w:ascii="宋体" w:hAnsi="宋体" w:cs="宋体"/>
          <w:szCs w:val="21"/>
        </w:rPr>
      </w:pPr>
      <w:r>
        <w:rPr>
          <w:rFonts w:hint="eastAsia" w:ascii="宋体" w:hAnsi="宋体" w:cs="宋体"/>
          <w:szCs w:val="21"/>
        </w:rPr>
        <w:t>（5）买方可在厂内对</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的原材料、元器件、关键工艺、成品等进行检测，分为买方自行实施、买方见证卖方实施和买方委托具备相应资质的检验机构实施等方式。卖方应根据买方要求无偿提供合格的试验仪器、配合人员和其他必要条件。</w:t>
      </w:r>
    </w:p>
    <w:p w14:paraId="1AA908AE">
      <w:pPr>
        <w:ind w:firstLine="480"/>
        <w:rPr>
          <w:rFonts w:hint="eastAsia" w:ascii="宋体" w:hAnsi="宋体" w:cs="宋体"/>
          <w:szCs w:val="21"/>
        </w:rPr>
      </w:pPr>
      <w:r>
        <w:rPr>
          <w:rFonts w:hint="eastAsia" w:ascii="宋体" w:hAnsi="宋体" w:cs="宋体"/>
          <w:szCs w:val="21"/>
        </w:rPr>
        <w:t>（6）</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试验过程中，试验不合格的，卖方应将处理过程及原因如实填写，交给买方。</w:t>
      </w:r>
    </w:p>
    <w:p w14:paraId="79B04044">
      <w:pPr>
        <w:pStyle w:val="4"/>
        <w:ind w:left="0"/>
      </w:pPr>
      <w:r>
        <w:rPr>
          <w:rFonts w:hint="eastAsia"/>
        </w:rPr>
        <w:t>现场调试</w:t>
      </w:r>
    </w:p>
    <w:p w14:paraId="697FFAEB">
      <w:pPr>
        <w:ind w:firstLine="480"/>
        <w:rPr>
          <w:rFonts w:hint="eastAsia" w:ascii="宋体" w:hAnsi="宋体" w:cs="宋体"/>
          <w:szCs w:val="21"/>
        </w:rPr>
      </w:pPr>
      <w:r>
        <w:rPr>
          <w:rFonts w:hint="eastAsia" w:ascii="宋体" w:hAnsi="宋体" w:cs="宋体"/>
          <w:szCs w:val="21"/>
        </w:rPr>
        <w:t>（1）</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运到现场安装前后，卖方人员应到场参加调试。卖方应派出有经验的专家提供技术服务。</w:t>
      </w:r>
    </w:p>
    <w:p w14:paraId="00854C5F">
      <w:pPr>
        <w:ind w:firstLine="480"/>
        <w:rPr>
          <w:rFonts w:hint="eastAsia" w:ascii="宋体" w:hAnsi="宋体" w:cs="宋体"/>
          <w:szCs w:val="21"/>
        </w:rPr>
      </w:pPr>
      <w:r>
        <w:rPr>
          <w:rFonts w:hint="eastAsia" w:ascii="宋体" w:hAnsi="宋体" w:cs="宋体"/>
          <w:szCs w:val="21"/>
        </w:rPr>
        <w:t>（2）在调试过程中，若发现</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损坏或不正常工作情况，卖方应负责更换。</w:t>
      </w:r>
    </w:p>
    <w:p w14:paraId="5994AAD1">
      <w:pPr>
        <w:pStyle w:val="4"/>
        <w:ind w:left="0"/>
      </w:pPr>
      <w:r>
        <w:rPr>
          <w:rFonts w:hint="eastAsia"/>
        </w:rPr>
        <w:t>现场验收</w:t>
      </w:r>
    </w:p>
    <w:p w14:paraId="7CD0CEFB">
      <w:pPr>
        <w:ind w:firstLine="480"/>
        <w:rPr>
          <w:rFonts w:hint="eastAsia" w:ascii="宋体" w:hAnsi="宋体" w:cs="宋体"/>
          <w:szCs w:val="21"/>
        </w:rPr>
      </w:pPr>
      <w:r>
        <w:rPr>
          <w:rFonts w:hint="eastAsia" w:ascii="宋体" w:hAnsi="宋体" w:cs="宋体"/>
          <w:szCs w:val="21"/>
        </w:rPr>
        <w:t>（1）现场验收应在所有</w:t>
      </w:r>
      <w:r>
        <w:rPr>
          <w:rFonts w:ascii="Times New Roman Regular" w:hAnsi="Times New Roman Regular" w:cs="Times New Roman Regular"/>
        </w:rPr>
        <w:t>四通道（4U4I）</w:t>
      </w:r>
      <w:r>
        <w:rPr>
          <w:rFonts w:hint="eastAsia" w:ascii="Times New Roman Regular" w:hAnsi="Times New Roman Regular" w:cs="Times New Roman Regular"/>
        </w:rPr>
        <w:t>电能质量监测终端</w:t>
      </w:r>
      <w:r>
        <w:rPr>
          <w:rFonts w:hint="eastAsia" w:ascii="宋体" w:hAnsi="宋体" w:cs="宋体"/>
          <w:szCs w:val="21"/>
        </w:rPr>
        <w:t>调试完毕时进行，并出具书面测试报告。</w:t>
      </w:r>
    </w:p>
    <w:p w14:paraId="610D1253">
      <w:pPr>
        <w:ind w:firstLine="48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）备品备件、文档资料均作为验收的一部分。</w:t>
      </w:r>
    </w:p>
    <w:p w14:paraId="08D7FDEE">
      <w:pPr>
        <w:pStyle w:val="3"/>
        <w:rPr>
          <w:rFonts w:ascii="Times New Roman Regular" w:hAnsi="Times New Roman Regular" w:cs="Times New Roman Regular"/>
        </w:rPr>
      </w:pPr>
      <w:r>
        <w:rPr>
          <w:rFonts w:hint="eastAsia" w:ascii="Times New Roman Regular" w:hAnsi="Times New Roman Regular" w:cs="Times New Roman Regular"/>
        </w:rPr>
        <w:t>交付时间和地点</w:t>
      </w:r>
    </w:p>
    <w:p w14:paraId="725FD92A">
      <w:pPr>
        <w:ind w:firstLine="480"/>
        <w:rPr>
          <w:rFonts w:hint="eastAsia" w:ascii="宋体" w:hAnsi="宋体" w:cs="宋体"/>
          <w:szCs w:val="21"/>
        </w:rPr>
      </w:pPr>
      <w:r>
        <w:rPr>
          <w:rFonts w:hint="eastAsia" w:ascii="宋体" w:hAnsi="宋体" w:cs="宋体"/>
          <w:szCs w:val="21"/>
        </w:rPr>
        <w:t>合同签订后，根据招标人要求交货至指定地点。</w:t>
      </w:r>
    </w:p>
    <w:p w14:paraId="7829EBCD">
      <w:pPr>
        <w:pStyle w:val="3"/>
        <w:rPr>
          <w:rFonts w:ascii="Times New Roman Regular" w:hAnsi="Times New Roman Regular" w:cs="Times New Roman Regular"/>
        </w:rPr>
      </w:pPr>
      <w:r>
        <w:rPr>
          <w:rFonts w:ascii="Times New Roman Regular" w:hAnsi="Times New Roman Regular" w:cs="Times New Roman Regular"/>
        </w:rPr>
        <w:t>附表</w:t>
      </w:r>
    </w:p>
    <w:p w14:paraId="5FA3C4D0">
      <w:pPr>
        <w:pStyle w:val="4"/>
        <w:ind w:left="0"/>
        <w:rPr>
          <w:rFonts w:ascii="Times New Roman Regular" w:hAnsi="Times New Roman Regular" w:cs="Times New Roman Regular"/>
        </w:rPr>
      </w:pPr>
      <w:r>
        <w:rPr>
          <w:rFonts w:ascii="Times New Roman Regular" w:hAnsi="Times New Roman Regular" w:cs="Times New Roman Regular"/>
        </w:rPr>
        <w:t>投标方技术偏差</w:t>
      </w:r>
    </w:p>
    <w:bookmarkEnd w:id="24"/>
    <w:bookmarkEnd w:id="25"/>
    <w:p w14:paraId="74D57C41">
      <w:pPr>
        <w:ind w:firstLine="480"/>
        <w:rPr>
          <w:rFonts w:ascii="Times New Roman Regular" w:hAnsi="Times New Roman Regular" w:cs="Times New Roman Regular"/>
        </w:rPr>
      </w:pPr>
      <w:r>
        <w:rPr>
          <w:rFonts w:ascii="Times New Roman Regular" w:hAnsi="Times New Roman Regular" w:cs="Times New Roman Regular"/>
        </w:rPr>
        <w:t>投标方应将所供设备与本技术规范书有差异之处，无论优于或劣于本技术规范书要求，均汇集成此表。</w:t>
      </w:r>
    </w:p>
    <w:tbl>
      <w:tblPr>
        <w:tblStyle w:val="2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686"/>
        <w:gridCol w:w="2149"/>
        <w:gridCol w:w="1736"/>
        <w:gridCol w:w="2261"/>
      </w:tblGrid>
      <w:tr w14:paraId="6138A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0372D6D9">
            <w:pPr>
              <w:ind w:firstLine="0" w:firstLineChars="0"/>
              <w:jc w:val="center"/>
              <w:rPr>
                <w:rFonts w:ascii="Times New Roman Regular" w:hAnsi="Times New Roman Regular" w:eastAsia="Times New Roman" w:cs="Times New Roman Regular"/>
              </w:rPr>
            </w:pPr>
            <w:r>
              <w:rPr>
                <w:rFonts w:ascii="Times New Roman Regular" w:hAnsi="Times New Roman Regular" w:eastAsia="Times New Roman" w:cs="Times New Roman Regular"/>
              </w:rPr>
              <w:t>序号</w:t>
            </w:r>
          </w:p>
        </w:tc>
        <w:tc>
          <w:tcPr>
            <w:tcW w:w="1686" w:type="dxa"/>
            <w:vAlign w:val="center"/>
          </w:tcPr>
          <w:p w14:paraId="02008210">
            <w:pPr>
              <w:ind w:firstLine="0" w:firstLineChars="0"/>
              <w:jc w:val="center"/>
              <w:rPr>
                <w:rFonts w:ascii="Times New Roman Regular" w:hAnsi="Times New Roman Regular" w:eastAsia="Times New Roman" w:cs="Times New Roman Regular"/>
              </w:rPr>
            </w:pPr>
            <w:r>
              <w:rPr>
                <w:rFonts w:ascii="Times New Roman Regular" w:hAnsi="Times New Roman Regular" w:eastAsia="Times New Roman" w:cs="Times New Roman Regular"/>
              </w:rPr>
              <w:t>招标文件条目</w:t>
            </w:r>
          </w:p>
        </w:tc>
        <w:tc>
          <w:tcPr>
            <w:tcW w:w="2149" w:type="dxa"/>
            <w:vAlign w:val="center"/>
          </w:tcPr>
          <w:p w14:paraId="10BE7D0A">
            <w:pPr>
              <w:ind w:firstLine="0" w:firstLineChars="0"/>
              <w:jc w:val="center"/>
              <w:rPr>
                <w:rFonts w:ascii="Times New Roman Regular" w:hAnsi="Times New Roman Regular" w:eastAsia="Times New Roman" w:cs="Times New Roman Regular"/>
              </w:rPr>
            </w:pPr>
            <w:r>
              <w:rPr>
                <w:rFonts w:ascii="Times New Roman Regular" w:hAnsi="Times New Roman Regular" w:eastAsia="Times New Roman" w:cs="Times New Roman Regular"/>
              </w:rPr>
              <w:t>招标文件简要内容</w:t>
            </w:r>
          </w:p>
        </w:tc>
        <w:tc>
          <w:tcPr>
            <w:tcW w:w="1736" w:type="dxa"/>
            <w:vAlign w:val="center"/>
          </w:tcPr>
          <w:p w14:paraId="4742BCBD">
            <w:pPr>
              <w:ind w:firstLine="0" w:firstLineChars="0"/>
              <w:jc w:val="center"/>
              <w:rPr>
                <w:rFonts w:ascii="Times New Roman Regular" w:hAnsi="Times New Roman Regular" w:eastAsia="Times New Roman" w:cs="Times New Roman Regular"/>
              </w:rPr>
            </w:pPr>
            <w:r>
              <w:rPr>
                <w:rFonts w:ascii="Times New Roman Regular" w:hAnsi="Times New Roman Regular" w:eastAsia="Times New Roman" w:cs="Times New Roman Regular"/>
              </w:rPr>
              <w:t>投标文件条目</w:t>
            </w:r>
          </w:p>
        </w:tc>
        <w:tc>
          <w:tcPr>
            <w:tcW w:w="2261" w:type="dxa"/>
            <w:vAlign w:val="center"/>
          </w:tcPr>
          <w:p w14:paraId="31F598B9">
            <w:pPr>
              <w:ind w:firstLine="0" w:firstLineChars="0"/>
              <w:jc w:val="center"/>
              <w:rPr>
                <w:rFonts w:ascii="Times New Roman Regular" w:hAnsi="Times New Roman Regular" w:eastAsia="Times New Roman" w:cs="Times New Roman Regular"/>
              </w:rPr>
            </w:pPr>
            <w:r>
              <w:rPr>
                <w:rFonts w:ascii="Times New Roman Regular" w:hAnsi="Times New Roman Regular" w:eastAsia="Times New Roman" w:cs="Times New Roman Regular"/>
              </w:rPr>
              <w:t>投标文件简要内容</w:t>
            </w:r>
          </w:p>
        </w:tc>
      </w:tr>
      <w:tr w14:paraId="5D1C8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4262C881">
            <w:pPr>
              <w:ind w:firstLine="0" w:firstLineChars="0"/>
              <w:jc w:val="center"/>
              <w:rPr>
                <w:rFonts w:ascii="Times New Roman Regular" w:hAnsi="Times New Roman Regular" w:eastAsia="Times New Roman" w:cs="Times New Roman Regular"/>
              </w:rPr>
            </w:pPr>
            <w:r>
              <w:rPr>
                <w:rFonts w:ascii="Times New Roman Regular" w:hAnsi="Times New Roman Regular" w:eastAsia="Times New Roman" w:cs="Times New Roman Regular"/>
              </w:rPr>
              <w:t>1</w:t>
            </w:r>
          </w:p>
        </w:tc>
        <w:tc>
          <w:tcPr>
            <w:tcW w:w="1686" w:type="dxa"/>
            <w:vAlign w:val="center"/>
          </w:tcPr>
          <w:p w14:paraId="78B0B659">
            <w:pPr>
              <w:ind w:firstLine="0" w:firstLineChars="0"/>
              <w:jc w:val="center"/>
              <w:rPr>
                <w:rFonts w:ascii="Times New Roman Regular" w:hAnsi="Times New Roman Regular" w:eastAsia="Times New Roman" w:cs="Times New Roman Regular"/>
              </w:rPr>
            </w:pPr>
          </w:p>
        </w:tc>
        <w:tc>
          <w:tcPr>
            <w:tcW w:w="2149" w:type="dxa"/>
            <w:vAlign w:val="center"/>
          </w:tcPr>
          <w:p w14:paraId="77F20E54">
            <w:pPr>
              <w:ind w:firstLine="0" w:firstLineChars="0"/>
              <w:jc w:val="center"/>
              <w:rPr>
                <w:rFonts w:ascii="Times New Roman Regular" w:hAnsi="Times New Roman Regular" w:eastAsia="Times New Roman" w:cs="Times New Roman Regular"/>
              </w:rPr>
            </w:pPr>
          </w:p>
        </w:tc>
        <w:tc>
          <w:tcPr>
            <w:tcW w:w="1736" w:type="dxa"/>
            <w:vAlign w:val="center"/>
          </w:tcPr>
          <w:p w14:paraId="0C0BFAB5">
            <w:pPr>
              <w:ind w:firstLine="0" w:firstLineChars="0"/>
              <w:jc w:val="center"/>
              <w:rPr>
                <w:rFonts w:ascii="Times New Roman Regular" w:hAnsi="Times New Roman Regular" w:eastAsia="Times New Roman" w:cs="Times New Roman Regular"/>
              </w:rPr>
            </w:pPr>
          </w:p>
        </w:tc>
        <w:tc>
          <w:tcPr>
            <w:tcW w:w="2261" w:type="dxa"/>
            <w:vAlign w:val="center"/>
          </w:tcPr>
          <w:p w14:paraId="78B8842C">
            <w:pPr>
              <w:ind w:firstLine="0" w:firstLineChars="0"/>
              <w:jc w:val="center"/>
              <w:rPr>
                <w:rFonts w:ascii="Times New Roman Regular" w:hAnsi="Times New Roman Regular" w:eastAsia="Times New Roman" w:cs="Times New Roman Regular"/>
              </w:rPr>
            </w:pPr>
          </w:p>
        </w:tc>
      </w:tr>
      <w:tr w14:paraId="33574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7424EE97">
            <w:pPr>
              <w:ind w:firstLine="0" w:firstLineChars="0"/>
              <w:jc w:val="center"/>
              <w:rPr>
                <w:rFonts w:ascii="Times New Roman Regular" w:hAnsi="Times New Roman Regular" w:eastAsia="Times New Roman" w:cs="Times New Roman Regular"/>
              </w:rPr>
            </w:pPr>
            <w:r>
              <w:rPr>
                <w:rFonts w:ascii="Times New Roman Regular" w:hAnsi="Times New Roman Regular" w:eastAsia="Times New Roman" w:cs="Times New Roman Regular"/>
              </w:rPr>
              <w:t>2</w:t>
            </w:r>
          </w:p>
        </w:tc>
        <w:tc>
          <w:tcPr>
            <w:tcW w:w="1686" w:type="dxa"/>
            <w:vAlign w:val="center"/>
          </w:tcPr>
          <w:p w14:paraId="0A7310E9">
            <w:pPr>
              <w:ind w:firstLine="0" w:firstLineChars="0"/>
              <w:jc w:val="center"/>
              <w:rPr>
                <w:rFonts w:ascii="Times New Roman Regular" w:hAnsi="Times New Roman Regular" w:eastAsia="Times New Roman" w:cs="Times New Roman Regular"/>
              </w:rPr>
            </w:pPr>
          </w:p>
        </w:tc>
        <w:tc>
          <w:tcPr>
            <w:tcW w:w="2149" w:type="dxa"/>
            <w:vAlign w:val="center"/>
          </w:tcPr>
          <w:p w14:paraId="29FDCF7D">
            <w:pPr>
              <w:ind w:firstLine="0" w:firstLineChars="0"/>
              <w:jc w:val="center"/>
              <w:rPr>
                <w:rFonts w:ascii="Times New Roman Regular" w:hAnsi="Times New Roman Regular" w:eastAsia="Times New Roman" w:cs="Times New Roman Regular"/>
              </w:rPr>
            </w:pPr>
          </w:p>
        </w:tc>
        <w:tc>
          <w:tcPr>
            <w:tcW w:w="1736" w:type="dxa"/>
            <w:vAlign w:val="center"/>
          </w:tcPr>
          <w:p w14:paraId="2CF15D0A">
            <w:pPr>
              <w:ind w:firstLine="0" w:firstLineChars="0"/>
              <w:jc w:val="center"/>
              <w:rPr>
                <w:rFonts w:ascii="Times New Roman Regular" w:hAnsi="Times New Roman Regular" w:eastAsia="Times New Roman" w:cs="Times New Roman Regular"/>
              </w:rPr>
            </w:pPr>
          </w:p>
        </w:tc>
        <w:tc>
          <w:tcPr>
            <w:tcW w:w="2261" w:type="dxa"/>
            <w:vAlign w:val="center"/>
          </w:tcPr>
          <w:p w14:paraId="00D0DA96">
            <w:pPr>
              <w:ind w:firstLine="0" w:firstLineChars="0"/>
              <w:jc w:val="center"/>
              <w:rPr>
                <w:rFonts w:ascii="Times New Roman Regular" w:hAnsi="Times New Roman Regular" w:eastAsia="Times New Roman" w:cs="Times New Roman Regular"/>
              </w:rPr>
            </w:pPr>
          </w:p>
        </w:tc>
      </w:tr>
      <w:tr w14:paraId="0518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357EC0E7">
            <w:pPr>
              <w:ind w:firstLine="0" w:firstLineChars="0"/>
              <w:jc w:val="center"/>
              <w:rPr>
                <w:rFonts w:ascii="Times New Roman Regular" w:hAnsi="Times New Roman Regular" w:eastAsia="Times New Roman" w:cs="Times New Roman Regular"/>
              </w:rPr>
            </w:pPr>
            <w:r>
              <w:rPr>
                <w:rFonts w:ascii="Times New Roman Regular" w:hAnsi="Times New Roman Regular" w:eastAsia="Times New Roman" w:cs="Times New Roman Regular"/>
              </w:rPr>
              <w:t>3</w:t>
            </w:r>
          </w:p>
        </w:tc>
        <w:tc>
          <w:tcPr>
            <w:tcW w:w="1686" w:type="dxa"/>
            <w:vAlign w:val="center"/>
          </w:tcPr>
          <w:p w14:paraId="7010CC9F">
            <w:pPr>
              <w:ind w:firstLine="0" w:firstLineChars="0"/>
              <w:jc w:val="center"/>
              <w:rPr>
                <w:rFonts w:ascii="Times New Roman Regular" w:hAnsi="Times New Roman Regular" w:eastAsia="Times New Roman" w:cs="Times New Roman Regular"/>
              </w:rPr>
            </w:pPr>
          </w:p>
        </w:tc>
        <w:tc>
          <w:tcPr>
            <w:tcW w:w="2149" w:type="dxa"/>
            <w:vAlign w:val="center"/>
          </w:tcPr>
          <w:p w14:paraId="23CC29D9">
            <w:pPr>
              <w:ind w:firstLine="0" w:firstLineChars="0"/>
              <w:jc w:val="center"/>
              <w:rPr>
                <w:rFonts w:ascii="Times New Roman Regular" w:hAnsi="Times New Roman Regular" w:eastAsia="Times New Roman" w:cs="Times New Roman Regular"/>
              </w:rPr>
            </w:pPr>
          </w:p>
        </w:tc>
        <w:tc>
          <w:tcPr>
            <w:tcW w:w="1736" w:type="dxa"/>
            <w:vAlign w:val="center"/>
          </w:tcPr>
          <w:p w14:paraId="2EBE6668">
            <w:pPr>
              <w:ind w:firstLine="0" w:firstLineChars="0"/>
              <w:jc w:val="center"/>
              <w:rPr>
                <w:rFonts w:ascii="Times New Roman Regular" w:hAnsi="Times New Roman Regular" w:eastAsia="Times New Roman" w:cs="Times New Roman Regular"/>
              </w:rPr>
            </w:pPr>
          </w:p>
        </w:tc>
        <w:tc>
          <w:tcPr>
            <w:tcW w:w="2261" w:type="dxa"/>
            <w:vAlign w:val="center"/>
          </w:tcPr>
          <w:p w14:paraId="4AB5D46B">
            <w:pPr>
              <w:ind w:firstLine="0" w:firstLineChars="0"/>
              <w:jc w:val="center"/>
              <w:rPr>
                <w:rFonts w:ascii="Times New Roman Regular" w:hAnsi="Times New Roman Regular" w:eastAsia="Times New Roman" w:cs="Times New Roman Regular"/>
              </w:rPr>
            </w:pPr>
          </w:p>
        </w:tc>
      </w:tr>
    </w:tbl>
    <w:p w14:paraId="0C83A0D5">
      <w:pPr>
        <w:ind w:firstLine="0" w:firstLineChars="0"/>
        <w:rPr>
          <w:rFonts w:ascii="Times New Roman Regular" w:hAnsi="Times New Roman Regular" w:cs="Times New Roman Regular"/>
        </w:rPr>
      </w:pPr>
    </w:p>
    <w:sectPr>
      <w:headerReference r:id="rId12" w:type="first"/>
      <w:headerReference r:id="rId11" w:type="default"/>
      <w:footerReference r:id="rId13" w:type="default"/>
      <w:pgSz w:w="11906" w:h="16838"/>
      <w:pgMar w:top="1701" w:right="1701" w:bottom="1701" w:left="1701" w:header="851" w:footer="992" w:gutter="0"/>
      <w:pgNumType w:start="1"/>
      <w:cols w:space="0" w:num="1"/>
      <w:docGrid w:type="lines" w:linePitch="32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华文中宋">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0" w:usb3="00000000" w:csb0="00000001" w:csb1="00000000"/>
  </w:font>
  <w:font w:name="方正书宋简体">
    <w:altName w:val="宋体"/>
    <w:panose1 w:val="00000000000000000000"/>
    <w:charset w:val="86"/>
    <w:family w:val="auto"/>
    <w:pitch w:val="default"/>
    <w:sig w:usb0="00000000" w:usb1="00000000" w:usb2="00000010" w:usb3="00000000" w:csb0="00040000" w:csb1="00000000"/>
  </w:font>
  <w:font w:name="Times New Roman Regular">
    <w:altName w:val="Times New Roman"/>
    <w:panose1 w:val="00000000000000000000"/>
    <w:charset w:val="00"/>
    <w:family w:val="auto"/>
    <w:pitch w:val="default"/>
    <w:sig w:usb0="00000000" w:usb1="00000000" w:usb2="00000001" w:usb3="00000000" w:csb0="400001BF" w:csb1="DFF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EA46D">
    <w:pPr>
      <w:pStyle w:val="19"/>
      <w:spacing w:before="120" w:after="1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1E257">
    <w:pPr>
      <w:pStyle w:val="19"/>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50CA8">
    <w:pPr>
      <w:pStyle w:val="19"/>
      <w:spacing w:before="120" w:after="1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DAE16">
    <w:pPr>
      <w:pStyle w:val="19"/>
      <w:ind w:firstLine="360"/>
      <w:jc w:val="center"/>
    </w:pPr>
    <w:r>
      <w:fldChar w:fldCharType="begin"/>
    </w:r>
    <w:r>
      <w:instrText xml:space="preserve"> PAGE   \* MERGEFORMAT </w:instrText>
    </w:r>
    <w:r>
      <w:fldChar w:fldCharType="separate"/>
    </w:r>
    <w:r>
      <w:rPr>
        <w:lang w:val="zh-CN"/>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5D462">
    <w:pPr>
      <w:pStyle w:val="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3E237">
    <w:pPr>
      <w:pStyle w:val="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800A6">
    <w:pPr>
      <w:pStyle w:val="20"/>
      <w:pBdr>
        <w:bottom w:val="single" w:color="auto" w:sz="4" w:space="1"/>
      </w:pBdr>
      <w:ind w:firstLine="360"/>
      <w:jc w:val="both"/>
      <w:rPr>
        <w:rFonts w:ascii="Arial" w:hAnsi="Arial"/>
      </w:rPr>
    </w:pPr>
    <w:r>
      <w:rPr>
        <w:rFonts w:hint="eastAsia" w:ascii="Arial" w:hAnsi="Arial"/>
      </w:rPr>
      <w:t>技术规范书1</w:t>
    </w:r>
  </w:p>
  <w:p w14:paraId="45F08242">
    <w:pPr>
      <w:pStyle w:val="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83D14">
    <w:pPr>
      <w:pStyle w:val="20"/>
      <w:pBdr>
        <w:bottom w:val="none" w:color="auto" w:sz="0" w:space="0"/>
      </w:pBdr>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EB8E6">
    <w:pPr>
      <w:pStyle w:val="20"/>
      <w:pBdr>
        <w:bottom w:val="single" w:color="auto" w:sz="4" w:space="1"/>
      </w:pBdr>
      <w:ind w:firstLine="360"/>
      <w:jc w:val="both"/>
      <w:rPr>
        <w:rFonts w:ascii="Arial" w:hAnsi="Arial"/>
      </w:rPr>
    </w:pPr>
    <w:r>
      <w:rPr>
        <w:rFonts w:hint="eastAsia" w:ascii="Arial" w:hAnsi="Arial"/>
      </w:rPr>
      <w:t>技术规范书1</w:t>
    </w:r>
  </w:p>
  <w:p w14:paraId="57ABEED5">
    <w:pPr>
      <w:pStyle w:val="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AF2D82"/>
    <w:multiLevelType w:val="singleLevel"/>
    <w:tmpl w:val="88AF2D82"/>
    <w:lvl w:ilvl="0" w:tentative="0">
      <w:start w:val="1"/>
      <w:numFmt w:val="lowerLetter"/>
      <w:suff w:val="nothing"/>
      <w:lvlText w:val="%1）"/>
      <w:lvlJc w:val="left"/>
      <w:pPr>
        <w:ind w:left="0" w:firstLine="480"/>
      </w:pPr>
      <w:rPr>
        <w:rFonts w:hint="default"/>
      </w:rPr>
    </w:lvl>
  </w:abstractNum>
  <w:abstractNum w:abstractNumId="1">
    <w:nsid w:val="AB19AC27"/>
    <w:multiLevelType w:val="singleLevel"/>
    <w:tmpl w:val="AB19AC27"/>
    <w:lvl w:ilvl="0" w:tentative="0">
      <w:start w:val="1"/>
      <w:numFmt w:val="lowerLetter"/>
      <w:suff w:val="nothing"/>
      <w:lvlText w:val="%1）"/>
      <w:lvlJc w:val="left"/>
      <w:pPr>
        <w:ind w:left="0" w:firstLine="480"/>
      </w:pPr>
      <w:rPr>
        <w:rFonts w:hint="default"/>
      </w:rPr>
    </w:lvl>
  </w:abstractNum>
  <w:abstractNum w:abstractNumId="2">
    <w:nsid w:val="ADB9CDCA"/>
    <w:multiLevelType w:val="singleLevel"/>
    <w:tmpl w:val="ADB9CDCA"/>
    <w:lvl w:ilvl="0" w:tentative="0">
      <w:start w:val="1"/>
      <w:numFmt w:val="lowerLetter"/>
      <w:suff w:val="nothing"/>
      <w:lvlText w:val="%1）"/>
      <w:lvlJc w:val="left"/>
      <w:pPr>
        <w:ind w:left="0" w:firstLine="480"/>
      </w:pPr>
      <w:rPr>
        <w:rFonts w:hint="default"/>
      </w:rPr>
    </w:lvl>
  </w:abstractNum>
  <w:abstractNum w:abstractNumId="3">
    <w:nsid w:val="C268D367"/>
    <w:multiLevelType w:val="singleLevel"/>
    <w:tmpl w:val="C268D367"/>
    <w:lvl w:ilvl="0" w:tentative="0">
      <w:start w:val="1"/>
      <w:numFmt w:val="lowerLetter"/>
      <w:suff w:val="nothing"/>
      <w:lvlText w:val="%1）"/>
      <w:lvlJc w:val="left"/>
      <w:pPr>
        <w:ind w:left="0" w:firstLine="480"/>
      </w:pPr>
      <w:rPr>
        <w:rFonts w:hint="default"/>
      </w:rPr>
    </w:lvl>
  </w:abstractNum>
  <w:abstractNum w:abstractNumId="4">
    <w:nsid w:val="F7B7CDB5"/>
    <w:multiLevelType w:val="singleLevel"/>
    <w:tmpl w:val="F7B7CDB5"/>
    <w:lvl w:ilvl="0" w:tentative="0">
      <w:start w:val="1"/>
      <w:numFmt w:val="lowerLetter"/>
      <w:suff w:val="nothing"/>
      <w:lvlText w:val="%1）"/>
      <w:lvlJc w:val="left"/>
      <w:pPr>
        <w:ind w:left="0" w:firstLine="480"/>
      </w:pPr>
      <w:rPr>
        <w:rFonts w:hint="default"/>
      </w:rPr>
    </w:lvl>
  </w:abstractNum>
  <w:abstractNum w:abstractNumId="5">
    <w:nsid w:val="12D2D7B2"/>
    <w:multiLevelType w:val="singleLevel"/>
    <w:tmpl w:val="12D2D7B2"/>
    <w:lvl w:ilvl="0" w:tentative="0">
      <w:start w:val="1"/>
      <w:numFmt w:val="lowerLetter"/>
      <w:suff w:val="nothing"/>
      <w:lvlText w:val="%1）"/>
      <w:lvlJc w:val="left"/>
      <w:pPr>
        <w:ind w:left="0" w:firstLine="480"/>
      </w:pPr>
      <w:rPr>
        <w:rFonts w:hint="default"/>
      </w:rPr>
    </w:lvl>
  </w:abstractNum>
  <w:abstractNum w:abstractNumId="6">
    <w:nsid w:val="24F2739E"/>
    <w:multiLevelType w:val="singleLevel"/>
    <w:tmpl w:val="24F2739E"/>
    <w:lvl w:ilvl="0" w:tentative="0">
      <w:start w:val="1"/>
      <w:numFmt w:val="lowerLetter"/>
      <w:suff w:val="nothing"/>
      <w:lvlText w:val="%1）"/>
      <w:lvlJc w:val="left"/>
      <w:pPr>
        <w:ind w:left="0" w:firstLine="480"/>
      </w:pPr>
      <w:rPr>
        <w:rFonts w:hint="default"/>
      </w:rPr>
    </w:lvl>
  </w:abstractNum>
  <w:abstractNum w:abstractNumId="7">
    <w:nsid w:val="325CB467"/>
    <w:multiLevelType w:val="singleLevel"/>
    <w:tmpl w:val="325CB467"/>
    <w:lvl w:ilvl="0" w:tentative="0">
      <w:start w:val="1"/>
      <w:numFmt w:val="lowerLetter"/>
      <w:suff w:val="nothing"/>
      <w:lvlText w:val="%1）"/>
      <w:lvlJc w:val="left"/>
      <w:pPr>
        <w:ind w:left="0" w:firstLine="480"/>
      </w:pPr>
      <w:rPr>
        <w:rFonts w:hint="default"/>
      </w:rPr>
    </w:lvl>
  </w:abstractNum>
  <w:abstractNum w:abstractNumId="8">
    <w:nsid w:val="39DE46F7"/>
    <w:multiLevelType w:val="multilevel"/>
    <w:tmpl w:val="39DE46F7"/>
    <w:lvl w:ilvl="0" w:tentative="0">
      <w:start w:val="1"/>
      <w:numFmt w:val="decimal"/>
      <w:pStyle w:val="3"/>
      <w:suff w:val="space"/>
      <w:lvlText w:val="%1."/>
      <w:lvlJc w:val="left"/>
      <w:pPr>
        <w:ind w:left="0" w:firstLine="0"/>
      </w:pPr>
      <w:rPr>
        <w:rFonts w:hint="default" w:ascii="宋体" w:hAnsi="宋体" w:eastAsia="宋体"/>
        <w:b/>
        <w:bCs/>
        <w:sz w:val="32"/>
        <w:szCs w:val="32"/>
      </w:rPr>
    </w:lvl>
    <w:lvl w:ilvl="1" w:tentative="0">
      <w:start w:val="1"/>
      <w:numFmt w:val="decimal"/>
      <w:pStyle w:val="4"/>
      <w:suff w:val="space"/>
      <w:lvlText w:val="%1.%2"/>
      <w:lvlJc w:val="left"/>
      <w:pPr>
        <w:ind w:left="426" w:firstLine="0"/>
      </w:pPr>
      <w:rPr>
        <w:rFonts w:hint="default" w:ascii="宋体" w:hAnsi="宋体" w:eastAsia="宋体"/>
        <w:b w:val="0"/>
        <w:bCs w:val="0"/>
        <w:sz w:val="30"/>
        <w:szCs w:val="30"/>
      </w:rPr>
    </w:lvl>
    <w:lvl w:ilvl="2" w:tentative="0">
      <w:start w:val="1"/>
      <w:numFmt w:val="decimal"/>
      <w:pStyle w:val="5"/>
      <w:suff w:val="space"/>
      <w:lvlText w:val="%1.%2.%3"/>
      <w:lvlJc w:val="left"/>
      <w:pPr>
        <w:ind w:left="0" w:firstLine="0"/>
      </w:pPr>
      <w:rPr>
        <w:rFonts w:hint="eastAsia" w:ascii="宋体" w:hAnsi="宋体" w:eastAsia="宋体"/>
      </w:rPr>
    </w:lvl>
    <w:lvl w:ilvl="3" w:tentative="0">
      <w:start w:val="1"/>
      <w:numFmt w:val="decimal"/>
      <w:lvlText w:val="5.7.%4"/>
      <w:lvlJc w:val="left"/>
      <w:pPr>
        <w:ind w:left="0" w:firstLine="0"/>
      </w:pPr>
      <w:rPr>
        <w:rFonts w:hint="eastAsia" w:ascii="宋体" w:hAnsi="宋体" w:eastAsia="宋体"/>
      </w:rPr>
    </w:lvl>
    <w:lvl w:ilvl="4" w:tentative="0">
      <w:start w:val="1"/>
      <w:numFmt w:val="decimal"/>
      <w:pStyle w:val="7"/>
      <w:suff w:val="space"/>
      <w:lvlText w:val="%1.%2.%3.%4.%5"/>
      <w:lvlJc w:val="left"/>
      <w:pPr>
        <w:ind w:left="0" w:firstLine="0"/>
      </w:pPr>
      <w:rPr>
        <w:rFonts w:hint="eastAsia"/>
      </w:rPr>
    </w:lvl>
    <w:lvl w:ilvl="5" w:tentative="0">
      <w:start w:val="1"/>
      <w:numFmt w:val="decimal"/>
      <w:pStyle w:val="8"/>
      <w:suff w:val="space"/>
      <w:lvlText w:val="%1.%2.%3.%4.%5.%6"/>
      <w:lvlJc w:val="left"/>
      <w:pPr>
        <w:ind w:left="0" w:firstLine="0"/>
      </w:pPr>
      <w:rPr>
        <w:rFonts w:hint="eastAsia"/>
      </w:rPr>
    </w:lvl>
    <w:lvl w:ilvl="6" w:tentative="0">
      <w:start w:val="1"/>
      <w:numFmt w:val="decimal"/>
      <w:pStyle w:val="9"/>
      <w:suff w:val="space"/>
      <w:lvlText w:val="%1.%2.%3.%4.%5.%6.%7"/>
      <w:lvlJc w:val="left"/>
      <w:pPr>
        <w:ind w:left="0" w:firstLine="0"/>
      </w:pPr>
      <w:rPr>
        <w:rFonts w:hint="eastAsia"/>
      </w:rPr>
    </w:lvl>
    <w:lvl w:ilvl="7" w:tentative="0">
      <w:start w:val="1"/>
      <w:numFmt w:val="decimal"/>
      <w:pStyle w:val="10"/>
      <w:suff w:val="space"/>
      <w:lvlText w:val="%1.%2.%3.%4.%5.%6.%7.%8"/>
      <w:lvlJc w:val="left"/>
      <w:pPr>
        <w:ind w:left="0" w:firstLine="0"/>
      </w:pPr>
      <w:rPr>
        <w:rFonts w:hint="eastAsia"/>
      </w:rPr>
    </w:lvl>
    <w:lvl w:ilvl="8" w:tentative="0">
      <w:start w:val="1"/>
      <w:numFmt w:val="decimal"/>
      <w:pStyle w:val="11"/>
      <w:suff w:val="space"/>
      <w:lvlText w:val="%1.%2.%3.%4.%5.%6.%7.%8.%9"/>
      <w:lvlJc w:val="left"/>
      <w:pPr>
        <w:ind w:left="0" w:firstLine="0"/>
      </w:pPr>
      <w:rPr>
        <w:rFonts w:hint="eastAsia"/>
      </w:rPr>
    </w:lvl>
  </w:abstractNum>
  <w:abstractNum w:abstractNumId="9">
    <w:nsid w:val="5D1AC6B5"/>
    <w:multiLevelType w:val="singleLevel"/>
    <w:tmpl w:val="5D1AC6B5"/>
    <w:lvl w:ilvl="0" w:tentative="0">
      <w:start w:val="1"/>
      <w:numFmt w:val="lowerLetter"/>
      <w:suff w:val="nothing"/>
      <w:lvlText w:val="%1）"/>
      <w:lvlJc w:val="left"/>
      <w:pPr>
        <w:ind w:left="0" w:firstLine="480"/>
      </w:pPr>
      <w:rPr>
        <w:rFonts w:hint="default"/>
      </w:rPr>
    </w:lvl>
  </w:abstractNum>
  <w:abstractNum w:abstractNumId="10">
    <w:nsid w:val="65A120F6"/>
    <w:multiLevelType w:val="singleLevel"/>
    <w:tmpl w:val="65A120F6"/>
    <w:lvl w:ilvl="0" w:tentative="0">
      <w:start w:val="1"/>
      <w:numFmt w:val="lowerLetter"/>
      <w:suff w:val="nothing"/>
      <w:lvlText w:val="%1）"/>
      <w:lvlJc w:val="left"/>
      <w:pPr>
        <w:ind w:left="0" w:firstLine="480"/>
      </w:pPr>
      <w:rPr>
        <w:rFonts w:hint="default"/>
      </w:rPr>
    </w:lvl>
  </w:abstractNum>
  <w:num w:numId="1">
    <w:abstractNumId w:val="8"/>
  </w:num>
  <w:num w:numId="2">
    <w:abstractNumId w:val="0"/>
  </w:num>
  <w:num w:numId="3">
    <w:abstractNumId w:val="1"/>
  </w:num>
  <w:num w:numId="4">
    <w:abstractNumId w:val="10"/>
  </w:num>
  <w:num w:numId="5">
    <w:abstractNumId w:val="6"/>
  </w:num>
  <w:num w:numId="6">
    <w:abstractNumId w:val="7"/>
  </w:num>
  <w:num w:numId="7">
    <w:abstractNumId w:val="5"/>
  </w:num>
  <w:num w:numId="8">
    <w:abstractNumId w:val="3"/>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1"/>
  <w:bordersDoNotSurroundFooter w:val="1"/>
  <w:documentProtection w:enforcement="0"/>
  <w:defaultTabStop w:val="420"/>
  <w:drawingGridVerticalSpacing w:val="164"/>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xNWZkNmRlZTgyN2VjMzQxZTgwMWJmNzAxYzhhNzIifQ=="/>
  </w:docVars>
  <w:rsids>
    <w:rsidRoot w:val="007801F1"/>
    <w:rsid w:val="000B13B3"/>
    <w:rsid w:val="000C03EA"/>
    <w:rsid w:val="000D0568"/>
    <w:rsid w:val="0010235A"/>
    <w:rsid w:val="0011550D"/>
    <w:rsid w:val="00187D29"/>
    <w:rsid w:val="00203FD3"/>
    <w:rsid w:val="00220084"/>
    <w:rsid w:val="00240DC3"/>
    <w:rsid w:val="002412E2"/>
    <w:rsid w:val="0024491C"/>
    <w:rsid w:val="00262B33"/>
    <w:rsid w:val="00274355"/>
    <w:rsid w:val="00284086"/>
    <w:rsid w:val="002B2C92"/>
    <w:rsid w:val="00341CAB"/>
    <w:rsid w:val="003833A7"/>
    <w:rsid w:val="003973BE"/>
    <w:rsid w:val="003E6ED5"/>
    <w:rsid w:val="00424E0F"/>
    <w:rsid w:val="00484A38"/>
    <w:rsid w:val="004B005A"/>
    <w:rsid w:val="004B1D67"/>
    <w:rsid w:val="004E1FD6"/>
    <w:rsid w:val="00504F57"/>
    <w:rsid w:val="005078B1"/>
    <w:rsid w:val="00517675"/>
    <w:rsid w:val="00520B2B"/>
    <w:rsid w:val="00520E8F"/>
    <w:rsid w:val="0052469E"/>
    <w:rsid w:val="00560E9F"/>
    <w:rsid w:val="005722DC"/>
    <w:rsid w:val="00597026"/>
    <w:rsid w:val="005A6F28"/>
    <w:rsid w:val="005B3E46"/>
    <w:rsid w:val="005D3C96"/>
    <w:rsid w:val="005F4DBE"/>
    <w:rsid w:val="00653881"/>
    <w:rsid w:val="00692D74"/>
    <w:rsid w:val="006A20C0"/>
    <w:rsid w:val="006B1CA0"/>
    <w:rsid w:val="00711FB5"/>
    <w:rsid w:val="00712204"/>
    <w:rsid w:val="00712BD1"/>
    <w:rsid w:val="007161BA"/>
    <w:rsid w:val="0072585D"/>
    <w:rsid w:val="0074159C"/>
    <w:rsid w:val="00767A03"/>
    <w:rsid w:val="00780182"/>
    <w:rsid w:val="007801F1"/>
    <w:rsid w:val="0078654F"/>
    <w:rsid w:val="007C794F"/>
    <w:rsid w:val="007F3AA6"/>
    <w:rsid w:val="007F6204"/>
    <w:rsid w:val="0082730B"/>
    <w:rsid w:val="00840156"/>
    <w:rsid w:val="00853BD1"/>
    <w:rsid w:val="008918AA"/>
    <w:rsid w:val="008D1541"/>
    <w:rsid w:val="008D70BC"/>
    <w:rsid w:val="008E453A"/>
    <w:rsid w:val="00916614"/>
    <w:rsid w:val="0092286E"/>
    <w:rsid w:val="00953917"/>
    <w:rsid w:val="00976C3D"/>
    <w:rsid w:val="009C2FDA"/>
    <w:rsid w:val="00A23EE0"/>
    <w:rsid w:val="00A55135"/>
    <w:rsid w:val="00A83123"/>
    <w:rsid w:val="00A95D16"/>
    <w:rsid w:val="00AE67CC"/>
    <w:rsid w:val="00B60ED5"/>
    <w:rsid w:val="00B83507"/>
    <w:rsid w:val="00BB5582"/>
    <w:rsid w:val="00BF3140"/>
    <w:rsid w:val="00C01E6F"/>
    <w:rsid w:val="00C23A43"/>
    <w:rsid w:val="00C63EEF"/>
    <w:rsid w:val="00C818D6"/>
    <w:rsid w:val="00C928EA"/>
    <w:rsid w:val="00C92FA0"/>
    <w:rsid w:val="00CA79BE"/>
    <w:rsid w:val="00CB7AC4"/>
    <w:rsid w:val="00CD596D"/>
    <w:rsid w:val="00CE7EBB"/>
    <w:rsid w:val="00D1219D"/>
    <w:rsid w:val="00D30CEE"/>
    <w:rsid w:val="00D8228C"/>
    <w:rsid w:val="00DA2AB1"/>
    <w:rsid w:val="00DB6FB4"/>
    <w:rsid w:val="00E24B02"/>
    <w:rsid w:val="00E25732"/>
    <w:rsid w:val="00E45167"/>
    <w:rsid w:val="00E91B73"/>
    <w:rsid w:val="00ED59A9"/>
    <w:rsid w:val="00F108CE"/>
    <w:rsid w:val="00F17212"/>
    <w:rsid w:val="00F31B90"/>
    <w:rsid w:val="00F36E48"/>
    <w:rsid w:val="00F9794F"/>
    <w:rsid w:val="00FA0D9A"/>
    <w:rsid w:val="00FB65FE"/>
    <w:rsid w:val="00FC0DC8"/>
    <w:rsid w:val="00FF524F"/>
    <w:rsid w:val="01053BC4"/>
    <w:rsid w:val="01583748"/>
    <w:rsid w:val="022973F5"/>
    <w:rsid w:val="023F7297"/>
    <w:rsid w:val="024C0BEF"/>
    <w:rsid w:val="02B01361"/>
    <w:rsid w:val="02B26E88"/>
    <w:rsid w:val="02CA0446"/>
    <w:rsid w:val="03494943"/>
    <w:rsid w:val="04860C2A"/>
    <w:rsid w:val="04B256A2"/>
    <w:rsid w:val="0576698A"/>
    <w:rsid w:val="05773987"/>
    <w:rsid w:val="05793F8E"/>
    <w:rsid w:val="059C2C3C"/>
    <w:rsid w:val="05DD2639"/>
    <w:rsid w:val="06011DF0"/>
    <w:rsid w:val="064424ED"/>
    <w:rsid w:val="068F6ECC"/>
    <w:rsid w:val="06B01105"/>
    <w:rsid w:val="06E573E1"/>
    <w:rsid w:val="0752649F"/>
    <w:rsid w:val="076444C8"/>
    <w:rsid w:val="07D478A0"/>
    <w:rsid w:val="087D5842"/>
    <w:rsid w:val="08843294"/>
    <w:rsid w:val="08C4070A"/>
    <w:rsid w:val="08F34906"/>
    <w:rsid w:val="0935770C"/>
    <w:rsid w:val="098C3863"/>
    <w:rsid w:val="09982272"/>
    <w:rsid w:val="099C2DD2"/>
    <w:rsid w:val="099E62D5"/>
    <w:rsid w:val="09DC47EA"/>
    <w:rsid w:val="09E15AC5"/>
    <w:rsid w:val="0A075D0B"/>
    <w:rsid w:val="0A0E6D42"/>
    <w:rsid w:val="0ABC7CF1"/>
    <w:rsid w:val="0AFD7516"/>
    <w:rsid w:val="0B184D76"/>
    <w:rsid w:val="0B49351F"/>
    <w:rsid w:val="0B770BF7"/>
    <w:rsid w:val="0BE626C1"/>
    <w:rsid w:val="0C136E39"/>
    <w:rsid w:val="0C4574AD"/>
    <w:rsid w:val="0C970E9C"/>
    <w:rsid w:val="0CAF3698"/>
    <w:rsid w:val="0D0E1EFA"/>
    <w:rsid w:val="0D110C4F"/>
    <w:rsid w:val="0D4124CD"/>
    <w:rsid w:val="0D704446"/>
    <w:rsid w:val="0D7B2CED"/>
    <w:rsid w:val="0E016F15"/>
    <w:rsid w:val="0E8874C0"/>
    <w:rsid w:val="0EF425D6"/>
    <w:rsid w:val="0F7A1BFC"/>
    <w:rsid w:val="0F84639E"/>
    <w:rsid w:val="0F962F0B"/>
    <w:rsid w:val="0FB46A5F"/>
    <w:rsid w:val="0FCD33A4"/>
    <w:rsid w:val="0FF0156F"/>
    <w:rsid w:val="10022AD1"/>
    <w:rsid w:val="10144D8D"/>
    <w:rsid w:val="101D675E"/>
    <w:rsid w:val="102D2243"/>
    <w:rsid w:val="10770C50"/>
    <w:rsid w:val="10A02655"/>
    <w:rsid w:val="10D418CD"/>
    <w:rsid w:val="10ED6562"/>
    <w:rsid w:val="10FC71E9"/>
    <w:rsid w:val="1125437A"/>
    <w:rsid w:val="11755C50"/>
    <w:rsid w:val="11845E93"/>
    <w:rsid w:val="12635AA8"/>
    <w:rsid w:val="128C3A75"/>
    <w:rsid w:val="129D4699"/>
    <w:rsid w:val="132E0705"/>
    <w:rsid w:val="138415D4"/>
    <w:rsid w:val="13A02EA3"/>
    <w:rsid w:val="13E741E5"/>
    <w:rsid w:val="143E0542"/>
    <w:rsid w:val="14631EB2"/>
    <w:rsid w:val="149A59CD"/>
    <w:rsid w:val="15047114"/>
    <w:rsid w:val="15086DDB"/>
    <w:rsid w:val="15111B9F"/>
    <w:rsid w:val="158C3A67"/>
    <w:rsid w:val="158E4C0A"/>
    <w:rsid w:val="15BB3E4D"/>
    <w:rsid w:val="15EC6408"/>
    <w:rsid w:val="15FE51B5"/>
    <w:rsid w:val="1714699E"/>
    <w:rsid w:val="171E28E6"/>
    <w:rsid w:val="174B1B8D"/>
    <w:rsid w:val="174C6825"/>
    <w:rsid w:val="17835BB7"/>
    <w:rsid w:val="17A62799"/>
    <w:rsid w:val="17F51899"/>
    <w:rsid w:val="185D1307"/>
    <w:rsid w:val="18925E90"/>
    <w:rsid w:val="19CF036F"/>
    <w:rsid w:val="19D54895"/>
    <w:rsid w:val="19DD0836"/>
    <w:rsid w:val="1B083691"/>
    <w:rsid w:val="1BAA299A"/>
    <w:rsid w:val="1BB41D14"/>
    <w:rsid w:val="1CA3450A"/>
    <w:rsid w:val="1D24677C"/>
    <w:rsid w:val="1D7B7082"/>
    <w:rsid w:val="1D99379D"/>
    <w:rsid w:val="1DBE0159"/>
    <w:rsid w:val="1DF35130"/>
    <w:rsid w:val="1DF84B04"/>
    <w:rsid w:val="1E600F50"/>
    <w:rsid w:val="1ED146BC"/>
    <w:rsid w:val="1F60262B"/>
    <w:rsid w:val="1F7C77BE"/>
    <w:rsid w:val="1F806081"/>
    <w:rsid w:val="1F8958A2"/>
    <w:rsid w:val="1F9135CD"/>
    <w:rsid w:val="1FFA3414"/>
    <w:rsid w:val="20361E67"/>
    <w:rsid w:val="20465DFE"/>
    <w:rsid w:val="20723EAA"/>
    <w:rsid w:val="20AA6F98"/>
    <w:rsid w:val="20F879A7"/>
    <w:rsid w:val="217514B4"/>
    <w:rsid w:val="22356D36"/>
    <w:rsid w:val="224C6559"/>
    <w:rsid w:val="225418B2"/>
    <w:rsid w:val="22577E65"/>
    <w:rsid w:val="22655F27"/>
    <w:rsid w:val="22C9222A"/>
    <w:rsid w:val="23503E27"/>
    <w:rsid w:val="236C49D9"/>
    <w:rsid w:val="237A03AC"/>
    <w:rsid w:val="23CA201F"/>
    <w:rsid w:val="23EE4181"/>
    <w:rsid w:val="241B432A"/>
    <w:rsid w:val="246A1E5B"/>
    <w:rsid w:val="24B42C46"/>
    <w:rsid w:val="25330F95"/>
    <w:rsid w:val="25393784"/>
    <w:rsid w:val="25514B38"/>
    <w:rsid w:val="255B46D8"/>
    <w:rsid w:val="2561056D"/>
    <w:rsid w:val="256C0CC0"/>
    <w:rsid w:val="2634270E"/>
    <w:rsid w:val="26372DC2"/>
    <w:rsid w:val="26655E3B"/>
    <w:rsid w:val="266D6A9E"/>
    <w:rsid w:val="26CA0578"/>
    <w:rsid w:val="26E916E5"/>
    <w:rsid w:val="27045F16"/>
    <w:rsid w:val="27581AE7"/>
    <w:rsid w:val="279A6720"/>
    <w:rsid w:val="27A0588D"/>
    <w:rsid w:val="27D300D6"/>
    <w:rsid w:val="27D84265"/>
    <w:rsid w:val="27EB2370"/>
    <w:rsid w:val="27FD20A3"/>
    <w:rsid w:val="28355CE1"/>
    <w:rsid w:val="28BB61E6"/>
    <w:rsid w:val="290E36B0"/>
    <w:rsid w:val="2928758D"/>
    <w:rsid w:val="29424AA9"/>
    <w:rsid w:val="29431506"/>
    <w:rsid w:val="29634188"/>
    <w:rsid w:val="297C259A"/>
    <w:rsid w:val="298D3D93"/>
    <w:rsid w:val="2A1B4A63"/>
    <w:rsid w:val="2A2F6A28"/>
    <w:rsid w:val="2A897858"/>
    <w:rsid w:val="2AC11AAE"/>
    <w:rsid w:val="2B947FFA"/>
    <w:rsid w:val="2BAD0090"/>
    <w:rsid w:val="2BE84E27"/>
    <w:rsid w:val="2C0A20B3"/>
    <w:rsid w:val="2CBC1982"/>
    <w:rsid w:val="2D1904A6"/>
    <w:rsid w:val="2D272324"/>
    <w:rsid w:val="2D404F0C"/>
    <w:rsid w:val="2D510F65"/>
    <w:rsid w:val="2D5531EF"/>
    <w:rsid w:val="2D6E772C"/>
    <w:rsid w:val="2D8748E9"/>
    <w:rsid w:val="2D915768"/>
    <w:rsid w:val="2DC61BAB"/>
    <w:rsid w:val="2E607C32"/>
    <w:rsid w:val="2E9F433F"/>
    <w:rsid w:val="2EA13B4E"/>
    <w:rsid w:val="2EEF67DC"/>
    <w:rsid w:val="2F063CD8"/>
    <w:rsid w:val="2F191016"/>
    <w:rsid w:val="2F94153F"/>
    <w:rsid w:val="2FD379E0"/>
    <w:rsid w:val="307B0CE6"/>
    <w:rsid w:val="30987947"/>
    <w:rsid w:val="30AE6DA3"/>
    <w:rsid w:val="30D00355"/>
    <w:rsid w:val="30DF67EA"/>
    <w:rsid w:val="30E303F7"/>
    <w:rsid w:val="312608BD"/>
    <w:rsid w:val="3126323A"/>
    <w:rsid w:val="31857103"/>
    <w:rsid w:val="31A620A2"/>
    <w:rsid w:val="323F5A7D"/>
    <w:rsid w:val="32463F48"/>
    <w:rsid w:val="32E12CEE"/>
    <w:rsid w:val="32F160A7"/>
    <w:rsid w:val="3392337C"/>
    <w:rsid w:val="341E5EA8"/>
    <w:rsid w:val="347706F2"/>
    <w:rsid w:val="354876B3"/>
    <w:rsid w:val="35977693"/>
    <w:rsid w:val="35D24B6F"/>
    <w:rsid w:val="366F7402"/>
    <w:rsid w:val="36AD1B9B"/>
    <w:rsid w:val="373A4BE4"/>
    <w:rsid w:val="373F65DE"/>
    <w:rsid w:val="37603D39"/>
    <w:rsid w:val="376E6B1A"/>
    <w:rsid w:val="37C308B0"/>
    <w:rsid w:val="382C63AB"/>
    <w:rsid w:val="390C65EA"/>
    <w:rsid w:val="390E5F29"/>
    <w:rsid w:val="392C4FA0"/>
    <w:rsid w:val="394051F8"/>
    <w:rsid w:val="39640CC6"/>
    <w:rsid w:val="39CB7E92"/>
    <w:rsid w:val="3A2434F2"/>
    <w:rsid w:val="3AA008BD"/>
    <w:rsid w:val="3AA664BB"/>
    <w:rsid w:val="3AA82343"/>
    <w:rsid w:val="3AC3717D"/>
    <w:rsid w:val="3B7A6881"/>
    <w:rsid w:val="3BDF1009"/>
    <w:rsid w:val="3C211AA9"/>
    <w:rsid w:val="3C2957EE"/>
    <w:rsid w:val="3C3060F4"/>
    <w:rsid w:val="3C70525F"/>
    <w:rsid w:val="3CB054DF"/>
    <w:rsid w:val="3D391AF9"/>
    <w:rsid w:val="3D647920"/>
    <w:rsid w:val="3D7F382F"/>
    <w:rsid w:val="3DE95113"/>
    <w:rsid w:val="3FAC2CFA"/>
    <w:rsid w:val="3FB8763B"/>
    <w:rsid w:val="4001677D"/>
    <w:rsid w:val="409770CA"/>
    <w:rsid w:val="40D101AE"/>
    <w:rsid w:val="40D34160"/>
    <w:rsid w:val="41285F8B"/>
    <w:rsid w:val="412A3AB2"/>
    <w:rsid w:val="414C5D3F"/>
    <w:rsid w:val="416F5968"/>
    <w:rsid w:val="41CC6917"/>
    <w:rsid w:val="42CF30C5"/>
    <w:rsid w:val="42ED13DD"/>
    <w:rsid w:val="43492638"/>
    <w:rsid w:val="4392796C"/>
    <w:rsid w:val="43B3461E"/>
    <w:rsid w:val="43E639B5"/>
    <w:rsid w:val="44236FB8"/>
    <w:rsid w:val="4431722A"/>
    <w:rsid w:val="44E04490"/>
    <w:rsid w:val="45955CAE"/>
    <w:rsid w:val="45B36C6E"/>
    <w:rsid w:val="45CC5EFD"/>
    <w:rsid w:val="473A4323"/>
    <w:rsid w:val="478153A2"/>
    <w:rsid w:val="484D6C68"/>
    <w:rsid w:val="48E5152E"/>
    <w:rsid w:val="49AC7518"/>
    <w:rsid w:val="49C30E4D"/>
    <w:rsid w:val="4A256B30"/>
    <w:rsid w:val="4ADF590D"/>
    <w:rsid w:val="4B15522B"/>
    <w:rsid w:val="4B3F3C86"/>
    <w:rsid w:val="4B6F13A9"/>
    <w:rsid w:val="4C1550E2"/>
    <w:rsid w:val="4C5F6D40"/>
    <w:rsid w:val="4C7622A1"/>
    <w:rsid w:val="4C8F6EBF"/>
    <w:rsid w:val="4CBE7C6C"/>
    <w:rsid w:val="4D1D271C"/>
    <w:rsid w:val="4D547B6C"/>
    <w:rsid w:val="4D784521"/>
    <w:rsid w:val="4D7E3958"/>
    <w:rsid w:val="4DCE7A54"/>
    <w:rsid w:val="4E2629E6"/>
    <w:rsid w:val="4EA14E11"/>
    <w:rsid w:val="4EED32EE"/>
    <w:rsid w:val="4F2C4E99"/>
    <w:rsid w:val="4F4D02DA"/>
    <w:rsid w:val="4F90367A"/>
    <w:rsid w:val="4FA82E21"/>
    <w:rsid w:val="4FE733F0"/>
    <w:rsid w:val="5006393C"/>
    <w:rsid w:val="50125E3D"/>
    <w:rsid w:val="50634294"/>
    <w:rsid w:val="50BD0F0D"/>
    <w:rsid w:val="51A76C82"/>
    <w:rsid w:val="51C07B1A"/>
    <w:rsid w:val="51D13AD5"/>
    <w:rsid w:val="51DF4444"/>
    <w:rsid w:val="522956BF"/>
    <w:rsid w:val="524B1ADA"/>
    <w:rsid w:val="52A31916"/>
    <w:rsid w:val="52B4767F"/>
    <w:rsid w:val="52E56917"/>
    <w:rsid w:val="52F543A6"/>
    <w:rsid w:val="52FA09D1"/>
    <w:rsid w:val="531C7273"/>
    <w:rsid w:val="5369717F"/>
    <w:rsid w:val="53866BD6"/>
    <w:rsid w:val="53D1772C"/>
    <w:rsid w:val="54AD269B"/>
    <w:rsid w:val="54AF3F9A"/>
    <w:rsid w:val="552B7848"/>
    <w:rsid w:val="55463C75"/>
    <w:rsid w:val="55482300"/>
    <w:rsid w:val="554B1D64"/>
    <w:rsid w:val="556C01DD"/>
    <w:rsid w:val="55881551"/>
    <w:rsid w:val="55936B4C"/>
    <w:rsid w:val="56220DA3"/>
    <w:rsid w:val="56261D2F"/>
    <w:rsid w:val="565F21C4"/>
    <w:rsid w:val="56C655AA"/>
    <w:rsid w:val="56DF0A43"/>
    <w:rsid w:val="56EE6E55"/>
    <w:rsid w:val="56FA3119"/>
    <w:rsid w:val="57561457"/>
    <w:rsid w:val="579A1DBE"/>
    <w:rsid w:val="579B7341"/>
    <w:rsid w:val="57D8796C"/>
    <w:rsid w:val="58770FD2"/>
    <w:rsid w:val="58DD796B"/>
    <w:rsid w:val="592616D2"/>
    <w:rsid w:val="59462FFB"/>
    <w:rsid w:val="596B77AD"/>
    <w:rsid w:val="59A660DC"/>
    <w:rsid w:val="59E44CEE"/>
    <w:rsid w:val="5A252C94"/>
    <w:rsid w:val="5AA36BB7"/>
    <w:rsid w:val="5B326F8F"/>
    <w:rsid w:val="5B5F094F"/>
    <w:rsid w:val="5B631C42"/>
    <w:rsid w:val="5BC53B12"/>
    <w:rsid w:val="5C6E796A"/>
    <w:rsid w:val="5C7C08AC"/>
    <w:rsid w:val="5CCB5CF1"/>
    <w:rsid w:val="5CCF5859"/>
    <w:rsid w:val="5D0B2591"/>
    <w:rsid w:val="5D3A6FA4"/>
    <w:rsid w:val="5D995DEF"/>
    <w:rsid w:val="5E3873B6"/>
    <w:rsid w:val="5E761E60"/>
    <w:rsid w:val="5F55149A"/>
    <w:rsid w:val="5F864151"/>
    <w:rsid w:val="5F88611B"/>
    <w:rsid w:val="5F992D62"/>
    <w:rsid w:val="5FA359E1"/>
    <w:rsid w:val="5FF44162"/>
    <w:rsid w:val="6001450E"/>
    <w:rsid w:val="605B3FEC"/>
    <w:rsid w:val="60912DAE"/>
    <w:rsid w:val="611B4D6D"/>
    <w:rsid w:val="614A56DB"/>
    <w:rsid w:val="61A73F86"/>
    <w:rsid w:val="61F300CB"/>
    <w:rsid w:val="62427A4C"/>
    <w:rsid w:val="629A4015"/>
    <w:rsid w:val="632E6FDA"/>
    <w:rsid w:val="635555CD"/>
    <w:rsid w:val="63BA45E6"/>
    <w:rsid w:val="648107EF"/>
    <w:rsid w:val="66433AA5"/>
    <w:rsid w:val="665342D0"/>
    <w:rsid w:val="665B6338"/>
    <w:rsid w:val="6666770B"/>
    <w:rsid w:val="66C16FE9"/>
    <w:rsid w:val="67B04068"/>
    <w:rsid w:val="67B11F87"/>
    <w:rsid w:val="68544B68"/>
    <w:rsid w:val="68B24209"/>
    <w:rsid w:val="68B5012A"/>
    <w:rsid w:val="68F55EA4"/>
    <w:rsid w:val="699479CE"/>
    <w:rsid w:val="69B013F1"/>
    <w:rsid w:val="6A570C85"/>
    <w:rsid w:val="6A7D6CAF"/>
    <w:rsid w:val="6A7EA7C4"/>
    <w:rsid w:val="6A9A41BC"/>
    <w:rsid w:val="6AA933EA"/>
    <w:rsid w:val="6ADB323C"/>
    <w:rsid w:val="6B5F17A9"/>
    <w:rsid w:val="6B9C54E8"/>
    <w:rsid w:val="6C1D3400"/>
    <w:rsid w:val="6C3F3A2D"/>
    <w:rsid w:val="6CB95A5F"/>
    <w:rsid w:val="6CF52916"/>
    <w:rsid w:val="6D560EB7"/>
    <w:rsid w:val="6D7E25DB"/>
    <w:rsid w:val="6DF07179"/>
    <w:rsid w:val="6E6E0EFE"/>
    <w:rsid w:val="6E9A2939"/>
    <w:rsid w:val="6EC22A43"/>
    <w:rsid w:val="6EC46A44"/>
    <w:rsid w:val="6F433E0D"/>
    <w:rsid w:val="6FB82FD9"/>
    <w:rsid w:val="6FEF7AF1"/>
    <w:rsid w:val="705067E1"/>
    <w:rsid w:val="7056034B"/>
    <w:rsid w:val="71374D89"/>
    <w:rsid w:val="715439AC"/>
    <w:rsid w:val="723E2C78"/>
    <w:rsid w:val="7296647E"/>
    <w:rsid w:val="72CF0DEF"/>
    <w:rsid w:val="731378B9"/>
    <w:rsid w:val="7319160C"/>
    <w:rsid w:val="73472A53"/>
    <w:rsid w:val="73F90F3E"/>
    <w:rsid w:val="74087ADA"/>
    <w:rsid w:val="745919DD"/>
    <w:rsid w:val="748247C5"/>
    <w:rsid w:val="75566121"/>
    <w:rsid w:val="756E3266"/>
    <w:rsid w:val="757C6B06"/>
    <w:rsid w:val="75CF01A8"/>
    <w:rsid w:val="75FC4BFF"/>
    <w:rsid w:val="762D635F"/>
    <w:rsid w:val="767D5E56"/>
    <w:rsid w:val="76E06F2E"/>
    <w:rsid w:val="76FD33A5"/>
    <w:rsid w:val="76FD6F97"/>
    <w:rsid w:val="77090275"/>
    <w:rsid w:val="771B741D"/>
    <w:rsid w:val="77430539"/>
    <w:rsid w:val="77892370"/>
    <w:rsid w:val="77A07245"/>
    <w:rsid w:val="783A38D3"/>
    <w:rsid w:val="78F246E2"/>
    <w:rsid w:val="78F910A8"/>
    <w:rsid w:val="79BE2F2C"/>
    <w:rsid w:val="79BF839F"/>
    <w:rsid w:val="79CD235D"/>
    <w:rsid w:val="7ACB4CB6"/>
    <w:rsid w:val="7AF21BC8"/>
    <w:rsid w:val="7B1A59F7"/>
    <w:rsid w:val="7B436955"/>
    <w:rsid w:val="7B7B492E"/>
    <w:rsid w:val="7B7D2454"/>
    <w:rsid w:val="7B87D257"/>
    <w:rsid w:val="7BBDA07F"/>
    <w:rsid w:val="7C11060B"/>
    <w:rsid w:val="7C2032FD"/>
    <w:rsid w:val="7C3A5E88"/>
    <w:rsid w:val="7C4D7E4E"/>
    <w:rsid w:val="7D5007BF"/>
    <w:rsid w:val="7DA0582C"/>
    <w:rsid w:val="7DC83C36"/>
    <w:rsid w:val="7E11491D"/>
    <w:rsid w:val="7E1963F4"/>
    <w:rsid w:val="7E9401E1"/>
    <w:rsid w:val="7E9C4F3E"/>
    <w:rsid w:val="7EE40176"/>
    <w:rsid w:val="7EEB6A2C"/>
    <w:rsid w:val="7EFF6745"/>
    <w:rsid w:val="7F4C3BD7"/>
    <w:rsid w:val="7F4D5F1F"/>
    <w:rsid w:val="7F8C3400"/>
    <w:rsid w:val="7F93675A"/>
    <w:rsid w:val="7FA07730"/>
    <w:rsid w:val="7FB52F70"/>
    <w:rsid w:val="7FED3970"/>
    <w:rsid w:val="ABE75392"/>
    <w:rsid w:val="B37DC48B"/>
    <w:rsid w:val="C36F860D"/>
    <w:rsid w:val="DFEDB757"/>
    <w:rsid w:val="E717CAB6"/>
    <w:rsid w:val="ED762CA0"/>
    <w:rsid w:val="FFD200D9"/>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35"/>
    <w:qFormat/>
    <w:uiPriority w:val="0"/>
    <w:pPr>
      <w:numPr>
        <w:ilvl w:val="0"/>
        <w:numId w:val="1"/>
      </w:numPr>
      <w:ind w:firstLineChars="0"/>
      <w:outlineLvl w:val="0"/>
    </w:pPr>
    <w:rPr>
      <w:b/>
      <w:bCs/>
      <w:kern w:val="24"/>
      <w:sz w:val="32"/>
    </w:rPr>
  </w:style>
  <w:style w:type="paragraph" w:styleId="4">
    <w:name w:val="heading 2"/>
    <w:basedOn w:val="1"/>
    <w:next w:val="1"/>
    <w:link w:val="36"/>
    <w:qFormat/>
    <w:uiPriority w:val="0"/>
    <w:pPr>
      <w:numPr>
        <w:ilvl w:val="1"/>
        <w:numId w:val="1"/>
      </w:numPr>
      <w:ind w:firstLineChars="0"/>
      <w:outlineLvl w:val="1"/>
    </w:pPr>
    <w:rPr>
      <w:bCs/>
      <w:sz w:val="30"/>
    </w:rPr>
  </w:style>
  <w:style w:type="paragraph" w:styleId="5">
    <w:name w:val="heading 3"/>
    <w:basedOn w:val="1"/>
    <w:next w:val="1"/>
    <w:link w:val="34"/>
    <w:qFormat/>
    <w:uiPriority w:val="0"/>
    <w:pPr>
      <w:numPr>
        <w:ilvl w:val="2"/>
        <w:numId w:val="1"/>
      </w:numPr>
      <w:ind w:firstLineChars="0"/>
      <w:outlineLvl w:val="2"/>
    </w:pPr>
    <w:rPr>
      <w:bCs/>
      <w:szCs w:val="32"/>
    </w:rPr>
  </w:style>
  <w:style w:type="paragraph" w:styleId="6">
    <w:name w:val="heading 4"/>
    <w:basedOn w:val="1"/>
    <w:next w:val="1"/>
    <w:link w:val="39"/>
    <w:qFormat/>
    <w:uiPriority w:val="0"/>
    <w:pPr>
      <w:ind w:firstLine="0" w:firstLineChars="0"/>
      <w:outlineLvl w:val="3"/>
    </w:pPr>
    <w:rPr>
      <w:bCs/>
    </w:rPr>
  </w:style>
  <w:style w:type="paragraph" w:styleId="7">
    <w:name w:val="heading 5"/>
    <w:basedOn w:val="1"/>
    <w:next w:val="1"/>
    <w:link w:val="40"/>
    <w:qFormat/>
    <w:uiPriority w:val="0"/>
    <w:pPr>
      <w:numPr>
        <w:ilvl w:val="4"/>
        <w:numId w:val="1"/>
      </w:numPr>
      <w:ind w:firstLineChars="0"/>
      <w:outlineLvl w:val="4"/>
    </w:pPr>
    <w:rPr>
      <w:bCs/>
      <w:szCs w:val="28"/>
    </w:rPr>
  </w:style>
  <w:style w:type="paragraph" w:styleId="8">
    <w:name w:val="heading 6"/>
    <w:basedOn w:val="1"/>
    <w:next w:val="1"/>
    <w:link w:val="41"/>
    <w:qFormat/>
    <w:uiPriority w:val="9"/>
    <w:pPr>
      <w:numPr>
        <w:ilvl w:val="5"/>
        <w:numId w:val="1"/>
      </w:numPr>
      <w:ind w:firstLineChars="0"/>
      <w:outlineLvl w:val="5"/>
    </w:pPr>
    <w:rPr>
      <w:bCs/>
    </w:rPr>
  </w:style>
  <w:style w:type="paragraph" w:styleId="9">
    <w:name w:val="heading 7"/>
    <w:basedOn w:val="1"/>
    <w:next w:val="1"/>
    <w:link w:val="42"/>
    <w:qFormat/>
    <w:uiPriority w:val="99"/>
    <w:pPr>
      <w:numPr>
        <w:ilvl w:val="6"/>
        <w:numId w:val="1"/>
      </w:numPr>
      <w:ind w:firstLineChars="0"/>
      <w:outlineLvl w:val="6"/>
    </w:pPr>
    <w:rPr>
      <w:bCs/>
    </w:rPr>
  </w:style>
  <w:style w:type="paragraph" w:styleId="10">
    <w:name w:val="heading 8"/>
    <w:basedOn w:val="1"/>
    <w:next w:val="1"/>
    <w:link w:val="43"/>
    <w:qFormat/>
    <w:uiPriority w:val="99"/>
    <w:pPr>
      <w:numPr>
        <w:ilvl w:val="7"/>
        <w:numId w:val="1"/>
      </w:numPr>
      <w:ind w:firstLineChars="0"/>
      <w:outlineLvl w:val="7"/>
    </w:pPr>
  </w:style>
  <w:style w:type="paragraph" w:styleId="11">
    <w:name w:val="heading 9"/>
    <w:basedOn w:val="1"/>
    <w:next w:val="1"/>
    <w:link w:val="44"/>
    <w:qFormat/>
    <w:uiPriority w:val="99"/>
    <w:pPr>
      <w:numPr>
        <w:ilvl w:val="8"/>
        <w:numId w:val="1"/>
      </w:numPr>
      <w:ind w:firstLineChars="0"/>
      <w:outlineLvl w:val="8"/>
    </w:p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pPr>
      <w:spacing w:line="360" w:lineRule="auto"/>
      <w:ind w:firstLine="480" w:firstLineChars="200"/>
    </w:pPr>
    <w:rPr>
      <w:rFonts w:ascii="宋体" w:hAnsi="Courier New" w:eastAsia="宋体" w:cs="Courier New"/>
      <w:kern w:val="0"/>
      <w:szCs w:val="21"/>
    </w:rPr>
  </w:style>
  <w:style w:type="paragraph" w:styleId="12">
    <w:name w:val="Normal Indent"/>
    <w:basedOn w:val="1"/>
    <w:link w:val="46"/>
    <w:qFormat/>
    <w:uiPriority w:val="0"/>
    <w:rPr>
      <w:szCs w:val="20"/>
      <w:lang w:val="zh-CN"/>
    </w:rPr>
  </w:style>
  <w:style w:type="paragraph" w:styleId="13">
    <w:name w:val="annotation text"/>
    <w:basedOn w:val="1"/>
    <w:link w:val="49"/>
    <w:unhideWhenUsed/>
    <w:qFormat/>
    <w:uiPriority w:val="99"/>
    <w:pPr>
      <w:jc w:val="left"/>
    </w:pPr>
  </w:style>
  <w:style w:type="paragraph" w:styleId="14">
    <w:name w:val="Body Text"/>
    <w:basedOn w:val="1"/>
    <w:next w:val="1"/>
    <w:qFormat/>
    <w:uiPriority w:val="0"/>
    <w:pPr>
      <w:spacing w:beforeLines="50" w:afterLines="50"/>
      <w:ind w:firstLine="480"/>
    </w:pPr>
    <w:rPr>
      <w:rFonts w:cs="Latha"/>
      <w:sz w:val="21"/>
    </w:rPr>
  </w:style>
  <w:style w:type="paragraph" w:styleId="15">
    <w:name w:val="Body Text Indent"/>
    <w:basedOn w:val="1"/>
    <w:link w:val="47"/>
    <w:qFormat/>
    <w:uiPriority w:val="0"/>
    <w:pPr>
      <w:spacing w:after="120"/>
      <w:ind w:left="420" w:leftChars="200"/>
    </w:pPr>
    <w:rPr>
      <w:lang w:val="zh-CN"/>
    </w:rPr>
  </w:style>
  <w:style w:type="paragraph" w:styleId="16">
    <w:name w:val="toc 3"/>
    <w:basedOn w:val="1"/>
    <w:next w:val="1"/>
    <w:unhideWhenUsed/>
    <w:qFormat/>
    <w:uiPriority w:val="39"/>
    <w:pPr>
      <w:ind w:left="840" w:leftChars="400"/>
    </w:pPr>
  </w:style>
  <w:style w:type="paragraph" w:styleId="17">
    <w:name w:val="Date"/>
    <w:basedOn w:val="1"/>
    <w:next w:val="1"/>
    <w:link w:val="56"/>
    <w:unhideWhenUsed/>
    <w:qFormat/>
    <w:uiPriority w:val="0"/>
    <w:rPr>
      <w:sz w:val="21"/>
      <w:szCs w:val="20"/>
    </w:rPr>
  </w:style>
  <w:style w:type="paragraph" w:styleId="18">
    <w:name w:val="Balloon Text"/>
    <w:basedOn w:val="1"/>
    <w:link w:val="51"/>
    <w:unhideWhenUsed/>
    <w:qFormat/>
    <w:uiPriority w:val="99"/>
    <w:pPr>
      <w:spacing w:line="240" w:lineRule="auto"/>
    </w:pPr>
    <w:rPr>
      <w:sz w:val="18"/>
      <w:szCs w:val="18"/>
    </w:rPr>
  </w:style>
  <w:style w:type="paragraph" w:styleId="19">
    <w:name w:val="footer"/>
    <w:basedOn w:val="1"/>
    <w:link w:val="38"/>
    <w:unhideWhenUsed/>
    <w:qFormat/>
    <w:uiPriority w:val="99"/>
    <w:pPr>
      <w:tabs>
        <w:tab w:val="center" w:pos="4153"/>
        <w:tab w:val="right" w:pos="8306"/>
      </w:tabs>
      <w:snapToGrid w:val="0"/>
      <w:jc w:val="left"/>
    </w:pPr>
    <w:rPr>
      <w:sz w:val="18"/>
      <w:szCs w:val="18"/>
    </w:rPr>
  </w:style>
  <w:style w:type="paragraph" w:styleId="20">
    <w:name w:val="header"/>
    <w:basedOn w:val="1"/>
    <w:link w:val="37"/>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right" w:leader="dot" w:pos="8296"/>
      </w:tabs>
      <w:ind w:firstLine="0" w:firstLineChars="0"/>
    </w:pPr>
  </w:style>
  <w:style w:type="paragraph" w:styleId="22">
    <w:name w:val="toc 2"/>
    <w:basedOn w:val="1"/>
    <w:next w:val="1"/>
    <w:qFormat/>
    <w:uiPriority w:val="39"/>
    <w:pPr>
      <w:tabs>
        <w:tab w:val="right" w:leader="dot" w:pos="8296"/>
      </w:tabs>
      <w:ind w:left="425" w:hanging="425" w:firstLineChars="0"/>
    </w:pPr>
  </w:style>
  <w:style w:type="paragraph" w:styleId="2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24">
    <w:name w:val="Title"/>
    <w:basedOn w:val="1"/>
    <w:next w:val="1"/>
    <w:qFormat/>
    <w:uiPriority w:val="0"/>
    <w:pPr>
      <w:tabs>
        <w:tab w:val="left" w:pos="0"/>
      </w:tabs>
      <w:spacing w:before="240" w:after="60" w:line="60" w:lineRule="auto"/>
      <w:jc w:val="center"/>
      <w:outlineLvl w:val="0"/>
    </w:pPr>
    <w:rPr>
      <w:rFonts w:ascii="华文中宋" w:hAnsi="华文中宋" w:eastAsia="华文中宋"/>
      <w:b/>
      <w:kern w:val="0"/>
      <w:sz w:val="48"/>
      <w:szCs w:val="48"/>
    </w:rPr>
  </w:style>
  <w:style w:type="paragraph" w:styleId="25">
    <w:name w:val="annotation subject"/>
    <w:basedOn w:val="13"/>
    <w:next w:val="13"/>
    <w:link w:val="50"/>
    <w:unhideWhenUsed/>
    <w:qFormat/>
    <w:uiPriority w:val="99"/>
    <w:rPr>
      <w:b/>
      <w:bCs/>
    </w:rPr>
  </w:style>
  <w:style w:type="paragraph" w:styleId="26">
    <w:name w:val="Body Text First Indent"/>
    <w:basedOn w:val="1"/>
    <w:next w:val="1"/>
    <w:qFormat/>
    <w:uiPriority w:val="0"/>
    <w:pPr>
      <w:tabs>
        <w:tab w:val="left" w:pos="0"/>
        <w:tab w:val="left" w:pos="1680"/>
      </w:tabs>
      <w:snapToGrid w:val="0"/>
      <w:ind w:firstLine="360"/>
    </w:pPr>
    <w:rPr>
      <w:rFonts w:ascii="宋体" w:hAnsi="宋体" w:cs="宋体"/>
      <w:color w:val="000000"/>
      <w:kern w:val="44"/>
      <w:szCs w:val="18"/>
    </w:rPr>
  </w:style>
  <w:style w:type="table" w:styleId="28">
    <w:name w:val="Table Grid"/>
    <w:basedOn w:val="27"/>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unhideWhenUsed/>
    <w:qFormat/>
    <w:uiPriority w:val="99"/>
  </w:style>
  <w:style w:type="character" w:styleId="31">
    <w:name w:val="FollowedHyperlink"/>
    <w:basedOn w:val="29"/>
    <w:semiHidden/>
    <w:unhideWhenUsed/>
    <w:qFormat/>
    <w:uiPriority w:val="99"/>
    <w:rPr>
      <w:color w:val="954F72"/>
      <w:u w:val="single"/>
    </w:rPr>
  </w:style>
  <w:style w:type="character" w:styleId="32">
    <w:name w:val="Hyperlink"/>
    <w:unhideWhenUsed/>
    <w:qFormat/>
    <w:uiPriority w:val="99"/>
    <w:rPr>
      <w:color w:val="0000FF"/>
      <w:u w:val="single"/>
    </w:rPr>
  </w:style>
  <w:style w:type="character" w:styleId="33">
    <w:name w:val="annotation reference"/>
    <w:basedOn w:val="29"/>
    <w:unhideWhenUsed/>
    <w:qFormat/>
    <w:uiPriority w:val="99"/>
    <w:rPr>
      <w:sz w:val="21"/>
      <w:szCs w:val="21"/>
    </w:rPr>
  </w:style>
  <w:style w:type="character" w:customStyle="1" w:styleId="34">
    <w:name w:val="标题 3 字符"/>
    <w:basedOn w:val="29"/>
    <w:link w:val="5"/>
    <w:qFormat/>
    <w:uiPriority w:val="9"/>
    <w:rPr>
      <w:rFonts w:ascii="Times New Roman" w:hAnsi="Times New Roman" w:eastAsia="宋体" w:cs="Times New Roman"/>
      <w:bCs/>
      <w:sz w:val="24"/>
      <w:szCs w:val="32"/>
    </w:rPr>
  </w:style>
  <w:style w:type="character" w:customStyle="1" w:styleId="35">
    <w:name w:val="标题 1 字符"/>
    <w:basedOn w:val="29"/>
    <w:link w:val="3"/>
    <w:qFormat/>
    <w:uiPriority w:val="0"/>
    <w:rPr>
      <w:rFonts w:ascii="Times New Roman" w:hAnsi="Times New Roman" w:eastAsia="宋体" w:cs="Times New Roman"/>
      <w:b/>
      <w:bCs/>
      <w:kern w:val="24"/>
      <w:sz w:val="32"/>
      <w:szCs w:val="24"/>
    </w:rPr>
  </w:style>
  <w:style w:type="character" w:customStyle="1" w:styleId="36">
    <w:name w:val="标题 2 字符"/>
    <w:basedOn w:val="29"/>
    <w:link w:val="4"/>
    <w:qFormat/>
    <w:uiPriority w:val="0"/>
    <w:rPr>
      <w:bCs/>
      <w:kern w:val="2"/>
      <w:sz w:val="30"/>
      <w:szCs w:val="24"/>
    </w:rPr>
  </w:style>
  <w:style w:type="character" w:customStyle="1" w:styleId="37">
    <w:name w:val="页眉 字符"/>
    <w:basedOn w:val="29"/>
    <w:link w:val="20"/>
    <w:qFormat/>
    <w:uiPriority w:val="0"/>
    <w:rPr>
      <w:sz w:val="18"/>
      <w:szCs w:val="18"/>
    </w:rPr>
  </w:style>
  <w:style w:type="character" w:customStyle="1" w:styleId="38">
    <w:name w:val="页脚 字符"/>
    <w:basedOn w:val="29"/>
    <w:link w:val="19"/>
    <w:qFormat/>
    <w:uiPriority w:val="99"/>
    <w:rPr>
      <w:sz w:val="18"/>
      <w:szCs w:val="18"/>
    </w:rPr>
  </w:style>
  <w:style w:type="character" w:customStyle="1" w:styleId="39">
    <w:name w:val="标题 4 字符"/>
    <w:basedOn w:val="29"/>
    <w:link w:val="6"/>
    <w:qFormat/>
    <w:uiPriority w:val="9"/>
    <w:rPr>
      <w:rFonts w:ascii="Times New Roman" w:hAnsi="Times New Roman" w:eastAsia="宋体" w:cs="Times New Roman"/>
      <w:bCs/>
      <w:sz w:val="24"/>
      <w:szCs w:val="24"/>
    </w:rPr>
  </w:style>
  <w:style w:type="character" w:customStyle="1" w:styleId="40">
    <w:name w:val="标题 5 字符"/>
    <w:basedOn w:val="29"/>
    <w:link w:val="7"/>
    <w:qFormat/>
    <w:uiPriority w:val="9"/>
    <w:rPr>
      <w:rFonts w:ascii="Times New Roman" w:hAnsi="Times New Roman" w:eastAsia="宋体" w:cs="Times New Roman"/>
      <w:bCs/>
      <w:sz w:val="24"/>
      <w:szCs w:val="28"/>
    </w:rPr>
  </w:style>
  <w:style w:type="character" w:customStyle="1" w:styleId="41">
    <w:name w:val="标题 6 字符"/>
    <w:basedOn w:val="29"/>
    <w:link w:val="8"/>
    <w:qFormat/>
    <w:uiPriority w:val="9"/>
    <w:rPr>
      <w:rFonts w:ascii="Times New Roman" w:hAnsi="Times New Roman" w:eastAsia="宋体" w:cs="Times New Roman"/>
      <w:bCs/>
      <w:sz w:val="24"/>
      <w:szCs w:val="24"/>
    </w:rPr>
  </w:style>
  <w:style w:type="character" w:customStyle="1" w:styleId="42">
    <w:name w:val="标题 7 字符"/>
    <w:basedOn w:val="29"/>
    <w:link w:val="9"/>
    <w:qFormat/>
    <w:uiPriority w:val="99"/>
    <w:rPr>
      <w:rFonts w:ascii="Times New Roman" w:hAnsi="Times New Roman" w:eastAsia="宋体" w:cs="Times New Roman"/>
      <w:bCs/>
      <w:sz w:val="24"/>
      <w:szCs w:val="24"/>
    </w:rPr>
  </w:style>
  <w:style w:type="character" w:customStyle="1" w:styleId="43">
    <w:name w:val="标题 8 字符"/>
    <w:basedOn w:val="29"/>
    <w:link w:val="10"/>
    <w:qFormat/>
    <w:uiPriority w:val="99"/>
    <w:rPr>
      <w:rFonts w:ascii="Times New Roman" w:hAnsi="Times New Roman" w:eastAsia="宋体" w:cs="Times New Roman"/>
      <w:sz w:val="24"/>
      <w:szCs w:val="24"/>
    </w:rPr>
  </w:style>
  <w:style w:type="character" w:customStyle="1" w:styleId="44">
    <w:name w:val="标题 9 字符"/>
    <w:basedOn w:val="29"/>
    <w:link w:val="11"/>
    <w:qFormat/>
    <w:uiPriority w:val="99"/>
    <w:rPr>
      <w:rFonts w:ascii="Times New Roman" w:hAnsi="Times New Roman" w:eastAsia="宋体" w:cs="Times New Roman"/>
      <w:sz w:val="24"/>
      <w:szCs w:val="24"/>
    </w:rPr>
  </w:style>
  <w:style w:type="paragraph" w:customStyle="1" w:styleId="45">
    <w:name w:val="封面落款"/>
    <w:basedOn w:val="1"/>
    <w:qFormat/>
    <w:uiPriority w:val="0"/>
    <w:pPr>
      <w:ind w:firstLine="0" w:firstLineChars="0"/>
      <w:jc w:val="center"/>
    </w:pPr>
    <w:rPr>
      <w:rFonts w:eastAsia="黑体"/>
      <w:sz w:val="36"/>
      <w:szCs w:val="20"/>
    </w:rPr>
  </w:style>
  <w:style w:type="character" w:customStyle="1" w:styleId="46">
    <w:name w:val="正文缩进 字符"/>
    <w:link w:val="12"/>
    <w:qFormat/>
    <w:uiPriority w:val="0"/>
    <w:rPr>
      <w:rFonts w:ascii="Times New Roman" w:hAnsi="Times New Roman" w:eastAsia="宋体" w:cs="Times New Roman"/>
      <w:sz w:val="24"/>
      <w:szCs w:val="20"/>
      <w:lang w:val="zh-CN" w:eastAsia="zh-CN"/>
    </w:rPr>
  </w:style>
  <w:style w:type="character" w:customStyle="1" w:styleId="47">
    <w:name w:val="正文文本缩进 字符"/>
    <w:basedOn w:val="29"/>
    <w:link w:val="15"/>
    <w:qFormat/>
    <w:uiPriority w:val="0"/>
    <w:rPr>
      <w:rFonts w:ascii="Times New Roman" w:hAnsi="Times New Roman" w:eastAsia="宋体" w:cs="Times New Roman"/>
      <w:sz w:val="24"/>
      <w:szCs w:val="24"/>
      <w:lang w:val="zh-CN" w:eastAsia="zh-CN"/>
    </w:rPr>
  </w:style>
  <w:style w:type="paragraph" w:customStyle="1" w:styleId="48">
    <w:name w:val="列出段落1"/>
    <w:basedOn w:val="1"/>
    <w:qFormat/>
    <w:uiPriority w:val="34"/>
    <w:pPr>
      <w:ind w:firstLine="420"/>
    </w:pPr>
  </w:style>
  <w:style w:type="character" w:customStyle="1" w:styleId="49">
    <w:name w:val="批注文字 字符"/>
    <w:basedOn w:val="29"/>
    <w:link w:val="13"/>
    <w:semiHidden/>
    <w:qFormat/>
    <w:uiPriority w:val="99"/>
    <w:rPr>
      <w:rFonts w:ascii="Times New Roman" w:hAnsi="Times New Roman" w:eastAsia="宋体" w:cs="Times New Roman"/>
      <w:sz w:val="24"/>
      <w:szCs w:val="24"/>
    </w:rPr>
  </w:style>
  <w:style w:type="character" w:customStyle="1" w:styleId="50">
    <w:name w:val="批注主题 字符"/>
    <w:basedOn w:val="49"/>
    <w:link w:val="25"/>
    <w:semiHidden/>
    <w:qFormat/>
    <w:uiPriority w:val="99"/>
    <w:rPr>
      <w:rFonts w:ascii="Times New Roman" w:hAnsi="Times New Roman" w:eastAsia="宋体" w:cs="Times New Roman"/>
      <w:b/>
      <w:bCs/>
      <w:sz w:val="24"/>
      <w:szCs w:val="24"/>
    </w:rPr>
  </w:style>
  <w:style w:type="character" w:customStyle="1" w:styleId="51">
    <w:name w:val="批注框文本 字符"/>
    <w:basedOn w:val="29"/>
    <w:link w:val="18"/>
    <w:semiHidden/>
    <w:qFormat/>
    <w:uiPriority w:val="99"/>
    <w:rPr>
      <w:rFonts w:ascii="Times New Roman" w:hAnsi="Times New Roman" w:eastAsia="宋体" w:cs="Times New Roman"/>
      <w:sz w:val="18"/>
      <w:szCs w:val="18"/>
    </w:rPr>
  </w:style>
  <w:style w:type="paragraph" w:customStyle="1" w:styleId="52">
    <w:name w:val="列出段落2"/>
    <w:basedOn w:val="1"/>
    <w:qFormat/>
    <w:uiPriority w:val="99"/>
    <w:pPr>
      <w:ind w:firstLine="420"/>
    </w:pPr>
  </w:style>
  <w:style w:type="paragraph" w:customStyle="1" w:styleId="53">
    <w:name w:val="WPSOffice手动目录 1"/>
    <w:qFormat/>
    <w:uiPriority w:val="0"/>
    <w:rPr>
      <w:rFonts w:ascii="Times New Roman" w:hAnsi="Times New Roman" w:eastAsia="宋体" w:cs="Times New Roman"/>
      <w:lang w:val="en-US" w:eastAsia="zh-CN" w:bidi="ar-SA"/>
    </w:rPr>
  </w:style>
  <w:style w:type="paragraph" w:customStyle="1" w:styleId="5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5">
    <w:name w:val="±íÉí"/>
    <w:basedOn w:val="1"/>
    <w:qFormat/>
    <w:uiPriority w:val="0"/>
    <w:pPr>
      <w:widowControl/>
      <w:overflowPunct w:val="0"/>
      <w:autoSpaceDE w:val="0"/>
      <w:autoSpaceDN w:val="0"/>
      <w:adjustRightInd w:val="0"/>
      <w:spacing w:line="300" w:lineRule="auto"/>
      <w:jc w:val="left"/>
    </w:pPr>
    <w:rPr>
      <w:kern w:val="0"/>
      <w:sz w:val="18"/>
      <w:szCs w:val="20"/>
    </w:rPr>
  </w:style>
  <w:style w:type="character" w:customStyle="1" w:styleId="56">
    <w:name w:val="日期 字符"/>
    <w:basedOn w:val="29"/>
    <w:link w:val="17"/>
    <w:qFormat/>
    <w:uiPriority w:val="0"/>
    <w:rPr>
      <w:kern w:val="2"/>
      <w:sz w:val="21"/>
    </w:rPr>
  </w:style>
  <w:style w:type="paragraph" w:customStyle="1" w:styleId="57">
    <w:name w:val="titre page niveau 1"/>
    <w:basedOn w:val="1"/>
    <w:qFormat/>
    <w:uiPriority w:val="0"/>
    <w:pPr>
      <w:spacing w:before="1" w:after="1"/>
      <w:ind w:left="1" w:right="1" w:firstLine="1"/>
      <w:jc w:val="left"/>
    </w:pPr>
    <w:rPr>
      <w:rFonts w:ascii="Helvetica" w:hAnsi="Helvetica"/>
      <w:b/>
      <w:color w:val="000000"/>
      <w:kern w:val="0"/>
      <w:szCs w:val="20"/>
    </w:rPr>
  </w:style>
  <w:style w:type="paragraph" w:customStyle="1" w:styleId="58">
    <w:name w:val="首行缩进"/>
    <w:basedOn w:val="1"/>
    <w:qFormat/>
    <w:uiPriority w:val="99"/>
    <w:pPr>
      <w:adjustRightInd w:val="0"/>
      <w:spacing w:line="300" w:lineRule="auto"/>
      <w:ind w:firstLine="420"/>
      <w:textAlignment w:val="baseline"/>
    </w:pPr>
    <w:rPr>
      <w:rFonts w:eastAsia="方正书宋简体" w:cs="宋体"/>
      <w:kern w:val="0"/>
      <w:sz w:val="21"/>
      <w:szCs w:val="20"/>
    </w:rPr>
  </w:style>
  <w:style w:type="paragraph" w:styleId="59">
    <w:name w:val="List Paragraph"/>
    <w:basedOn w:val="1"/>
    <w:unhideWhenUsed/>
    <w:qFormat/>
    <w:uiPriority w:val="99"/>
    <w:pPr>
      <w:ind w:firstLine="420"/>
    </w:pPr>
  </w:style>
  <w:style w:type="paragraph" w:customStyle="1" w:styleId="60">
    <w:name w:val="内嵌文档标题2"/>
    <w:next w:val="1"/>
    <w:qFormat/>
    <w:uiPriority w:val="0"/>
    <w:pPr>
      <w:widowControl w:val="0"/>
      <w:shd w:val="clear" w:color="auto" w:fill="FFFFFF"/>
      <w:spacing w:before="240" w:after="240" w:line="360" w:lineRule="auto"/>
      <w:jc w:val="center"/>
      <w:outlineLvl w:val="0"/>
    </w:pPr>
    <w:rPr>
      <w:rFonts w:ascii="宋体" w:hAnsi="宋体" w:eastAsia="宋体" w:cs="宋体"/>
      <w:b/>
      <w:bCs/>
      <w:sz w:val="24"/>
      <w:szCs w:val="30"/>
      <w:lang w:val="en-US" w:eastAsia="zh-CN" w:bidi="ar-SA"/>
    </w:rPr>
  </w:style>
  <w:style w:type="table" w:customStyle="1" w:styleId="61">
    <w:name w:val="网格型1"/>
    <w:basedOn w:val="27"/>
    <w:qFormat/>
    <w:uiPriority w:val="0"/>
    <w:rPr>
      <w:rFonts w:ascii="Calibri" w:hAnsi="Calibri"/>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2">
    <w:name w:val="内嵌文档标题1"/>
    <w:next w:val="1"/>
    <w:qFormat/>
    <w:uiPriority w:val="0"/>
    <w:pPr>
      <w:widowControl w:val="0"/>
      <w:spacing w:before="240" w:after="240" w:line="360" w:lineRule="auto"/>
      <w:jc w:val="center"/>
      <w:outlineLvl w:val="0"/>
    </w:pPr>
    <w:rPr>
      <w:rFonts w:ascii="Times New Roman" w:hAnsi="Times New Roman" w:eastAsia="宋体" w:cs="Times New Roman"/>
      <w:b/>
      <w:kern w:val="2"/>
      <w:sz w:val="24"/>
      <w:lang w:val="en-US" w:eastAsia="zh-CN" w:bidi="ar-SA"/>
    </w:rPr>
  </w:style>
  <w:style w:type="paragraph" w:customStyle="1" w:styleId="63">
    <w:name w:val="表格标题"/>
    <w:link w:val="64"/>
    <w:qFormat/>
    <w:uiPriority w:val="99"/>
    <w:pPr>
      <w:widowControl w:val="0"/>
      <w:spacing w:before="240" w:after="240"/>
      <w:jc w:val="center"/>
    </w:pPr>
    <w:rPr>
      <w:rFonts w:ascii="宋体" w:hAnsi="宋体" w:eastAsia="宋体" w:cs="宋体"/>
      <w:b/>
      <w:sz w:val="24"/>
      <w:szCs w:val="22"/>
      <w:lang w:val="en-US" w:eastAsia="zh-CN" w:bidi="ar-SA"/>
    </w:rPr>
  </w:style>
  <w:style w:type="character" w:customStyle="1" w:styleId="64">
    <w:name w:val="表格标题 Char"/>
    <w:link w:val="63"/>
    <w:qFormat/>
    <w:uiPriority w:val="99"/>
    <w:rPr>
      <w:rFonts w:ascii="宋体" w:hAnsi="宋体" w:cs="宋体"/>
      <w:b/>
      <w:sz w:val="24"/>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csg</Company>
  <Pages>14</Pages>
  <Words>4101</Words>
  <Characters>4942</Characters>
  <Lines>386</Lines>
  <Paragraphs>478</Paragraphs>
  <TotalTime>1</TotalTime>
  <ScaleCrop>false</ScaleCrop>
  <LinksUpToDate>false</LinksUpToDate>
  <CharactersWithSpaces>5057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2021-11-08T07:21:00Z</dcterms:created>
  <dc:creator>csg</dc:creator>
  <cp:lastModifiedBy>刘鸿</cp:lastModifiedBy>
  <dcterms:modified xsi:type="dcterms:W3CDTF">2026-08-13T01:06:58Z</dcterms:modified>
  <dc:title>超高压输电公司</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32CC1E5D53E94A9B9D547712470984C3_13</vt:lpwstr>
  </property>
  <property fmtid="{D5CDD505-2E9C-101B-9397-08002B2CF9AE}" pid="4" name="KSOTemplateDocerSaveRecord">
    <vt:lpwstr>eyJoZGlkIjoiMzEwNTM5NzYwMDRjMzkwZTVkZjY2ODkwMGIxNGU0OTUiLCJ1c2VySWQiOiIyODUxNTkwMDMifQ==</vt:lpwstr>
  </property>
</Properties>
</file>