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B73F1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sz w:val="24"/>
          <w:szCs w:val="24"/>
        </w:rPr>
      </w:pPr>
      <w:bookmarkStart w:id="0" w:name="heading_0"/>
      <w:r>
        <w:rPr>
          <w:rFonts w:hint="eastAsia" w:ascii="宋体" w:hAnsi="宋体" w:eastAsia="宋体" w:cs="宋体"/>
          <w:b/>
          <w:sz w:val="24"/>
          <w:szCs w:val="24"/>
        </w:rPr>
        <w:t>一、质疑事项</w:t>
      </w:r>
      <w:bookmarkEnd w:id="0"/>
    </w:p>
    <w:p w14:paraId="24744F7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技术规范书4.1供货范围清单里“4.1LED显示屏”参数。</w:t>
      </w:r>
      <w:r>
        <w:rPr>
          <w:rFonts w:hint="eastAsia" w:ascii="宋体" w:hAnsi="宋体" w:eastAsia="宋体" w:cs="宋体"/>
          <w:sz w:val="24"/>
          <w:szCs w:val="24"/>
        </w:rPr>
        <w:t>具体问题明细如下：</w:t>
      </w:r>
    </w:p>
    <w:p w14:paraId="466B573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rPr>
        <w:t>（一）直接标注特定产品型号，属于明确指向特定供应商产品</w:t>
      </w:r>
    </w:p>
    <w:p w14:paraId="568808F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第16条明确标注专属产品型号：LM-P1.2、KCII1.2。该组型号</w:t>
      </w:r>
      <w:r>
        <w:rPr>
          <w:rFonts w:hint="eastAsia" w:ascii="宋体" w:hAnsi="宋体" w:eastAsia="宋体" w:cs="宋体"/>
          <w:sz w:val="24"/>
          <w:szCs w:val="24"/>
          <w:lang w:val="en-US" w:eastAsia="zh-CN"/>
        </w:rPr>
        <w:t>直接指向雷曼光电</w:t>
      </w:r>
      <w:r>
        <w:rPr>
          <w:rFonts w:hint="eastAsia" w:ascii="宋体" w:hAnsi="宋体" w:eastAsia="宋体" w:cs="宋体"/>
          <w:sz w:val="24"/>
          <w:szCs w:val="24"/>
        </w:rPr>
        <w:t>，并非行业通用标准型号，招标文件直接列明具体产品型号，属于招投标明令禁止的指定品牌、指定产品行为，直接排斥所有其他潜在投标人。</w:t>
      </w:r>
    </w:p>
    <w:p w14:paraId="1E735AB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rPr>
        <w:t>（二）限定专有结构、专有技术名词，形成技术壁垒与排他性</w:t>
      </w:r>
    </w:p>
    <w:p w14:paraId="1B2AB83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1. 参数第4条强制要求模组接插件为“蝴蝶扣连接”，该名称为部分厂商自定义专有结构术语，不属于国家、行业通用标准术语。行业内存在多种成熟、可靠的模组连接结构，均可实现防黑屏、防脱落的安全效果，限定专属结构名称，无实际技术必要性，仅用于限定特定产品。</w:t>
      </w:r>
    </w:p>
    <w:p w14:paraId="41F4D95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2. 参数第15条限定“支持EPWM灰阶控制技术”，EPWM为部分企业专属技术名称，并非行业通用标准技术。市面上多种等效技术方案均可实现高灰度、低亮高灰的显示效果，强制限定专有技术名称，不合理限制技术路线，排斥合规投标人。</w:t>
      </w:r>
    </w:p>
    <w:p w14:paraId="7A69897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rPr>
        <w:t>（三）固定硬件绝对尺寸、固定结构数量，不合理限定设备硬件形态</w:t>
      </w:r>
    </w:p>
    <w:p w14:paraId="6C0530D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1. 参数第5条固定模组尺寸为320mm×160mm绝对规格，未采用范围性、功能性要求。国内LED显示行业拥有多款主流合规模组尺寸，均可满足本项目点间距、分辨率、屏体尺寸及显示性能要求，固定单一模组尺寸，无功能及场景必要性，直接过滤大部分主流厂商产品。</w:t>
      </w:r>
    </w:p>
    <w:p w14:paraId="77E6EE2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2. 参数第23条强制要求模组磁吸固定点≥8个，以固定数量限定硬件结构设计。模组安装牢固、防脱落、安全可靠可通过拉力、抗震、防脱落等性能指标约束，无需限定磁吸点具体数量，该条款属于刻意设置的结构性排他条件。</w:t>
      </w:r>
    </w:p>
    <w:p w14:paraId="5ACBE5B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rPr>
        <w:t>（四）设置无国标检测依据的主观量化指标，强制CNAS/CMA检测报告，抬高投标门槛</w:t>
      </w:r>
    </w:p>
    <w:p w14:paraId="1AEF57A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本项目多项参数为软件算法、主观视觉、场景依附类指标，无现行国家、行业标准化检测方法，无法出具合规有效的CNAS/CMA第三方检测报告，却强制要求提供对应检测报告并加盖生产厂商公章，属于不合理投标壁垒：一是第22条屏体精准噪声分贝指标，LED屏体无原生噪声源，且无行业统一屏体噪声检测标准；二是第24条智能节电80%以上指标，节电效果受环境、使用工况、调试参数影响，无固定量化检测判定标准；三是第27条摩尔纹抑制减轻80%指标，属于主观视觉效果，无客观量化检测依据，无法完成标准化检测。</w:t>
      </w:r>
    </w:p>
    <w:p w14:paraId="536BC1B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rPr>
        <w:t>（五）增设与室内应用场景无关的冗余技术要求</w:t>
      </w:r>
    </w:p>
    <w:p w14:paraId="43819AE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本项目为室内保供电指挥中心固定安装大屏，使用环境洁净、无沙尘侵蚀风险，无户外恶劣环境使用需求。但参数第33条强制要求通过户外级GB/T2423.37-2006沙尘试验，该条款与项目实际使用场景完全不符，属于额外增设的不合理技术门槛，无任何实际应用必要性。</w:t>
      </w:r>
    </w:p>
    <w:p w14:paraId="7ECD505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sz w:val="24"/>
          <w:szCs w:val="24"/>
        </w:rPr>
      </w:pPr>
      <w:bookmarkStart w:id="1" w:name="heading_1"/>
      <w:r>
        <w:rPr>
          <w:rFonts w:hint="eastAsia" w:ascii="宋体" w:hAnsi="宋体" w:eastAsia="宋体" w:cs="宋体"/>
          <w:b/>
          <w:sz w:val="24"/>
          <w:szCs w:val="24"/>
        </w:rPr>
        <w:t>二、质疑依据</w:t>
      </w:r>
      <w:bookmarkEnd w:id="1"/>
    </w:p>
    <w:p w14:paraId="626E372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eastAsia="宋体" w:cs="宋体"/>
          <w:b/>
          <w:sz w:val="24"/>
          <w:szCs w:val="24"/>
        </w:rPr>
        <w:t>《中华人民共和国招标投标法实施条例》第三十二条</w:t>
      </w:r>
      <w:r>
        <w:rPr>
          <w:rFonts w:hint="eastAsia" w:ascii="宋体" w:hAnsi="宋体" w:eastAsia="宋体" w:cs="宋体"/>
          <w:sz w:val="24"/>
          <w:szCs w:val="24"/>
        </w:rPr>
        <w:t>：招标人不得以不合理的条件限制、排斥潜在投标人或者投标人。招标人有下列行为之一的，属于以不合理条件限制、排斥潜在投标人：（一）就同一招标项目向潜在投标人或者投标人提供有差别的项目信息；（二）设定的资格、技术、商务条件与招标项目的具体特点和实际需要不相适应或者与合同履行无关；（三）依法必须进行招标的项目以特定行政区域或者特定行业的业绩、奖项作为加分条件或者中标条件；（四）对潜在投标人或者投标人采取不同的资格审查或者评标标准；（五）限定或者指定特定的专利、商标、品牌、原产地或者供应商；（六）依法必须进行招标的项目非法限定潜在投标人或者投标人的所有制形式或者组织形式。</w:t>
      </w:r>
    </w:p>
    <w:p w14:paraId="2F389FA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2. 本项目多项技术参数指定专属产品型号、专有技术、专属结构，属于</w:t>
      </w:r>
      <w:r>
        <w:rPr>
          <w:rFonts w:hint="eastAsia" w:ascii="宋体" w:hAnsi="宋体" w:eastAsia="宋体" w:cs="宋体"/>
          <w:b w:val="0"/>
          <w:bCs/>
          <w:sz w:val="24"/>
          <w:szCs w:val="24"/>
        </w:rPr>
        <w:t>限定特定供应商产品及技术，违反招投标公平、公正、公开原则；多项参数设置与室内项目实际需求无关、无检测依据的严苛指标，属于与项目具体特点和实际需要不相适应的不合理条件</w:t>
      </w:r>
      <w:r>
        <w:rPr>
          <w:rFonts w:hint="eastAsia" w:ascii="宋体" w:hAnsi="宋体" w:eastAsia="宋体" w:cs="宋体"/>
          <w:sz w:val="24"/>
          <w:szCs w:val="24"/>
        </w:rPr>
        <w:t>，完全符合上述条例禁止情形。</w:t>
      </w:r>
    </w:p>
    <w:p w14:paraId="6C1E008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3. 招投标技术参数设置应遵循“功能导向、效果优先、不限定形态与技术路线”的通用原则，优先考核设备最终使用性能，不得通过限定硬件尺寸、结构名称、专有技术、非标检测条件等方式设置排他性壁垒。</w:t>
      </w:r>
    </w:p>
    <w:p w14:paraId="6DBA825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sz w:val="24"/>
          <w:szCs w:val="24"/>
        </w:rPr>
      </w:pPr>
      <w:bookmarkStart w:id="2" w:name="heading_2"/>
      <w:r>
        <w:rPr>
          <w:rFonts w:hint="eastAsia" w:ascii="宋体" w:hAnsi="宋体" w:eastAsia="宋体" w:cs="宋体"/>
          <w:b/>
          <w:sz w:val="24"/>
          <w:szCs w:val="24"/>
        </w:rPr>
        <w:t>三、质疑请求</w:t>
      </w:r>
      <w:bookmarkEnd w:id="2"/>
    </w:p>
    <w:p w14:paraId="7A5AE54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eastAsia="宋体" w:cs="宋体"/>
          <w:b/>
          <w:sz w:val="24"/>
          <w:szCs w:val="24"/>
        </w:rPr>
        <w:t>删除指定产品型号条款</w:t>
      </w:r>
      <w:r>
        <w:rPr>
          <w:rFonts w:hint="eastAsia" w:ascii="宋体" w:hAnsi="宋体" w:eastAsia="宋体" w:cs="宋体"/>
          <w:sz w:val="24"/>
          <w:szCs w:val="24"/>
        </w:rPr>
        <w:t>：删除参数第16条中“LM-P1.2、KCII1.2”特定产品型号内容，仅保留通用性能指标要求，杜绝指定产品的排他情形。</w:t>
      </w:r>
    </w:p>
    <w:p w14:paraId="29F57A7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2. </w:t>
      </w:r>
      <w:r>
        <w:rPr>
          <w:rFonts w:hint="eastAsia" w:ascii="宋体" w:hAnsi="宋体" w:eastAsia="宋体" w:cs="宋体"/>
          <w:b/>
          <w:sz w:val="24"/>
          <w:szCs w:val="24"/>
        </w:rPr>
        <w:t>取消专有技术、专属结构限定</w:t>
      </w:r>
      <w:r>
        <w:rPr>
          <w:rFonts w:hint="eastAsia" w:ascii="宋体" w:hAnsi="宋体" w:eastAsia="宋体" w:cs="宋体"/>
          <w:sz w:val="24"/>
          <w:szCs w:val="24"/>
        </w:rPr>
        <w:t>：删除“蝴蝶扣连接”“EPWM灰阶控制技术”专属名词限定，修改为功能性、效果性描述，不限定具体结构及技术实现路线，允许所有合规成熟技术方案参与投标。</w:t>
      </w:r>
    </w:p>
    <w:p w14:paraId="76A5094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3. </w:t>
      </w:r>
      <w:r>
        <w:rPr>
          <w:rFonts w:hint="eastAsia" w:ascii="宋体" w:hAnsi="宋体" w:eastAsia="宋体" w:cs="宋体"/>
          <w:b/>
          <w:sz w:val="24"/>
          <w:szCs w:val="24"/>
        </w:rPr>
        <w:t>取消固定硬件形态限制</w:t>
      </w:r>
      <w:r>
        <w:rPr>
          <w:rFonts w:hint="eastAsia" w:ascii="宋体" w:hAnsi="宋体" w:eastAsia="宋体" w:cs="宋体"/>
          <w:sz w:val="24"/>
          <w:szCs w:val="24"/>
        </w:rPr>
        <w:t>：删除320mm×160mm固定模组尺寸、磁吸固定点≥8个的硬性数量/尺寸限定，改为考核模组安装牢固、防脱落、带电维护、安全可靠等最终性能效果，兼容行业主流合规设备。</w:t>
      </w:r>
    </w:p>
    <w:p w14:paraId="34B79A4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4. </w:t>
      </w:r>
      <w:r>
        <w:rPr>
          <w:rFonts w:hint="eastAsia" w:ascii="宋体" w:hAnsi="宋体" w:eastAsia="宋体" w:cs="宋体"/>
          <w:b/>
          <w:sz w:val="24"/>
          <w:szCs w:val="24"/>
        </w:rPr>
        <w:t>优化不合理检测报告要求</w:t>
      </w:r>
      <w:r>
        <w:rPr>
          <w:rFonts w:hint="eastAsia" w:ascii="宋体" w:hAnsi="宋体" w:eastAsia="宋体" w:cs="宋体"/>
          <w:sz w:val="24"/>
          <w:szCs w:val="24"/>
        </w:rPr>
        <w:t>：取消噪声分贝、节电率、摩尔纹抑制比例等无国标检测依据、主观类指标的CNAS/CMA强制检测报告要求；确需佐证性能的，允许提供厂商权威检测说明、技术白皮书或行业通用检测报告，破除不合理投标壁垒。</w:t>
      </w:r>
    </w:p>
    <w:p w14:paraId="55815EB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5. </w:t>
      </w:r>
      <w:r>
        <w:rPr>
          <w:rFonts w:hint="eastAsia" w:ascii="宋体" w:hAnsi="宋体" w:eastAsia="宋体" w:cs="宋体"/>
          <w:b/>
          <w:sz w:val="24"/>
          <w:szCs w:val="24"/>
        </w:rPr>
        <w:t>删除场景无关冗余参数</w:t>
      </w:r>
      <w:r>
        <w:rPr>
          <w:rFonts w:hint="eastAsia" w:ascii="宋体" w:hAnsi="宋体" w:eastAsia="宋体" w:cs="宋体"/>
          <w:sz w:val="24"/>
          <w:szCs w:val="24"/>
        </w:rPr>
        <w:t>：删除针对户外设备的GB/T2423.37-2006沙尘试验要求，贴合本项目室内使用场景，剔除无实际意义的限制性条款。</w:t>
      </w:r>
    </w:p>
    <w:p w14:paraId="225EB6B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6. </w:t>
      </w:r>
      <w:r>
        <w:rPr>
          <w:rFonts w:hint="eastAsia" w:ascii="宋体" w:hAnsi="宋体" w:eastAsia="宋体" w:cs="宋体"/>
          <w:b/>
          <w:sz w:val="24"/>
          <w:szCs w:val="24"/>
        </w:rPr>
        <w:t>整体优化技术参数</w:t>
      </w:r>
      <w:r>
        <w:rPr>
          <w:rFonts w:hint="eastAsia" w:ascii="宋体" w:hAnsi="宋体" w:eastAsia="宋体" w:cs="宋体"/>
          <w:sz w:val="24"/>
          <w:szCs w:val="24"/>
        </w:rPr>
        <w:t>：对本项目LED大屏全部技术参数进行合规梳理，删除所有指向性、唯一性、排他性及不合理限制性条款，确保参数公开通用、适配多品牌主流设备，满足公平竞争的招投标要求。</w:t>
      </w:r>
      <w:bookmarkStart w:id="3" w:name="_GoBack"/>
      <w:bookmarkEnd w:id="3"/>
    </w:p>
    <w:sectPr>
      <w:headerReference r:id="rId5" w:type="default"/>
      <w:footerReference r:id="rId6" w:type="default"/>
      <w:pgSz w:w="11905" w:h="1684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F00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96CE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useFELayout/>
    <w:splitPgBreakAndParaMark/>
    <w:compatSetting w:name="compatibilityMode" w:uri="http://schemas.microsoft.com/office/word" w:val="12"/>
  </w:compat>
  <w:rsids>
    <w:rsidRoot w:val="00000000"/>
    <w:rsid w:val="12B13D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2432</Words>
  <Characters>2668</Characters>
  <TotalTime>3</TotalTime>
  <ScaleCrop>false</ScaleCrop>
  <LinksUpToDate>false</LinksUpToDate>
  <CharactersWithSpaces>2684</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2026-08-13T09:17:00Z</dcterms:created>
  <dc:creator>Apache POI</dc:creator>
  <cp:lastModifiedBy>韬晦厚发</cp:lastModifiedBy>
  <dcterms:modified xsi:type="dcterms:W3CDTF">2026-08-13T09:25:22Z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{"Label":"1","ContentProducer":"001191110102MACQD9K64010000","ProduceID":"7673442786871757785","ReservedCode1":"","ContentPropagator":"","PropagateID":"","ReservedCode2":""}</vt:lpwstr>
  </property>
  <property fmtid="{D5CDD505-2E9C-101B-9397-08002B2CF9AE}" pid="3" name="KSOTemplateDocerSaveRecord">
    <vt:lpwstr>eyJoZGlkIjoiYWJiYjBhZWVmYWNjZmUyMDk0ZDgzZWM5MDFiYWVjY2YiLCJ1c2VySWQiOiIxMTU1NDAyMjIxIn0=</vt:lpwstr>
  </property>
  <property fmtid="{D5CDD505-2E9C-101B-9397-08002B2CF9AE}" pid="4" name="KSOProductBuildVer">
    <vt:lpwstr>2052-12.1.0.28043</vt:lpwstr>
  </property>
  <property fmtid="{D5CDD505-2E9C-101B-9397-08002B2CF9AE}" pid="5" name="ICV">
    <vt:lpwstr>D11A2388840A45C8BA2AB1CC071A7DFB_12</vt:lpwstr>
  </property>
</Properties>
</file>