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A44A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一、</w:t>
      </w:r>
      <w:r>
        <w:rPr>
          <w:rFonts w:hint="eastAsia" w:ascii="宋体" w:hAnsi="宋体" w:eastAsia="宋体" w:cs="宋体"/>
          <w:b/>
          <w:sz w:val="24"/>
          <w:szCs w:val="24"/>
        </w:rPr>
        <w:t>质疑事项</w:t>
      </w:r>
    </w:p>
    <w:p w14:paraId="07313D3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招标</w:t>
      </w:r>
      <w:r>
        <w:rPr>
          <w:rFonts w:hint="eastAsia" w:ascii="宋体" w:hAnsi="宋体" w:eastAsia="宋体" w:cs="宋体"/>
          <w:sz w:val="24"/>
          <w:szCs w:val="24"/>
          <w:lang w:val="en-US" w:eastAsia="zh-CN"/>
        </w:rPr>
        <w:t>技术规范书4.1供货范围，清单参数中屏体结构有</w:t>
      </w:r>
      <w:r>
        <w:rPr>
          <w:rFonts w:hint="eastAsia" w:ascii="宋体" w:hAnsi="宋体" w:eastAsia="宋体" w:cs="宋体"/>
          <w:sz w:val="24"/>
          <w:szCs w:val="24"/>
        </w:rPr>
        <w:t>3项</w:t>
      </w:r>
      <w:r>
        <w:rPr>
          <w:rFonts w:hint="eastAsia" w:ascii="宋体" w:hAnsi="宋体" w:eastAsia="宋体" w:cs="宋体"/>
          <w:sz w:val="24"/>
          <w:szCs w:val="24"/>
          <w:lang w:val="en-US" w:eastAsia="zh-CN"/>
        </w:rPr>
        <w:t>标</w:t>
      </w:r>
      <w:bookmarkStart w:id="0" w:name="_GoBack"/>
      <w:bookmarkEnd w:id="0"/>
      <w:r>
        <w:rPr>
          <w:rFonts w:hint="eastAsia" w:ascii="宋体" w:hAnsi="宋体" w:eastAsia="宋体" w:cs="宋体"/>
          <w:sz w:val="24"/>
          <w:szCs w:val="24"/>
        </w:rPr>
        <w:t>★</w:t>
      </w:r>
      <w:r>
        <w:rPr>
          <w:rFonts w:hint="eastAsia" w:ascii="宋体" w:hAnsi="宋体" w:eastAsia="宋体" w:cs="宋体"/>
          <w:sz w:val="24"/>
          <w:szCs w:val="24"/>
          <w:lang w:val="en-US" w:eastAsia="zh-CN"/>
        </w:rPr>
        <w:t>项</w:t>
      </w:r>
      <w:r>
        <w:rPr>
          <w:rFonts w:hint="eastAsia" w:ascii="宋体" w:hAnsi="宋体" w:eastAsia="宋体" w:cs="宋体"/>
          <w:sz w:val="24"/>
          <w:szCs w:val="24"/>
        </w:rPr>
        <w:t>强制性条款，对RoHS精准限值、六价铬特殊判定标准、中性盐雾测试、检测报告加盖生产厂商公章作出唯一性、强制性限定，该类条款并非项目履约必需的实质性要求，属于刻意抬高投标门槛、指向特定生产厂商的</w:t>
      </w:r>
      <w:r>
        <w:rPr>
          <w:rFonts w:hint="eastAsia" w:ascii="宋体" w:hAnsi="宋体" w:eastAsia="宋体" w:cs="宋体"/>
          <w:b w:val="0"/>
          <w:bCs/>
          <w:sz w:val="24"/>
          <w:szCs w:val="24"/>
        </w:rPr>
        <w:t>控标排他条款</w:t>
      </w:r>
      <w:r>
        <w:rPr>
          <w:rFonts w:hint="eastAsia" w:ascii="宋体" w:hAnsi="宋体" w:eastAsia="宋体" w:cs="宋体"/>
          <w:sz w:val="24"/>
          <w:szCs w:val="24"/>
        </w:rPr>
        <w:t>，严重违背招投标公平竞争原则。具体质疑条款如下：</w:t>
      </w:r>
    </w:p>
    <w:p w14:paraId="1634FB5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1、★镀锌钢管需符合中国ROHS GB/T26572-2011标准，且必须提供CNAS/CMA第三方检测报告并加盖生产厂商公章；</w:t>
      </w:r>
    </w:p>
    <w:p w14:paraId="64E9995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2、★强制限定铅、镉、汞、多溴联苯、多溴二苯醚单类含量≤5mg/kg，六价铬非金属≤10mg/kg、金属呈阴性的精准检测指标，且需提供对应带生产厂商公章的CNAS/CMA检测报告；</w:t>
      </w:r>
    </w:p>
    <w:p w14:paraId="22FCD07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3、★强制要求满足GB/T 2423.17-2008中性盐雾测试标准、样品无明显腐蚀，并提供带生产厂商公章的CNAS/CMA检测报告。</w:t>
      </w:r>
    </w:p>
    <w:p w14:paraId="1B10469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二、</w:t>
      </w:r>
      <w:r>
        <w:rPr>
          <w:rFonts w:hint="eastAsia" w:ascii="宋体" w:hAnsi="宋体" w:eastAsia="宋体" w:cs="宋体"/>
          <w:b/>
          <w:sz w:val="24"/>
          <w:szCs w:val="24"/>
        </w:rPr>
        <w:t>质疑依据</w:t>
      </w:r>
    </w:p>
    <w:p w14:paraId="1429416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中华人民共和国招标投标法实施条例》第三十二条：招标人不得以不合理的条件限制、排斥潜在投标人或者投标人，不得设定的资格、技术、商务条件与招标项目的具体特点和实际需要不相适应或者与合同履行无关，不得限定或者指定特定的专利、商标、品牌、原产地或者供应商。</w:t>
      </w:r>
    </w:p>
    <w:p w14:paraId="2EE4457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rPr>
        <w:t>三、具体质疑事实与理由</w:t>
      </w:r>
    </w:p>
    <w:p w14:paraId="03D7904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1.</w:t>
      </w:r>
      <w:r>
        <w:rPr>
          <w:rFonts w:hint="eastAsia" w:ascii="宋体" w:hAnsi="宋体" w:eastAsia="宋体" w:cs="宋体"/>
          <w:b/>
          <w:sz w:val="24"/>
          <w:szCs w:val="24"/>
        </w:rPr>
        <w:t>条款限定的精细化检测指标远超项目实际需求，与LED钢结构挂墙安装履约目的无关</w:t>
      </w:r>
    </w:p>
    <w:p w14:paraId="701098D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本项目LED钢结构核心功能为挂墙承重、结构稳固、防腐耐用，保障LED显示屏安全安装、正常使用即可。目前国内镀锌钢管、钢结构防腐工艺的通用验收标准，仅要求符合基础RoHS环保标准、常规防腐盐雾标准即可，无需对铅、镉、汞、阻燃物质设置</w:t>
      </w:r>
      <w:r>
        <w:rPr>
          <w:rFonts w:hint="eastAsia" w:ascii="宋体" w:hAnsi="宋体" w:eastAsia="宋体" w:cs="宋体"/>
          <w:b w:val="0"/>
          <w:bCs/>
          <w:sz w:val="24"/>
          <w:szCs w:val="24"/>
        </w:rPr>
        <w:t>5mg/kg极致精准限值</w:t>
      </w:r>
      <w:r>
        <w:rPr>
          <w:rFonts w:hint="eastAsia" w:ascii="宋体" w:hAnsi="宋体" w:eastAsia="宋体" w:cs="宋体"/>
          <w:sz w:val="24"/>
          <w:szCs w:val="24"/>
        </w:rPr>
        <w:t>，更无需对六价铬区分非金属、金属双重判定标准。</w:t>
      </w:r>
    </w:p>
    <w:p w14:paraId="1D4F586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上述极致精细化检测参数，并非LED显示屏钢结构安装、使用、验收的必备指标，远超项目实际建设需求，与项目合同履约、工程质量、使用安全无直接关联，属于刻意拔高技术门槛的不合理限定。</w:t>
      </w:r>
    </w:p>
    <w:p w14:paraId="362E8E2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2.</w:t>
      </w:r>
      <w:r>
        <w:rPr>
          <w:rFonts w:hint="eastAsia" w:ascii="宋体" w:hAnsi="宋体" w:eastAsia="宋体" w:cs="宋体"/>
          <w:b/>
          <w:sz w:val="24"/>
          <w:szCs w:val="24"/>
        </w:rPr>
        <w:t>“检测报告必须加盖生产厂商公章”为典型排他、控标条款，具备极强指向性</w:t>
      </w:r>
    </w:p>
    <w:p w14:paraId="3F6DEA4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本次招标面向的是具备项目施工、供货、安装能力的投标单位，而非钢结构管材生产厂家。目前行业内绝大多数投标供应商为集成商、工程商，具备合法合规的货源渠道、供货能力和项目履约能力，但无法获取所有上游管材生产厂家的公章授权及盖章检测报告。</w:t>
      </w:r>
    </w:p>
    <w:p w14:paraId="1BF81E7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该条款强制要求第三方检测报告</w:t>
      </w:r>
      <w:r>
        <w:rPr>
          <w:rFonts w:hint="eastAsia" w:ascii="宋体" w:hAnsi="宋体" w:eastAsia="宋体" w:cs="宋体"/>
          <w:b w:val="0"/>
          <w:bCs/>
          <w:sz w:val="24"/>
          <w:szCs w:val="24"/>
        </w:rPr>
        <w:t>必须加盖生产厂商公章</w:t>
      </w:r>
      <w:r>
        <w:rPr>
          <w:rFonts w:hint="eastAsia" w:ascii="宋体" w:hAnsi="宋体" w:eastAsia="宋体" w:cs="宋体"/>
          <w:sz w:val="24"/>
          <w:szCs w:val="24"/>
        </w:rPr>
        <w:t>，变相剥夺了无厂家专属授权、无厂家盖章资源的合规供应商的投标资格，导致仅有少数特定合作厂商、独家授权供应商可满足投标条件，直接限制、排斥了大量合格潜在投标人，形成专属围标、控标局面，严重破坏招投标公平竞争秩序。</w:t>
      </w:r>
    </w:p>
    <w:p w14:paraId="72DED1A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3.</w:t>
      </w:r>
      <w:r>
        <w:rPr>
          <w:rFonts w:hint="eastAsia" w:ascii="宋体" w:hAnsi="宋体" w:eastAsia="宋体" w:cs="宋体"/>
          <w:b/>
          <w:sz w:val="24"/>
          <w:szCs w:val="24"/>
        </w:rPr>
        <w:t>多项★强制检测要求叠加，属于多重不合理限制，违反公平竞争原则</w:t>
      </w:r>
    </w:p>
    <w:p w14:paraId="653D2ED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招标文件将RoHS极致限值、六价铬特殊判定、中性盐雾测试三项非常规检测指标全部设为★项，且全部强制绑定带厂家公章的CNAS/CMA报告。常规LED钢结构招标仅需核查管材材质、防腐性能、基础环保标准即可，本项目叠加多项小众、精细化、非通用检测要求，无任何行业规范及项目必要性支撑，属于人为设置投标壁垒，具备明确的指向性和排他性，是招投标监管明令禁止的控标条款。</w:t>
      </w:r>
    </w:p>
    <w:p w14:paraId="6513C44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lang w:val="en-US" w:eastAsia="zh-CN"/>
        </w:rPr>
        <w:t>4.</w:t>
      </w:r>
      <w:r>
        <w:rPr>
          <w:rFonts w:hint="eastAsia" w:ascii="宋体" w:hAnsi="宋体" w:eastAsia="宋体" w:cs="宋体"/>
          <w:b/>
          <w:sz w:val="24"/>
          <w:szCs w:val="24"/>
        </w:rPr>
        <w:t>标准适用无专属必要性，属于滥用标准限定投标主体</w:t>
      </w:r>
    </w:p>
    <w:p w14:paraId="20C0E87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GB/T26572-2011、GB/T 2423.17-2008均为通用国标标准，行业内符合基础标准的产品均可满足项目使用需求，无需强制极致指标+专属盖章报告的双重限定。无任何项目特殊性、技术特殊性需要采用此类严苛、小众的检测判定标准，条款设置完全不符合“项目适配、履约必需”的招投标基本原则。</w:t>
      </w:r>
    </w:p>
    <w:p w14:paraId="40FE667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b/>
          <w:sz w:val="24"/>
          <w:szCs w:val="24"/>
        </w:rPr>
        <w:t>四、质疑请求</w:t>
      </w:r>
    </w:p>
    <w:p w14:paraId="07D2356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基于以上事实及法律法规依据，我司请求贵单位：</w:t>
      </w:r>
    </w:p>
    <w:p w14:paraId="410352D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1、依法认定本项目招标文件中上述3项★LED钢结构技术条款为</w:t>
      </w:r>
      <w:r>
        <w:rPr>
          <w:rFonts w:hint="eastAsia" w:ascii="宋体" w:hAnsi="宋体" w:eastAsia="宋体" w:cs="宋体"/>
          <w:b w:val="0"/>
          <w:bCs/>
          <w:sz w:val="24"/>
          <w:szCs w:val="24"/>
        </w:rPr>
        <w:t>不合理、排他性、控标性条款</w:t>
      </w:r>
      <w:r>
        <w:rPr>
          <w:rFonts w:hint="eastAsia" w:ascii="宋体" w:hAnsi="宋体" w:eastAsia="宋体" w:cs="宋体"/>
          <w:sz w:val="24"/>
          <w:szCs w:val="24"/>
        </w:rPr>
        <w:t>；</w:t>
      </w:r>
    </w:p>
    <w:p w14:paraId="433FA6C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2、对上述违规条款予以删除、修改优化，取消极致精细化检测指标限定、取消“检测报告加盖生产厂商公章”的强制要求，调整为符合行业通用标准、适配项目实际履约需求、无排他性的技术要求</w:t>
      </w:r>
      <w:r>
        <w:rPr>
          <w:rFonts w:hint="eastAsia" w:ascii="宋体" w:hAnsi="宋体" w:eastAsia="宋体" w:cs="宋体"/>
          <w:sz w:val="24"/>
          <w:szCs w:val="24"/>
          <w:lang w:eastAsia="zh-CN"/>
        </w:rPr>
        <w:t>。</w:t>
      </w:r>
    </w:p>
    <w:sectPr>
      <w:headerReference r:id="rId5" w:type="default"/>
      <w:footerReference r:id="rId6" w:type="default"/>
      <w:pgSz w:w="11905" w:h="1684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0F4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C525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splitPgBreakAndParaMark/>
    <w:compatSetting w:name="compatibilityMode" w:uri="http://schemas.microsoft.com/office/word" w:val="12"/>
  </w:compat>
  <w:rsids>
    <w:rsidRoot w:val="00000000"/>
    <w:rsid w:val="31BD074A"/>
    <w:rsid w:val="339537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1493</Words>
  <Characters>1621</Characters>
  <TotalTime>13</TotalTime>
  <ScaleCrop>false</ScaleCrop>
  <LinksUpToDate>false</LinksUpToDate>
  <CharactersWithSpaces>1624</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2026-08-13T08:49:00Z</dcterms:created>
  <dc:creator>Apache POI</dc:creator>
  <cp:lastModifiedBy>韬晦厚发</cp:lastModifiedBy>
  <dcterms:modified xsi:type="dcterms:W3CDTF">2026-08-13T09:06:14Z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{"Label":"1","ContentProducer":"001191110102MACQD9K64010000","ProduceID":"7673435772107820015","ReservedCode1":"","ContentPropagator":"","PropagateID":"","ReservedCode2":""}</vt:lpwstr>
  </property>
  <property fmtid="{D5CDD505-2E9C-101B-9397-08002B2CF9AE}" pid="3" name="KSOTemplateDocerSaveRecord">
    <vt:lpwstr>eyJoZGlkIjoiYWJiYjBhZWVmYWNjZmUyMDk0ZDgzZWM5MDFiYWVjY2YiLCJ1c2VySWQiOiIxMTU1NDAyMjIxIn0=</vt:lpwstr>
  </property>
  <property fmtid="{D5CDD505-2E9C-101B-9397-08002B2CF9AE}" pid="4" name="KSOProductBuildVer">
    <vt:lpwstr>2052-12.1.0.28043</vt:lpwstr>
  </property>
  <property fmtid="{D5CDD505-2E9C-101B-9397-08002B2CF9AE}" pid="5" name="ICV">
    <vt:lpwstr>68988468D05D4DCEBECC1669A50A3D1F_12</vt:lpwstr>
  </property>
</Properties>
</file>