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widowControl/>
        <w:spacing w:before="156" w:beforeLines="50" w:after="156" w:afterLines="50" w:line="560" w:lineRule="atLeast"/>
        <w:jc w:val="center"/>
        <w:rPr>
          <w:rFonts w:hint="eastAsia" w:ascii="方正小标宋_GBK" w:hAnsi="方正小标宋_GBK" w:eastAsia="方正小标宋_GBK" w:cs="方正小标宋_GBK"/>
          <w:b w:val="0"/>
          <w:bCs/>
          <w:color w:val="000000"/>
          <w:position w:val="16"/>
          <w:sz w:val="52"/>
          <w:szCs w:val="52"/>
          <w:lang w:val="en-US" w:eastAsia="zh-CN"/>
        </w:rPr>
      </w:pPr>
      <w:r>
        <w:rPr>
          <w:rFonts w:hint="eastAsia" w:ascii="方正小标宋_GBK" w:hAnsi="方正小标宋_GBK" w:eastAsia="方正小标宋_GBK" w:cs="方正小标宋_GBK"/>
          <w:b w:val="0"/>
          <w:bCs/>
          <w:color w:val="000000"/>
          <w:position w:val="16"/>
          <w:sz w:val="52"/>
          <w:szCs w:val="52"/>
          <w:lang w:val="en-US" w:eastAsia="zh-CN"/>
        </w:rPr>
        <w:t>海蓄公司2026年新办公楼网真会议室半弧形会议桌采购项目</w:t>
      </w:r>
    </w:p>
    <w:p>
      <w:pPr>
        <w:widowControl/>
        <w:spacing w:before="156" w:beforeLines="50" w:after="156" w:afterLines="50" w:line="560" w:lineRule="atLeast"/>
        <w:jc w:val="center"/>
        <w:rPr>
          <w:rFonts w:hint="eastAsia" w:ascii="方正小标宋_GBK" w:hAnsi="方正小标宋_GBK" w:eastAsia="方正小标宋_GBK" w:cs="方正小标宋_GBK"/>
          <w:b w:val="0"/>
          <w:bCs/>
          <w:color w:val="000000"/>
          <w:position w:val="16"/>
          <w:sz w:val="52"/>
          <w:szCs w:val="52"/>
          <w:lang w:val="en-US" w:eastAsia="zh-CN"/>
        </w:rPr>
      </w:pPr>
      <w:r>
        <w:rPr>
          <w:rFonts w:hint="eastAsia" w:ascii="方正小标宋_GBK" w:hAnsi="方正小标宋_GBK" w:eastAsia="方正小标宋_GBK" w:cs="方正小标宋_GBK"/>
          <w:b w:val="0"/>
          <w:bCs/>
          <w:color w:val="000000"/>
          <w:position w:val="16"/>
          <w:sz w:val="52"/>
          <w:szCs w:val="52"/>
          <w:lang w:val="en-US" w:eastAsia="zh-CN"/>
        </w:rPr>
        <w:t>技术规范书</w:t>
      </w: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ind w:firstLine="3614" w:firstLineChars="1000"/>
        <w:rPr>
          <w:rFonts w:hint="default" w:ascii="Times New Roman" w:hAnsi="Times New Roman" w:eastAsia="宋体" w:cs="Times New Roman"/>
          <w:b/>
          <w:color w:val="000000"/>
          <w:position w:val="16"/>
          <w:sz w:val="36"/>
          <w:szCs w:val="44"/>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pStyle w:val="17"/>
        <w:keepLines w:val="0"/>
        <w:pageBreakBefore w:val="0"/>
        <w:tabs>
          <w:tab w:val="left" w:pos="284"/>
        </w:tabs>
        <w:topLinePunct w:val="0"/>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color w:val="000000"/>
          <w:position w:val="16"/>
          <w:sz w:val="36"/>
        </w:rPr>
        <w:t>二〇</w:t>
      </w:r>
      <w:r>
        <w:rPr>
          <w:rFonts w:hint="default" w:ascii="Times New Roman" w:hAnsi="Times New Roman" w:eastAsia="宋体" w:cs="Times New Roman"/>
          <w:b/>
          <w:color w:val="000000"/>
          <w:position w:val="16"/>
          <w:sz w:val="36"/>
          <w:lang w:val="en-US" w:eastAsia="zh-CN"/>
        </w:rPr>
        <w:t>二</w:t>
      </w:r>
      <w:r>
        <w:rPr>
          <w:rFonts w:hint="eastAsia" w:ascii="Times New Roman" w:cs="Times New Roman"/>
          <w:b/>
          <w:color w:val="000000"/>
          <w:position w:val="16"/>
          <w:sz w:val="36"/>
          <w:lang w:val="en-US" w:eastAsia="zh-CN"/>
        </w:rPr>
        <w:t>六</w:t>
      </w:r>
      <w:r>
        <w:rPr>
          <w:rFonts w:hint="default" w:ascii="Times New Roman" w:hAnsi="Times New Roman" w:eastAsia="宋体" w:cs="Times New Roman"/>
          <w:b/>
          <w:color w:val="000000"/>
          <w:position w:val="16"/>
          <w:sz w:val="36"/>
        </w:rPr>
        <w:t>年</w:t>
      </w:r>
      <w:r>
        <w:rPr>
          <w:rFonts w:hint="eastAsia" w:ascii="Times New Roman" w:cs="Times New Roman"/>
          <w:b/>
          <w:color w:val="000000"/>
          <w:position w:val="16"/>
          <w:sz w:val="36"/>
          <w:lang w:val="en-US" w:eastAsia="zh-CN"/>
        </w:rPr>
        <w:t>八</w:t>
      </w:r>
      <w:r>
        <w:rPr>
          <w:rFonts w:hint="default" w:ascii="Times New Roman" w:hAnsi="Times New Roman" w:eastAsia="宋体" w:cs="Times New Roman"/>
          <w:b/>
          <w:color w:val="000000"/>
          <w:position w:val="16"/>
          <w:sz w:val="36"/>
        </w:rPr>
        <w:t>月</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color w:val="000000" w:themeColor="text1"/>
          <w:sz w:val="44"/>
          <w:szCs w:val="44"/>
          <w:lang w:val="en-US" w:eastAsia="zh-CN"/>
          <w14:textFill>
            <w14:solidFill>
              <w14:schemeClr w14:val="tx1"/>
            </w14:solidFill>
          </w14:textFill>
        </w:rPr>
      </w:pPr>
      <w:r>
        <w:rPr>
          <w:rFonts w:hint="default" w:ascii="方正小标宋_GBK" w:hAnsi="方正小标宋_GBK" w:eastAsia="方正小标宋_GBK" w:cs="方正小标宋_GBK"/>
          <w:color w:val="000000" w:themeColor="text1"/>
          <w:sz w:val="44"/>
          <w:szCs w:val="44"/>
          <w:lang w:val="en-US" w:eastAsia="zh-CN"/>
          <w14:textFill>
            <w14:solidFill>
              <w14:schemeClr w14:val="tx1"/>
            </w14:solidFill>
          </w14:textFill>
        </w:rPr>
        <w:t>海蓄公司2026年新办公楼网真会议室半弧形会议桌采购项目技术规范书</w:t>
      </w:r>
    </w:p>
    <w:p>
      <w:pPr>
        <w:jc w:val="left"/>
        <w:rPr>
          <w:rFonts w:hint="default" w:ascii="Times New Roman" w:hAnsi="Times New Roman" w:eastAsia="宋体" w:cs="Times New Roman"/>
          <w:b/>
          <w:sz w:val="28"/>
          <w:szCs w:val="24"/>
        </w:rPr>
      </w:pPr>
    </w:p>
    <w:p>
      <w:pPr>
        <w:keepNext w:val="0"/>
        <w:keepLines w:val="0"/>
        <w:pageBreakBefore w:val="0"/>
        <w:kinsoku/>
        <w:wordWrap/>
        <w:overflowPunct/>
        <w:topLinePunct w:val="0"/>
        <w:autoSpaceDE/>
        <w:autoSpaceDN/>
        <w:bidi w:val="0"/>
        <w:adjustRightInd/>
        <w:snapToGrid/>
        <w:spacing w:line="400" w:lineRule="exact"/>
        <w:jc w:val="left"/>
        <w:rPr>
          <w:rFonts w:hint="default" w:ascii="Times New Roman" w:hAnsi="Times New Roman" w:eastAsia="宋体" w:cs="Times New Roman"/>
          <w:b/>
          <w:sz w:val="28"/>
          <w:szCs w:val="24"/>
          <w:lang w:val="en-US" w:eastAsia="zh-CN"/>
        </w:rPr>
      </w:pPr>
      <w:r>
        <w:rPr>
          <w:rFonts w:hint="default" w:ascii="Times New Roman" w:hAnsi="Times New Roman" w:eastAsia="宋体" w:cs="Times New Roman"/>
          <w:b/>
          <w:sz w:val="28"/>
          <w:szCs w:val="24"/>
        </w:rPr>
        <w:t>一、</w:t>
      </w:r>
      <w:r>
        <w:rPr>
          <w:rFonts w:hint="eastAsia" w:ascii="Times New Roman" w:hAnsi="Times New Roman" w:cs="Times New Roman"/>
          <w:b/>
          <w:sz w:val="28"/>
          <w:szCs w:val="24"/>
          <w:lang w:val="en-US" w:eastAsia="zh-CN"/>
        </w:rPr>
        <w:t>引用标准</w:t>
      </w:r>
    </w:p>
    <w:p>
      <w:pPr>
        <w:keepNext w:val="0"/>
        <w:keepLines w:val="0"/>
        <w:pageBreakBefore w:val="0"/>
        <w:kinsoku/>
        <w:wordWrap/>
        <w:overflowPunct/>
        <w:topLinePunct w:val="0"/>
        <w:autoSpaceDE/>
        <w:autoSpaceDN/>
        <w:bidi w:val="0"/>
        <w:adjustRightInd/>
        <w:snapToGrid/>
        <w:spacing w:line="400" w:lineRule="exact"/>
        <w:ind w:firstLine="480" w:firstLineChars="200"/>
        <w:rPr>
          <w:rFonts w:hint="eastAsia" w:ascii="宋体" w:hAnsi="宋体" w:eastAsia="宋体" w:cs="宋体"/>
          <w:sz w:val="24"/>
          <w:szCs w:val="24"/>
          <w:lang w:eastAsia="zh-CN"/>
        </w:rPr>
      </w:pPr>
      <w:r>
        <w:rPr>
          <w:rFonts w:ascii="宋体" w:hAnsi="宋体" w:eastAsia="宋体" w:cs="宋体"/>
          <w:sz w:val="24"/>
          <w:szCs w:val="24"/>
        </w:rPr>
        <w:t>本技术规范书涉及产品须符合但不限于以下国家标准及行业规范：</w:t>
      </w:r>
    </w:p>
    <w:p>
      <w:pPr>
        <w:snapToGrid w:val="0"/>
        <w:spacing w:line="360" w:lineRule="auto"/>
        <w:ind w:firstLine="480" w:firstLineChars="200"/>
        <w:rPr>
          <w:rFonts w:ascii="宋体" w:hAnsi="宋体"/>
          <w:color w:val="auto"/>
          <w:sz w:val="24"/>
        </w:rPr>
      </w:pPr>
      <w:r>
        <w:rPr>
          <w:rFonts w:hint="eastAsia" w:ascii="宋体" w:hAnsi="宋体"/>
          <w:color w:val="auto"/>
          <w:sz w:val="24"/>
        </w:rPr>
        <w:t>木家具及其辅助材料的有害物质限量分别执行以下四项含有强制性条款的国家标准：</w:t>
      </w:r>
    </w:p>
    <w:p>
      <w:pPr>
        <w:snapToGrid w:val="0"/>
        <w:spacing w:line="360" w:lineRule="auto"/>
        <w:ind w:firstLine="480" w:firstLineChars="200"/>
        <w:rPr>
          <w:rFonts w:ascii="宋体" w:hAnsi="宋体"/>
          <w:color w:val="auto"/>
          <w:sz w:val="24"/>
        </w:rPr>
      </w:pPr>
      <w:r>
        <w:rPr>
          <w:rFonts w:hint="eastAsia" w:ascii="宋体" w:hAnsi="宋体"/>
          <w:color w:val="auto"/>
          <w:sz w:val="24"/>
        </w:rPr>
        <w:t>GB18580-20</w:t>
      </w:r>
      <w:r>
        <w:rPr>
          <w:rFonts w:hint="eastAsia" w:ascii="宋体" w:hAnsi="宋体"/>
          <w:color w:val="auto"/>
          <w:sz w:val="24"/>
          <w:lang w:val="en-US" w:eastAsia="zh-CN"/>
        </w:rPr>
        <w:t>17</w:t>
      </w:r>
      <w:r>
        <w:rPr>
          <w:rFonts w:hint="eastAsia" w:ascii="宋体" w:hAnsi="宋体"/>
          <w:color w:val="auto"/>
          <w:sz w:val="24"/>
        </w:rPr>
        <w:t>《室内装饰装修材料 人造板及其制品中甲醛释放量限量》</w:t>
      </w:r>
    </w:p>
    <w:p>
      <w:pPr>
        <w:snapToGrid w:val="0"/>
        <w:spacing w:line="360" w:lineRule="auto"/>
        <w:ind w:firstLine="480" w:firstLineChars="200"/>
        <w:rPr>
          <w:rFonts w:ascii="宋体" w:hAnsi="宋体"/>
          <w:color w:val="auto"/>
          <w:sz w:val="24"/>
        </w:rPr>
      </w:pPr>
      <w:r>
        <w:rPr>
          <w:rFonts w:hint="eastAsia" w:ascii="宋体" w:hAnsi="宋体"/>
          <w:color w:val="auto"/>
          <w:sz w:val="24"/>
        </w:rPr>
        <w:t>GB18581-200</w:t>
      </w:r>
      <w:r>
        <w:rPr>
          <w:rFonts w:hint="eastAsia" w:ascii="宋体" w:hAnsi="宋体"/>
          <w:color w:val="auto"/>
          <w:sz w:val="24"/>
          <w:lang w:val="en-US" w:eastAsia="zh-CN"/>
        </w:rPr>
        <w:t>9</w:t>
      </w:r>
      <w:r>
        <w:rPr>
          <w:rFonts w:hint="eastAsia" w:ascii="宋体" w:hAnsi="宋体"/>
          <w:color w:val="auto"/>
          <w:sz w:val="24"/>
        </w:rPr>
        <w:t>《室内装饰装修材料 溶剂型木器涂料中有害物质限量》</w:t>
      </w:r>
    </w:p>
    <w:p>
      <w:pPr>
        <w:snapToGrid w:val="0"/>
        <w:spacing w:line="360" w:lineRule="auto"/>
        <w:ind w:firstLine="480" w:firstLineChars="200"/>
        <w:rPr>
          <w:rFonts w:ascii="宋体" w:hAnsi="宋体"/>
          <w:color w:val="auto"/>
          <w:sz w:val="24"/>
        </w:rPr>
      </w:pPr>
      <w:r>
        <w:rPr>
          <w:rFonts w:hint="eastAsia" w:ascii="宋体" w:hAnsi="宋体"/>
          <w:color w:val="auto"/>
          <w:sz w:val="24"/>
        </w:rPr>
        <w:t>GB18583-200</w:t>
      </w:r>
      <w:r>
        <w:rPr>
          <w:rFonts w:hint="eastAsia" w:ascii="宋体" w:hAnsi="宋体"/>
          <w:color w:val="auto"/>
          <w:sz w:val="24"/>
          <w:lang w:val="en-US" w:eastAsia="zh-CN"/>
        </w:rPr>
        <w:t>8</w:t>
      </w:r>
      <w:r>
        <w:rPr>
          <w:rFonts w:hint="eastAsia" w:ascii="宋体" w:hAnsi="宋体"/>
          <w:color w:val="auto"/>
          <w:sz w:val="24"/>
        </w:rPr>
        <w:t>《室内装饰装修材料 胶黏剂中有害物质限量》</w:t>
      </w:r>
    </w:p>
    <w:p>
      <w:pPr>
        <w:snapToGrid w:val="0"/>
        <w:spacing w:line="360" w:lineRule="auto"/>
        <w:ind w:firstLine="480" w:firstLineChars="200"/>
        <w:rPr>
          <w:rFonts w:ascii="宋体" w:hAnsi="宋体"/>
          <w:color w:val="auto"/>
          <w:sz w:val="24"/>
        </w:rPr>
      </w:pPr>
      <w:r>
        <w:rPr>
          <w:rFonts w:hint="eastAsia" w:ascii="宋体" w:hAnsi="宋体"/>
          <w:color w:val="auto"/>
          <w:sz w:val="24"/>
        </w:rPr>
        <w:t>GB18584-2001《室内装饰装修材料 木家具中有害物质限量》</w:t>
      </w:r>
    </w:p>
    <w:p>
      <w:pPr>
        <w:snapToGrid w:val="0"/>
        <w:spacing w:line="360" w:lineRule="auto"/>
        <w:ind w:firstLine="480" w:firstLineChars="200"/>
        <w:rPr>
          <w:rFonts w:ascii="宋体" w:hAnsi="宋体"/>
          <w:color w:val="auto"/>
          <w:sz w:val="24"/>
        </w:rPr>
      </w:pPr>
      <w:r>
        <w:rPr>
          <w:rFonts w:hint="eastAsia" w:ascii="宋体" w:hAnsi="宋体"/>
          <w:color w:val="auto"/>
          <w:sz w:val="24"/>
        </w:rPr>
        <w:t>行业技术标准：</w:t>
      </w:r>
    </w:p>
    <w:tbl>
      <w:tblPr>
        <w:tblStyle w:val="29"/>
        <w:tblW w:w="8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636"/>
        <w:gridCol w:w="5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2" w:hRule="atLeast"/>
          <w:jc w:val="center"/>
        </w:trPr>
        <w:tc>
          <w:tcPr>
            <w:tcW w:w="2636"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GB/T3324-20</w:t>
            </w:r>
            <w:r>
              <w:rPr>
                <w:rFonts w:hint="eastAsia" w:ascii="宋体" w:hAnsi="宋体"/>
                <w:color w:val="auto"/>
                <w:sz w:val="24"/>
                <w:lang w:val="en-US" w:eastAsia="zh-CN"/>
              </w:rPr>
              <w:t>17</w:t>
            </w:r>
            <w:r>
              <w:rPr>
                <w:rFonts w:hint="eastAsia" w:ascii="宋体" w:hAnsi="宋体"/>
                <w:color w:val="auto"/>
                <w:sz w:val="24"/>
              </w:rPr>
              <w:t xml:space="preserve">  </w:t>
            </w:r>
          </w:p>
        </w:tc>
        <w:tc>
          <w:tcPr>
            <w:tcW w:w="5918"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木家具通用技术条件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8" w:hRule="atLeast"/>
          <w:jc w:val="center"/>
        </w:trPr>
        <w:tc>
          <w:tcPr>
            <w:tcW w:w="2636" w:type="dxa"/>
            <w:shd w:val="clear" w:color="auto" w:fill="auto"/>
            <w:noWrap w:val="0"/>
            <w:vAlign w:val="center"/>
          </w:tcPr>
          <w:p>
            <w:pPr>
              <w:snapToGrid w:val="0"/>
              <w:spacing w:line="360" w:lineRule="auto"/>
              <w:ind w:firstLine="480" w:firstLineChars="200"/>
              <w:rPr>
                <w:rFonts w:hint="eastAsia" w:ascii="宋体" w:hAnsi="宋体" w:eastAsia="宋体"/>
                <w:color w:val="auto"/>
                <w:sz w:val="24"/>
                <w:lang w:val="en-US" w:eastAsia="zh-CN"/>
              </w:rPr>
            </w:pPr>
            <w:r>
              <w:rPr>
                <w:rFonts w:hint="eastAsia" w:ascii="宋体" w:hAnsi="宋体"/>
                <w:color w:val="auto"/>
                <w:sz w:val="24"/>
              </w:rPr>
              <w:t>GB/T3325-20</w:t>
            </w:r>
            <w:r>
              <w:rPr>
                <w:rFonts w:hint="eastAsia" w:ascii="宋体" w:hAnsi="宋体"/>
                <w:color w:val="auto"/>
                <w:sz w:val="24"/>
                <w:lang w:val="en-US" w:eastAsia="zh-CN"/>
              </w:rPr>
              <w:t>17</w:t>
            </w:r>
          </w:p>
        </w:tc>
        <w:tc>
          <w:tcPr>
            <w:tcW w:w="5918"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金属家具通用技术条件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636"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GB/T1951.1-2010</w:t>
            </w:r>
          </w:p>
        </w:tc>
        <w:tc>
          <w:tcPr>
            <w:tcW w:w="5918"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木家具质量检验及质量评定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636"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GB/T1951.2-2013</w:t>
            </w:r>
          </w:p>
        </w:tc>
        <w:tc>
          <w:tcPr>
            <w:tcW w:w="5918"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金属家具质量检验及质量评定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8" w:hRule="atLeast"/>
          <w:jc w:val="center"/>
        </w:trPr>
        <w:tc>
          <w:tcPr>
            <w:tcW w:w="2636"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lang w:val="en-US" w:eastAsia="zh-CN"/>
              </w:rPr>
              <w:t>Q</w:t>
            </w:r>
            <w:r>
              <w:rPr>
                <w:rFonts w:hint="eastAsia" w:ascii="宋体" w:hAnsi="宋体"/>
                <w:color w:val="auto"/>
                <w:sz w:val="24"/>
              </w:rPr>
              <w:t>B/T1241-2013</w:t>
            </w:r>
          </w:p>
        </w:tc>
        <w:tc>
          <w:tcPr>
            <w:tcW w:w="5918"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家具五金家具拉手安装尺寸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jc w:val="center"/>
        </w:trPr>
        <w:tc>
          <w:tcPr>
            <w:tcW w:w="2636" w:type="dxa"/>
            <w:shd w:val="clear" w:color="auto" w:fill="auto"/>
            <w:noWrap w:val="0"/>
            <w:vAlign w:val="center"/>
          </w:tcPr>
          <w:p>
            <w:pPr>
              <w:snapToGrid w:val="0"/>
              <w:spacing w:line="360" w:lineRule="auto"/>
              <w:ind w:firstLine="480" w:firstLineChars="200"/>
              <w:rPr>
                <w:rFonts w:hint="eastAsia" w:ascii="宋体" w:hAnsi="宋体" w:eastAsia="宋体"/>
                <w:color w:val="auto"/>
                <w:sz w:val="24"/>
                <w:lang w:val="en-US" w:eastAsia="zh-CN"/>
              </w:rPr>
            </w:pPr>
            <w:r>
              <w:rPr>
                <w:rFonts w:hint="eastAsia" w:ascii="宋体" w:hAnsi="宋体"/>
                <w:color w:val="auto"/>
                <w:sz w:val="24"/>
                <w:lang w:val="en-US" w:eastAsia="zh-CN"/>
              </w:rPr>
              <w:t>Q</w:t>
            </w:r>
            <w:r>
              <w:rPr>
                <w:rFonts w:hint="eastAsia" w:ascii="宋体" w:hAnsi="宋体"/>
                <w:color w:val="auto"/>
                <w:sz w:val="24"/>
              </w:rPr>
              <w:t>B/T</w:t>
            </w:r>
            <w:r>
              <w:rPr>
                <w:rFonts w:hint="eastAsia" w:ascii="宋体" w:hAnsi="宋体"/>
                <w:color w:val="auto"/>
                <w:sz w:val="24"/>
                <w:lang w:val="en-US" w:eastAsia="zh-CN"/>
              </w:rPr>
              <w:t>24</w:t>
            </w:r>
            <w:r>
              <w:rPr>
                <w:rFonts w:hint="eastAsia" w:ascii="宋体" w:hAnsi="宋体"/>
                <w:color w:val="auto"/>
                <w:sz w:val="24"/>
              </w:rPr>
              <w:t>54</w:t>
            </w:r>
            <w:r>
              <w:rPr>
                <w:rFonts w:hint="eastAsia" w:ascii="宋体" w:hAnsi="宋体"/>
                <w:color w:val="auto"/>
                <w:sz w:val="24"/>
                <w:lang w:val="en-US" w:eastAsia="zh-CN"/>
              </w:rPr>
              <w:t>-1999</w:t>
            </w:r>
          </w:p>
        </w:tc>
        <w:tc>
          <w:tcPr>
            <w:tcW w:w="5918" w:type="dxa"/>
            <w:shd w:val="clear" w:color="auto" w:fill="auto"/>
            <w:noWrap w:val="0"/>
            <w:vAlign w:val="center"/>
          </w:tcPr>
          <w:p>
            <w:pPr>
              <w:snapToGrid w:val="0"/>
              <w:spacing w:line="360" w:lineRule="auto"/>
              <w:ind w:firstLine="480" w:firstLineChars="200"/>
              <w:rPr>
                <w:rFonts w:ascii="宋体" w:hAnsi="宋体"/>
                <w:color w:val="auto"/>
                <w:sz w:val="24"/>
              </w:rPr>
            </w:pPr>
            <w:r>
              <w:rPr>
                <w:rFonts w:hint="eastAsia" w:ascii="宋体" w:hAnsi="宋体"/>
                <w:color w:val="auto"/>
                <w:sz w:val="24"/>
              </w:rPr>
              <w:t>家具五金抽屉导轨要求和检验</w:t>
            </w:r>
          </w:p>
        </w:tc>
      </w:tr>
    </w:tbl>
    <w:p>
      <w:pPr>
        <w:keepNext w:val="0"/>
        <w:keepLines w:val="0"/>
        <w:pageBreakBefore w:val="0"/>
        <w:kinsoku/>
        <w:wordWrap/>
        <w:overflowPunct/>
        <w:topLinePunct w:val="0"/>
        <w:autoSpaceDE/>
        <w:autoSpaceDN/>
        <w:bidi w:val="0"/>
        <w:adjustRightInd/>
        <w:snapToGrid/>
        <w:spacing w:line="400" w:lineRule="exact"/>
        <w:ind w:firstLine="480" w:firstLineChars="200"/>
        <w:rPr>
          <w:rFonts w:hint="eastAsia" w:cs="宋体"/>
          <w:sz w:val="24"/>
          <w:szCs w:val="24"/>
          <w:lang w:val="en-US" w:eastAsia="zh-CN"/>
        </w:rPr>
      </w:pPr>
    </w:p>
    <w:p>
      <w:pPr>
        <w:keepNext w:val="0"/>
        <w:keepLines w:val="0"/>
        <w:pageBreakBefore w:val="0"/>
        <w:numPr>
          <w:ilvl w:val="0"/>
          <w:numId w:val="4"/>
        </w:numPr>
        <w:kinsoku/>
        <w:wordWrap/>
        <w:overflowPunct/>
        <w:topLinePunct w:val="0"/>
        <w:autoSpaceDE/>
        <w:autoSpaceDN/>
        <w:bidi w:val="0"/>
        <w:adjustRightInd/>
        <w:snapToGrid/>
        <w:spacing w:line="400" w:lineRule="exact"/>
        <w:ind w:left="0" w:leftChars="0" w:firstLine="0" w:firstLineChars="0"/>
        <w:rPr>
          <w:rFonts w:hint="eastAsia" w:ascii="宋体" w:hAnsi="宋体" w:cs="宋体"/>
          <w:sz w:val="24"/>
          <w:szCs w:val="24"/>
        </w:rPr>
      </w:pPr>
      <w:r>
        <w:rPr>
          <w:rFonts w:hint="eastAsia" w:ascii="宋体" w:hAnsi="宋体" w:eastAsia="宋体" w:cs="Times New Roman"/>
          <w:b/>
          <w:sz w:val="28"/>
          <w:szCs w:val="28"/>
        </w:rPr>
        <w:t>办公家具质量保证要求</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乙方须提供全新的货物（含零部件、配件等），表面无划伤、无碰撞痕迹，且权属清楚，不得侵害他人的知识产权。</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乙方交付使用的产品质量标准及检验方法均需符合相关的国家强制及推荐标准、行业标准、地方标准、企业标准，当标准之间存在冲突或重叠时，以最为有利于甲方的标准执行，甲方拥有最后决定权，并不得低于甲方已确认的家具的外观、工艺及质量。</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所</w:t>
      </w:r>
      <w:r>
        <w:rPr>
          <w:rFonts w:hint="eastAsia" w:cs="宋体"/>
          <w:sz w:val="24"/>
          <w:szCs w:val="24"/>
          <w:lang w:val="en-US" w:eastAsia="zh-CN"/>
        </w:rPr>
        <w:t>用</w:t>
      </w:r>
      <w:r>
        <w:rPr>
          <w:rFonts w:hint="eastAsia" w:ascii="宋体" w:hAnsi="宋体" w:cs="宋体"/>
          <w:sz w:val="24"/>
          <w:szCs w:val="24"/>
        </w:rPr>
        <w:t>板材都要经过蒸压煮、烘干、杀菌、杀虫处理。材料不会变形、生虫、不带有害气体；封边贴面及内材结构所用胶水，功能上能使板材粘连无丝无缝，在不同气温、湿度的变化中不受影响，不变形、不开裂。</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货物制造质量出现问题，乙方应负责三包（包修、包换、包退），费用由乙方负担。</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货物经甲方验收合格前由于运输、保管、安装等出现质量问题产生的费用由乙方负责。</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所有油漆必须采用环保产品。</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left="0" w:leftChars="0" w:firstLine="480" w:firstLineChars="200"/>
        <w:rPr>
          <w:rFonts w:hint="eastAsia" w:ascii="宋体" w:hAnsi="宋体" w:cs="宋体"/>
          <w:sz w:val="24"/>
          <w:szCs w:val="24"/>
        </w:rPr>
      </w:pPr>
      <w:r>
        <w:rPr>
          <w:rFonts w:hint="eastAsia" w:cs="宋体"/>
          <w:sz w:val="24"/>
          <w:szCs w:val="24"/>
          <w:lang w:val="en-US" w:eastAsia="zh-CN"/>
        </w:rPr>
        <w:t>乙方需将成品的主材、胶水</w:t>
      </w:r>
      <w:r>
        <w:rPr>
          <w:rFonts w:hint="eastAsia" w:ascii="宋体" w:hAnsi="宋体" w:cs="宋体"/>
          <w:sz w:val="24"/>
          <w:szCs w:val="24"/>
        </w:rPr>
        <w:t>进行送检</w:t>
      </w:r>
      <w:r>
        <w:rPr>
          <w:rFonts w:hint="eastAsia" w:cs="宋体"/>
          <w:sz w:val="24"/>
          <w:szCs w:val="24"/>
          <w:lang w:eastAsia="zh-CN"/>
        </w:rPr>
        <w:t>，</w:t>
      </w:r>
      <w:r>
        <w:rPr>
          <w:rFonts w:hint="eastAsia" w:cs="宋体"/>
          <w:sz w:val="24"/>
          <w:szCs w:val="24"/>
          <w:lang w:val="en-US" w:eastAsia="zh-CN"/>
        </w:rPr>
        <w:t>并提交检测报告至甲方验收。</w:t>
      </w:r>
      <w:r>
        <w:rPr>
          <w:rFonts w:hint="eastAsia" w:ascii="宋体" w:hAnsi="宋体" w:cs="宋体"/>
          <w:sz w:val="24"/>
          <w:szCs w:val="24"/>
        </w:rPr>
        <w:t>乙方负责样品运至检测中心产生的运输费、检测实验费和样品生产成本。</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质保期满后，若有零部件出现故障，经权威部门鉴定属于寿命异常问题（明显短于该零部件正常寿命）时，则由乙方负责免费更换及维修。</w:t>
      </w:r>
    </w:p>
    <w:p>
      <w:pPr>
        <w:pStyle w:val="27"/>
        <w:keepNext w:val="0"/>
        <w:keepLines w:val="0"/>
        <w:pageBreakBefore w:val="0"/>
        <w:widowControl/>
        <w:numPr>
          <w:ilvl w:val="0"/>
          <w:numId w:val="5"/>
        </w:numPr>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验收标准：以本规范书技术参</w:t>
      </w:r>
      <w:bookmarkStart w:id="0" w:name="_GoBack"/>
      <w:bookmarkEnd w:id="0"/>
      <w:r>
        <w:rPr>
          <w:rFonts w:hint="eastAsia" w:ascii="宋体" w:hAnsi="宋体" w:cs="宋体"/>
          <w:sz w:val="24"/>
          <w:szCs w:val="24"/>
        </w:rPr>
        <w:t>数、</w:t>
      </w:r>
      <w:r>
        <w:rPr>
          <w:rFonts w:hint="eastAsia" w:cs="宋体"/>
          <w:sz w:val="24"/>
          <w:szCs w:val="24"/>
          <w:lang w:val="en-US" w:eastAsia="zh-CN"/>
        </w:rPr>
        <w:t>甲</w:t>
      </w:r>
      <w:r>
        <w:rPr>
          <w:rFonts w:hint="eastAsia" w:ascii="宋体" w:hAnsi="宋体" w:cs="宋体"/>
          <w:sz w:val="24"/>
          <w:szCs w:val="24"/>
        </w:rPr>
        <w:t>方确认样品及国家现行标准为验收依据。</w:t>
      </w:r>
    </w:p>
    <w:p>
      <w:pPr>
        <w:keepNext w:val="0"/>
        <w:keepLines w:val="0"/>
        <w:pageBreakBefore w:val="0"/>
        <w:widowControl/>
        <w:kinsoku/>
        <w:wordWrap/>
        <w:overflowPunct/>
        <w:topLinePunct w:val="0"/>
        <w:autoSpaceDE/>
        <w:autoSpaceDN/>
        <w:bidi w:val="0"/>
        <w:adjustRightInd/>
        <w:snapToGrid/>
        <w:spacing w:line="400" w:lineRule="exact"/>
        <w:rPr>
          <w:rFonts w:hint="eastAsia" w:ascii="Times New Roman" w:hAnsi="Times New Roman" w:cs="Times New Roman"/>
          <w:b/>
          <w:sz w:val="28"/>
          <w:szCs w:val="24"/>
          <w:lang w:val="en-US" w:eastAsia="zh-CN"/>
        </w:rPr>
      </w:pPr>
      <w:r>
        <w:rPr>
          <w:rFonts w:hint="eastAsia" w:ascii="Times New Roman" w:hAnsi="Times New Roman" w:cs="Times New Roman"/>
          <w:b/>
          <w:sz w:val="28"/>
          <w:szCs w:val="24"/>
          <w:lang w:val="en-US" w:eastAsia="zh-CN"/>
        </w:rPr>
        <w:t xml:space="preserve">三、 </w:t>
      </w:r>
      <w:r>
        <w:rPr>
          <w:rFonts w:hint="eastAsia" w:ascii="宋体" w:hAnsi="宋体" w:eastAsia="宋体" w:cs="Times New Roman"/>
          <w:b/>
          <w:sz w:val="28"/>
          <w:szCs w:val="28"/>
        </w:rPr>
        <w:t>供货及包装、运输安装技术要求</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宋体" w:hAnsi="宋体" w:cs="宋体"/>
          <w:sz w:val="24"/>
          <w:szCs w:val="24"/>
        </w:rPr>
      </w:pPr>
      <w:r>
        <w:rPr>
          <w:rFonts w:hint="eastAsia" w:ascii="宋体" w:hAnsi="宋体" w:cs="宋体"/>
          <w:sz w:val="24"/>
          <w:szCs w:val="24"/>
        </w:rPr>
        <w:t>1</w:t>
      </w:r>
      <w:r>
        <w:rPr>
          <w:rFonts w:hint="eastAsia" w:cs="宋体"/>
          <w:sz w:val="24"/>
          <w:szCs w:val="24"/>
          <w:lang w:eastAsia="zh-CN"/>
        </w:rPr>
        <w:t>、自中标通知书发出之日起1</w:t>
      </w:r>
      <w:r>
        <w:rPr>
          <w:rFonts w:hint="eastAsia" w:cs="宋体"/>
          <w:sz w:val="24"/>
          <w:szCs w:val="24"/>
          <w:lang w:val="en-US" w:eastAsia="zh-CN"/>
        </w:rPr>
        <w:t>4</w:t>
      </w:r>
      <w:r>
        <w:rPr>
          <w:rFonts w:hint="eastAsia" w:cs="宋体"/>
          <w:sz w:val="24"/>
          <w:szCs w:val="24"/>
          <w:lang w:eastAsia="zh-CN"/>
        </w:rPr>
        <w:t>天内，乙方把</w:t>
      </w:r>
      <w:r>
        <w:rPr>
          <w:rFonts w:hint="eastAsia" w:cs="宋体"/>
          <w:sz w:val="24"/>
          <w:szCs w:val="24"/>
          <w:lang w:val="en-US" w:eastAsia="zh-CN"/>
        </w:rPr>
        <w:t>会议桌</w:t>
      </w:r>
      <w:r>
        <w:rPr>
          <w:rFonts w:hint="eastAsia" w:cs="宋体"/>
          <w:sz w:val="24"/>
          <w:szCs w:val="24"/>
          <w:lang w:eastAsia="zh-CN"/>
        </w:rPr>
        <w:t>送达交货地点并完成货物的安装、调试以便甲方验收。</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cs="宋体"/>
          <w:sz w:val="24"/>
          <w:szCs w:val="24"/>
          <w:lang w:eastAsia="zh-CN"/>
        </w:rPr>
      </w:pPr>
      <w:r>
        <w:rPr>
          <w:rFonts w:hint="eastAsia" w:cs="宋体"/>
          <w:sz w:val="24"/>
          <w:szCs w:val="24"/>
          <w:lang w:val="en-US" w:eastAsia="zh-CN"/>
        </w:rPr>
        <w:t>2</w:t>
      </w:r>
      <w:r>
        <w:rPr>
          <w:rFonts w:hint="eastAsia" w:cs="宋体"/>
          <w:sz w:val="24"/>
          <w:szCs w:val="24"/>
          <w:lang w:eastAsia="zh-CN"/>
        </w:rPr>
        <w:t>、包装必须与运输方式相适应，包装方式的确定及包装费用均由乙方负责；由于不适当的包装而造成货物在运输过程中有任何损坏由乙方负责。</w:t>
      </w:r>
    </w:p>
    <w:p>
      <w:pPr>
        <w:keepNext w:val="0"/>
        <w:keepLines w:val="0"/>
        <w:pageBreakBefore w:val="0"/>
        <w:widowControl/>
        <w:kinsoku/>
        <w:wordWrap/>
        <w:overflowPunct/>
        <w:topLinePunct w:val="0"/>
        <w:autoSpaceDE/>
        <w:autoSpaceDN/>
        <w:bidi w:val="0"/>
        <w:adjustRightInd/>
        <w:snapToGrid/>
        <w:spacing w:line="400" w:lineRule="exact"/>
        <w:rPr>
          <w:rFonts w:hint="eastAsia" w:ascii="宋体" w:hAnsi="宋体" w:eastAsia="宋体" w:cs="Times New Roman"/>
          <w:b/>
          <w:sz w:val="28"/>
          <w:szCs w:val="28"/>
        </w:rPr>
      </w:pPr>
      <w:r>
        <w:rPr>
          <w:rFonts w:hint="eastAsia" w:ascii="Times New Roman" w:hAnsi="Times New Roman" w:cs="Times New Roman"/>
          <w:b/>
          <w:sz w:val="28"/>
          <w:szCs w:val="24"/>
          <w:lang w:val="en-US" w:eastAsia="zh-CN"/>
        </w:rPr>
        <w:t>四</w:t>
      </w:r>
      <w:r>
        <w:rPr>
          <w:rFonts w:hint="default" w:ascii="Times New Roman" w:hAnsi="Times New Roman" w:eastAsia="宋体" w:cs="Times New Roman"/>
          <w:b/>
          <w:sz w:val="28"/>
          <w:szCs w:val="24"/>
        </w:rPr>
        <w:t>、</w:t>
      </w:r>
      <w:r>
        <w:rPr>
          <w:rFonts w:hint="eastAsia" w:ascii="宋体" w:hAnsi="宋体" w:eastAsia="宋体" w:cs="Times New Roman"/>
          <w:b/>
          <w:sz w:val="28"/>
          <w:szCs w:val="28"/>
        </w:rPr>
        <w:t>售后及增值服务要求</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default" w:ascii="宋体" w:hAnsi="宋体" w:cs="宋体"/>
          <w:sz w:val="24"/>
          <w:szCs w:val="24"/>
          <w:lang w:val="en-US" w:eastAsia="zh-CN"/>
        </w:rPr>
      </w:pPr>
      <w:r>
        <w:rPr>
          <w:rFonts w:hint="default" w:ascii="宋体" w:hAnsi="宋体" w:cs="宋体"/>
          <w:sz w:val="24"/>
          <w:szCs w:val="24"/>
          <w:lang w:val="en-US" w:eastAsia="zh-CN"/>
        </w:rPr>
        <w:t>1、乙方指派</w:t>
      </w:r>
      <w:r>
        <w:rPr>
          <w:rFonts w:hint="eastAsia" w:cs="宋体"/>
          <w:sz w:val="24"/>
          <w:szCs w:val="24"/>
          <w:lang w:val="en-US" w:eastAsia="zh-CN"/>
        </w:rPr>
        <w:t>一名</w:t>
      </w:r>
      <w:r>
        <w:rPr>
          <w:rFonts w:hint="default" w:ascii="宋体" w:hAnsi="宋体" w:cs="宋体"/>
          <w:sz w:val="24"/>
          <w:szCs w:val="24"/>
          <w:lang w:val="en-US" w:eastAsia="zh-CN"/>
        </w:rPr>
        <w:t>负责</w:t>
      </w:r>
      <w:r>
        <w:rPr>
          <w:rFonts w:hint="eastAsia" w:cs="宋体"/>
          <w:sz w:val="24"/>
          <w:szCs w:val="24"/>
          <w:lang w:val="en-US" w:eastAsia="zh-CN"/>
        </w:rPr>
        <w:t>人</w:t>
      </w:r>
      <w:r>
        <w:rPr>
          <w:rFonts w:hint="default" w:ascii="宋体" w:hAnsi="宋体" w:cs="宋体"/>
          <w:sz w:val="24"/>
          <w:szCs w:val="24"/>
          <w:lang w:val="en-US" w:eastAsia="zh-CN"/>
        </w:rPr>
        <w:t>与甲方联系售后服务事宜。</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default" w:ascii="宋体" w:hAnsi="宋体" w:cs="宋体"/>
          <w:sz w:val="24"/>
          <w:szCs w:val="24"/>
          <w:lang w:val="en-US" w:eastAsia="zh-CN"/>
        </w:rPr>
      </w:pPr>
      <w:r>
        <w:rPr>
          <w:rFonts w:hint="default" w:ascii="宋体" w:hAnsi="宋体" w:cs="宋体"/>
          <w:sz w:val="24"/>
          <w:szCs w:val="24"/>
          <w:lang w:val="en-US" w:eastAsia="zh-CN"/>
        </w:rPr>
        <w:t>2、乙方提供5年质保服务（包工包料包差旅费），在非人为损坏的情况下若不可维修的承诺免费更换。保修期自验收合格日起计算，保修费用计入总价，不再收取任何费用。</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default" w:ascii="宋体" w:hAnsi="宋体" w:cs="宋体"/>
          <w:sz w:val="24"/>
          <w:szCs w:val="24"/>
          <w:lang w:val="en-US" w:eastAsia="zh-CN"/>
        </w:rPr>
      </w:pPr>
      <w:r>
        <w:rPr>
          <w:rFonts w:hint="default" w:ascii="宋体" w:hAnsi="宋体" w:cs="宋体"/>
          <w:sz w:val="24"/>
          <w:szCs w:val="24"/>
          <w:lang w:val="en-US" w:eastAsia="zh-CN"/>
        </w:rPr>
        <w:t>3、货物故障报修24小时内响应，48小时内到场维修或更换。</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default" w:ascii="宋体" w:hAnsi="宋体" w:cs="宋体"/>
          <w:sz w:val="24"/>
          <w:szCs w:val="24"/>
          <w:lang w:val="en-US" w:eastAsia="zh-CN"/>
        </w:rPr>
      </w:pPr>
      <w:r>
        <w:rPr>
          <w:rFonts w:hint="eastAsia" w:cs="宋体"/>
          <w:sz w:val="24"/>
          <w:szCs w:val="24"/>
          <w:lang w:val="en-US" w:eastAsia="zh-CN"/>
        </w:rPr>
        <w:t>4</w:t>
      </w:r>
      <w:r>
        <w:rPr>
          <w:rFonts w:hint="default" w:ascii="宋体" w:hAnsi="宋体" w:cs="宋体"/>
          <w:sz w:val="24"/>
          <w:szCs w:val="24"/>
          <w:lang w:val="en-US" w:eastAsia="zh-CN"/>
        </w:rPr>
        <w:t>、所有货物质保服务方式均为乙方上门保修，即由乙方派员到货物使用现场维修，由此产生的一切费用均由乙方承担。</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default" w:ascii="宋体" w:hAnsi="宋体" w:cs="宋体"/>
          <w:sz w:val="24"/>
          <w:szCs w:val="24"/>
          <w:lang w:val="en-US" w:eastAsia="zh-CN"/>
        </w:rPr>
      </w:pPr>
      <w:r>
        <w:rPr>
          <w:rFonts w:hint="eastAsia" w:cs="宋体"/>
          <w:sz w:val="24"/>
          <w:szCs w:val="24"/>
          <w:lang w:val="en-US" w:eastAsia="zh-CN"/>
        </w:rPr>
        <w:t>5</w:t>
      </w:r>
      <w:r>
        <w:rPr>
          <w:rFonts w:hint="default" w:ascii="宋体" w:hAnsi="宋体" w:cs="宋体"/>
          <w:sz w:val="24"/>
          <w:szCs w:val="24"/>
          <w:lang w:val="en-US" w:eastAsia="zh-CN"/>
        </w:rPr>
        <w:t>、保修期后的货物维护由双方协商再定。</w:t>
      </w:r>
    </w:p>
    <w:p>
      <w:pPr>
        <w:keepNext w:val="0"/>
        <w:keepLines w:val="0"/>
        <w:pageBreakBefore w:val="0"/>
        <w:widowControl/>
        <w:kinsoku/>
        <w:wordWrap/>
        <w:overflowPunct/>
        <w:topLinePunct w:val="0"/>
        <w:autoSpaceDE/>
        <w:autoSpaceDN/>
        <w:bidi w:val="0"/>
        <w:adjustRightInd/>
        <w:snapToGrid/>
        <w:spacing w:line="400" w:lineRule="exact"/>
        <w:rPr>
          <w:rFonts w:hint="default" w:ascii="Times New Roman" w:hAnsi="Times New Roman" w:eastAsia="宋体" w:cs="Times New Roman"/>
          <w:b/>
          <w:sz w:val="28"/>
          <w:szCs w:val="24"/>
        </w:rPr>
      </w:pPr>
      <w:r>
        <w:rPr>
          <w:rFonts w:hint="eastAsia" w:ascii="Times New Roman" w:hAnsi="Times New Roman" w:cs="Times New Roman"/>
          <w:b/>
          <w:sz w:val="28"/>
          <w:szCs w:val="24"/>
          <w:lang w:val="en-US" w:eastAsia="zh-CN"/>
        </w:rPr>
        <w:t>五</w:t>
      </w:r>
      <w:r>
        <w:rPr>
          <w:rFonts w:hint="default" w:ascii="Times New Roman" w:hAnsi="Times New Roman" w:eastAsia="宋体" w:cs="Times New Roman"/>
          <w:b/>
          <w:sz w:val="28"/>
          <w:szCs w:val="24"/>
        </w:rPr>
        <w:t>、</w:t>
      </w:r>
      <w:r>
        <w:rPr>
          <w:rFonts w:hint="default" w:ascii="Times New Roman" w:hAnsi="Times New Roman" w:eastAsia="宋体" w:cs="Times New Roman"/>
          <w:b/>
          <w:sz w:val="28"/>
          <w:szCs w:val="24"/>
          <w:lang w:val="en-US" w:eastAsia="zh-CN"/>
        </w:rPr>
        <w:t>项目支付</w:t>
      </w:r>
      <w:r>
        <w:rPr>
          <w:rFonts w:hint="default" w:ascii="Times New Roman" w:hAnsi="Times New Roman" w:eastAsia="宋体" w:cs="Times New Roman"/>
          <w:b/>
          <w:sz w:val="28"/>
          <w:szCs w:val="24"/>
        </w:rPr>
        <w:t>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default" w:ascii="Times New Roman" w:hAnsi="Times New Roman" w:cs="Times New Roman"/>
          <w:kern w:val="0"/>
          <w:sz w:val="24"/>
          <w:szCs w:val="24"/>
          <w:lang w:val="en-US" w:eastAsia="zh-CN"/>
        </w:rPr>
      </w:pPr>
      <w:r>
        <w:rPr>
          <w:rFonts w:hint="eastAsia" w:ascii="Times New Roman" w:hAnsi="Times New Roman" w:cs="Times New Roman"/>
          <w:color w:val="auto"/>
          <w:kern w:val="0"/>
          <w:sz w:val="24"/>
          <w:szCs w:val="24"/>
          <w:lang w:val="en-US" w:eastAsia="zh-CN"/>
        </w:rPr>
        <w:t>会议桌</w:t>
      </w:r>
      <w:r>
        <w:rPr>
          <w:rFonts w:hint="eastAsia" w:ascii="Times New Roman" w:hAnsi="Times New Roman" w:cs="Times New Roman"/>
          <w:kern w:val="0"/>
          <w:sz w:val="24"/>
          <w:szCs w:val="24"/>
          <w:lang w:val="en-US" w:eastAsia="zh-CN"/>
        </w:rPr>
        <w:t>生产完毕运抵甲方指定地点安装调试，经甲方验收通过并出具验收合格的书面意见后，</w:t>
      </w:r>
      <w:r>
        <w:rPr>
          <w:rFonts w:hint="default" w:ascii="Times New Roman" w:hAnsi="Times New Roman" w:cs="Times New Roman"/>
          <w:kern w:val="0"/>
          <w:sz w:val="24"/>
          <w:szCs w:val="24"/>
          <w:lang w:val="en-US" w:eastAsia="zh-CN"/>
        </w:rPr>
        <w:t>乙方提供增值税专用发票，甲方在30个工作日内完成支付。</w:t>
      </w:r>
    </w:p>
    <w:p>
      <w:pPr>
        <w:keepNext w:val="0"/>
        <w:keepLines w:val="0"/>
        <w:pageBreakBefore w:val="0"/>
        <w:kinsoku/>
        <w:wordWrap/>
        <w:overflowPunct/>
        <w:topLinePunct w:val="0"/>
        <w:autoSpaceDE/>
        <w:autoSpaceDN/>
        <w:bidi w:val="0"/>
        <w:adjustRightInd/>
        <w:snapToGrid/>
        <w:spacing w:line="400" w:lineRule="exact"/>
        <w:rPr>
          <w:rFonts w:hint="default" w:ascii="Times New Roman" w:hAnsi="Times New Roman" w:eastAsia="宋体" w:cs="Times New Roman"/>
          <w:b/>
          <w:bCs w:val="0"/>
          <w:color w:val="auto"/>
          <w:sz w:val="28"/>
          <w:szCs w:val="24"/>
        </w:rPr>
      </w:pPr>
      <w:r>
        <w:rPr>
          <w:rFonts w:hint="eastAsia" w:ascii="Times New Roman" w:hAnsi="Times New Roman" w:cs="Times New Roman"/>
          <w:b/>
          <w:bCs w:val="0"/>
          <w:color w:val="auto"/>
          <w:sz w:val="28"/>
          <w:szCs w:val="24"/>
          <w:lang w:val="en-US" w:eastAsia="zh-CN"/>
        </w:rPr>
        <w:t>六</w:t>
      </w:r>
      <w:r>
        <w:rPr>
          <w:rFonts w:hint="default" w:ascii="Times New Roman" w:hAnsi="Times New Roman" w:eastAsia="宋体" w:cs="Times New Roman"/>
          <w:b/>
          <w:bCs w:val="0"/>
          <w:color w:val="auto"/>
          <w:sz w:val="28"/>
          <w:szCs w:val="24"/>
        </w:rPr>
        <w:t>、其他要求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1、知识产权：供应商须保证所供产品不侵犯任何第三方的知识产权，若涉及侵权纠纷，由供应商承担全部法律责任及经济损失。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2、环保一致性：生产过程中所有材料（含基材、油漆、胶粘剂、封边条）须与投标文件及封样样品一致，严禁以次充好。</w:t>
      </w:r>
    </w:p>
    <w:p>
      <w:pPr>
        <w:keepNext w:val="0"/>
        <w:keepLines w:val="0"/>
        <w:pageBreakBefore w:val="0"/>
        <w:kinsoku/>
        <w:wordWrap/>
        <w:overflowPunct/>
        <w:topLinePunct w:val="0"/>
        <w:autoSpaceDE/>
        <w:autoSpaceDN/>
        <w:bidi w:val="0"/>
        <w:adjustRightInd/>
        <w:snapToGrid/>
        <w:spacing w:line="400" w:lineRule="exact"/>
        <w:rPr>
          <w:rFonts w:hint="default" w:ascii="Times New Roman" w:hAnsi="Times New Roman" w:eastAsia="宋体" w:cs="Times New Roman"/>
          <w:b/>
          <w:bCs w:val="0"/>
          <w:color w:val="auto"/>
          <w:sz w:val="28"/>
          <w:szCs w:val="24"/>
          <w:lang w:val="en-US" w:eastAsia="zh-CN"/>
        </w:rPr>
      </w:pPr>
      <w:r>
        <w:rPr>
          <w:rFonts w:hint="eastAsia" w:ascii="Times New Roman" w:hAnsi="Times New Roman" w:cs="Times New Roman"/>
          <w:b/>
          <w:bCs w:val="0"/>
          <w:color w:val="auto"/>
          <w:sz w:val="28"/>
          <w:szCs w:val="24"/>
          <w:lang w:val="en-US" w:eastAsia="zh-CN"/>
        </w:rPr>
        <w:t>七</w:t>
      </w:r>
      <w:r>
        <w:rPr>
          <w:rFonts w:hint="default" w:ascii="Times New Roman" w:hAnsi="Times New Roman" w:eastAsia="宋体" w:cs="Times New Roman"/>
          <w:b/>
          <w:bCs w:val="0"/>
          <w:color w:val="auto"/>
          <w:sz w:val="28"/>
          <w:szCs w:val="24"/>
        </w:rPr>
        <w:t>、</w:t>
      </w:r>
      <w:r>
        <w:rPr>
          <w:rFonts w:hint="eastAsia" w:ascii="Times New Roman" w:hAnsi="Times New Roman" w:cs="Times New Roman"/>
          <w:b/>
          <w:bCs w:val="0"/>
          <w:color w:val="auto"/>
          <w:sz w:val="28"/>
          <w:szCs w:val="24"/>
          <w:lang w:val="en-US" w:eastAsia="zh-CN"/>
        </w:rPr>
        <w:t>平面图尺寸</w:t>
      </w:r>
    </w:p>
    <w:p>
      <w:pPr>
        <w:pStyle w:val="2"/>
        <w:rPr>
          <w:rFonts w:hint="eastAsia"/>
          <w:lang w:eastAsia="zh-CN"/>
        </w:rPr>
      </w:pPr>
      <w:r>
        <w:rPr>
          <w:rFonts w:hint="eastAsia"/>
          <w:lang w:eastAsia="zh-CN"/>
        </w:rPr>
        <w:drawing>
          <wp:inline distT="0" distB="0" distL="114300" distR="114300">
            <wp:extent cx="5265420" cy="3449320"/>
            <wp:effectExtent l="0" t="0" r="7620" b="10160"/>
            <wp:docPr id="1" name="图片 1" descr="ac80e2572abf19550e24d1041994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c80e2572abf19550e24d10419944989"/>
                    <pic:cNvPicPr>
                      <a:picLocks noChangeAspect="1"/>
                    </pic:cNvPicPr>
                  </pic:nvPicPr>
                  <pic:blipFill>
                    <a:blip r:embed="rId4"/>
                    <a:stretch>
                      <a:fillRect/>
                    </a:stretch>
                  </pic:blipFill>
                  <pic:spPr>
                    <a:xfrm>
                      <a:off x="0" y="0"/>
                      <a:ext cx="5265420" cy="344932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default" w:ascii="Times New Roman" w:hAnsi="Times New Roman" w:cs="Times New Roman"/>
          <w:kern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FF7B28"/>
    <w:multiLevelType w:val="singleLevel"/>
    <w:tmpl w:val="ABFF7B28"/>
    <w:lvl w:ilvl="0" w:tentative="0">
      <w:start w:val="1"/>
      <w:numFmt w:val="decimal"/>
      <w:suff w:val="nothing"/>
      <w:lvlText w:val="%1、"/>
      <w:lvlJc w:val="left"/>
    </w:lvl>
  </w:abstractNum>
  <w:abstractNum w:abstractNumId="1">
    <w:nsid w:val="22BE08DA"/>
    <w:multiLevelType w:val="multilevel"/>
    <w:tmpl w:val="22BE08DA"/>
    <w:lvl w:ilvl="0" w:tentative="0">
      <w:start w:val="1"/>
      <w:numFmt w:val="decimal"/>
      <w:lvlText w:val="%1"/>
      <w:lvlJc w:val="left"/>
      <w:pPr>
        <w:ind w:left="425" w:hanging="425"/>
      </w:pPr>
      <w:rPr>
        <w:rFonts w:hint="eastAsia"/>
      </w:rPr>
    </w:lvl>
    <w:lvl w:ilvl="1" w:tentative="0">
      <w:start w:val="1"/>
      <w:numFmt w:val="decimal"/>
      <w:lvlText w:val="%1.%2"/>
      <w:lvlJc w:val="left"/>
      <w:pPr>
        <w:ind w:left="992" w:hanging="992"/>
      </w:pPr>
      <w:rPr>
        <w:rFonts w:hint="eastAsia" w:ascii="黑体" w:hAnsi="黑体" w:eastAsia="黑体"/>
        <w:b w:val="0"/>
        <w:color w:val="auto"/>
      </w:rPr>
    </w:lvl>
    <w:lvl w:ilvl="2" w:tentative="0">
      <w:start w:val="1"/>
      <w:numFmt w:val="decimal"/>
      <w:suff w:val="space"/>
      <w:lvlText w:val="%1.%2.%3"/>
      <w:lvlJc w:val="left"/>
      <w:pPr>
        <w:ind w:left="851" w:hanging="851"/>
      </w:pPr>
      <w:rPr>
        <w:rFonts w:hint="eastAsia" w:ascii="黑体" w:hAnsi="黑体" w:eastAsia="黑体"/>
        <w:b w:val="0"/>
        <w:color w:val="auto"/>
      </w:rPr>
    </w:lvl>
    <w:lvl w:ilvl="3" w:tentative="0">
      <w:start w:val="1"/>
      <w:numFmt w:val="decimal"/>
      <w:pStyle w:val="23"/>
      <w:suff w:val="space"/>
      <w:lvlText w:val="%1.%2.%3.%4"/>
      <w:lvlJc w:val="left"/>
      <w:pPr>
        <w:ind w:left="1984" w:hanging="1984"/>
      </w:pPr>
      <w:rPr>
        <w:rFonts w:hint="eastAsia" w:eastAsia="宋体" w:asciiTheme="minorEastAsia" w:hAnsiTheme="minorEastAsia"/>
        <w:color w:val="auto"/>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5E8FCFBB"/>
    <w:multiLevelType w:val="multilevel"/>
    <w:tmpl w:val="5E8FCFBB"/>
    <w:lvl w:ilvl="0" w:tentative="0">
      <w:start w:val="1"/>
      <w:numFmt w:val="decimal"/>
      <w:pStyle w:val="20"/>
      <w:lvlText w:val="%1"/>
      <w:lvlJc w:val="left"/>
      <w:pPr>
        <w:tabs>
          <w:tab w:val="left" w:pos="0"/>
        </w:tabs>
        <w:ind w:left="0" w:firstLine="0"/>
      </w:pPr>
      <w:rPr>
        <w:rFonts w:hint="default" w:ascii="Times New Roman" w:hAnsi="Times New Roman" w:eastAsia="宋体" w:cs="宋体"/>
      </w:rPr>
    </w:lvl>
    <w:lvl w:ilvl="1" w:tentative="0">
      <w:start w:val="1"/>
      <w:numFmt w:val="decimal"/>
      <w:pStyle w:val="19"/>
      <w:lvlText w:val="%1.%2"/>
      <w:lvlJc w:val="left"/>
      <w:pPr>
        <w:tabs>
          <w:tab w:val="left" w:pos="420"/>
        </w:tabs>
        <w:ind w:left="0" w:firstLine="0"/>
      </w:pPr>
      <w:rPr>
        <w:rFonts w:hint="default" w:ascii="Times New Roman" w:hAnsi="Times New Roman" w:eastAsia="宋体" w:cs="宋体"/>
      </w:rPr>
    </w:lvl>
    <w:lvl w:ilvl="2" w:tentative="0">
      <w:start w:val="1"/>
      <w:numFmt w:val="decimal"/>
      <w:pStyle w:val="18"/>
      <w:suff w:val="space"/>
      <w:lvlText w:val="%1.%2.%3"/>
      <w:lvlJc w:val="left"/>
      <w:pPr>
        <w:tabs>
          <w:tab w:val="left" w:pos="0"/>
        </w:tabs>
        <w:ind w:left="0" w:firstLine="0"/>
      </w:pPr>
      <w:rPr>
        <w:rFonts w:hint="default" w:ascii="Times New Roman" w:hAnsi="Times New Roman"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3">
    <w:nsid w:val="6754FDA5"/>
    <w:multiLevelType w:val="singleLevel"/>
    <w:tmpl w:val="6754FDA5"/>
    <w:lvl w:ilvl="0" w:tentative="0">
      <w:start w:val="2"/>
      <w:numFmt w:val="chineseCounting"/>
      <w:suff w:val="nothing"/>
      <w:lvlText w:val="%1、"/>
      <w:lvlJc w:val="left"/>
      <w:rPr>
        <w:rFonts w:hint="eastAsia"/>
      </w:rPr>
    </w:lvl>
  </w:abstractNum>
  <w:abstractNum w:abstractNumId="4">
    <w:nsid w:val="76933334"/>
    <w:multiLevelType w:val="multilevel"/>
    <w:tmpl w:val="76933334"/>
    <w:lvl w:ilvl="0" w:tentative="0">
      <w:start w:val="1"/>
      <w:numFmt w:val="upperLetter"/>
      <w:pStyle w:val="24"/>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000000"/>
    <w:rsid w:val="00E8708B"/>
    <w:rsid w:val="011145B6"/>
    <w:rsid w:val="01B9213A"/>
    <w:rsid w:val="02105673"/>
    <w:rsid w:val="02A46BB1"/>
    <w:rsid w:val="02D92CCB"/>
    <w:rsid w:val="0362429C"/>
    <w:rsid w:val="037A40C6"/>
    <w:rsid w:val="03805A4B"/>
    <w:rsid w:val="03DC68B4"/>
    <w:rsid w:val="04AA7AB6"/>
    <w:rsid w:val="04AF0093"/>
    <w:rsid w:val="04EA4DB2"/>
    <w:rsid w:val="05085485"/>
    <w:rsid w:val="054D3B3F"/>
    <w:rsid w:val="05BE255A"/>
    <w:rsid w:val="05CA273A"/>
    <w:rsid w:val="05E86A71"/>
    <w:rsid w:val="05FC3BE0"/>
    <w:rsid w:val="06247323"/>
    <w:rsid w:val="06856633"/>
    <w:rsid w:val="073C31C4"/>
    <w:rsid w:val="078F0773"/>
    <w:rsid w:val="08DB257C"/>
    <w:rsid w:val="090773F4"/>
    <w:rsid w:val="0AA9475C"/>
    <w:rsid w:val="0AE05343"/>
    <w:rsid w:val="0AEF0200"/>
    <w:rsid w:val="0B614CBE"/>
    <w:rsid w:val="0C0B3E50"/>
    <w:rsid w:val="0C6322E0"/>
    <w:rsid w:val="0C7031F2"/>
    <w:rsid w:val="0CCA2F89"/>
    <w:rsid w:val="0D443A40"/>
    <w:rsid w:val="0E8A02B9"/>
    <w:rsid w:val="0EF832DA"/>
    <w:rsid w:val="0F042940"/>
    <w:rsid w:val="0FB97DD9"/>
    <w:rsid w:val="10110B04"/>
    <w:rsid w:val="10227809"/>
    <w:rsid w:val="105E23FD"/>
    <w:rsid w:val="11572E8D"/>
    <w:rsid w:val="11D70154"/>
    <w:rsid w:val="12573F25"/>
    <w:rsid w:val="1290604A"/>
    <w:rsid w:val="13231876"/>
    <w:rsid w:val="133832E8"/>
    <w:rsid w:val="14170683"/>
    <w:rsid w:val="14D41D3A"/>
    <w:rsid w:val="14EF0366"/>
    <w:rsid w:val="150F60AF"/>
    <w:rsid w:val="151D59B2"/>
    <w:rsid w:val="152704C0"/>
    <w:rsid w:val="1571543C"/>
    <w:rsid w:val="15C67B3E"/>
    <w:rsid w:val="15ED3701"/>
    <w:rsid w:val="167D1693"/>
    <w:rsid w:val="16D76A65"/>
    <w:rsid w:val="17CD20C5"/>
    <w:rsid w:val="182E3E46"/>
    <w:rsid w:val="185309F7"/>
    <w:rsid w:val="189C466F"/>
    <w:rsid w:val="18D4004A"/>
    <w:rsid w:val="1A1B5DE5"/>
    <w:rsid w:val="1C08210D"/>
    <w:rsid w:val="1C502501"/>
    <w:rsid w:val="1D5C173A"/>
    <w:rsid w:val="1D7D76F0"/>
    <w:rsid w:val="1DAC27BE"/>
    <w:rsid w:val="1DB47FD5"/>
    <w:rsid w:val="1E2E49FA"/>
    <w:rsid w:val="1E564F90"/>
    <w:rsid w:val="1E745A2C"/>
    <w:rsid w:val="1F2320FE"/>
    <w:rsid w:val="1F3518C1"/>
    <w:rsid w:val="1F3C5F27"/>
    <w:rsid w:val="1F445FB7"/>
    <w:rsid w:val="1F824F13"/>
    <w:rsid w:val="1F9A55BB"/>
    <w:rsid w:val="20481B25"/>
    <w:rsid w:val="208A3AF0"/>
    <w:rsid w:val="20AA2164"/>
    <w:rsid w:val="215F79F8"/>
    <w:rsid w:val="2223653E"/>
    <w:rsid w:val="22796B9E"/>
    <w:rsid w:val="22B06E96"/>
    <w:rsid w:val="2317411E"/>
    <w:rsid w:val="233660B1"/>
    <w:rsid w:val="237F09E4"/>
    <w:rsid w:val="23876F54"/>
    <w:rsid w:val="24462612"/>
    <w:rsid w:val="246C1FEE"/>
    <w:rsid w:val="24892425"/>
    <w:rsid w:val="262A7160"/>
    <w:rsid w:val="268A1F04"/>
    <w:rsid w:val="26937E0C"/>
    <w:rsid w:val="26A947C0"/>
    <w:rsid w:val="26B64AE2"/>
    <w:rsid w:val="2776485E"/>
    <w:rsid w:val="27E34FFB"/>
    <w:rsid w:val="2A412D91"/>
    <w:rsid w:val="2A8E3CE0"/>
    <w:rsid w:val="2B4A5EB5"/>
    <w:rsid w:val="2B762831"/>
    <w:rsid w:val="2C3068E6"/>
    <w:rsid w:val="2C706946"/>
    <w:rsid w:val="2C87397F"/>
    <w:rsid w:val="2D894E77"/>
    <w:rsid w:val="2D960F17"/>
    <w:rsid w:val="2DC670D9"/>
    <w:rsid w:val="2EA84D9A"/>
    <w:rsid w:val="2F225F4E"/>
    <w:rsid w:val="2F354F9E"/>
    <w:rsid w:val="2F4712B0"/>
    <w:rsid w:val="2FBD57BC"/>
    <w:rsid w:val="2FC949E6"/>
    <w:rsid w:val="30857714"/>
    <w:rsid w:val="310F5189"/>
    <w:rsid w:val="31734EAD"/>
    <w:rsid w:val="31994BEB"/>
    <w:rsid w:val="31AE0582"/>
    <w:rsid w:val="31C11945"/>
    <w:rsid w:val="33736984"/>
    <w:rsid w:val="347E62AB"/>
    <w:rsid w:val="348A4CBF"/>
    <w:rsid w:val="34D128B0"/>
    <w:rsid w:val="34EB1FE1"/>
    <w:rsid w:val="35424BEE"/>
    <w:rsid w:val="35547ED1"/>
    <w:rsid w:val="360F77E1"/>
    <w:rsid w:val="36F10F1D"/>
    <w:rsid w:val="37155195"/>
    <w:rsid w:val="3775168B"/>
    <w:rsid w:val="393E47C7"/>
    <w:rsid w:val="39BF40A5"/>
    <w:rsid w:val="39CC20BE"/>
    <w:rsid w:val="39D97BC0"/>
    <w:rsid w:val="3A4B6BF0"/>
    <w:rsid w:val="3A617939"/>
    <w:rsid w:val="3ABA4A7C"/>
    <w:rsid w:val="3B3B6F3E"/>
    <w:rsid w:val="3B5E654D"/>
    <w:rsid w:val="3BA932EE"/>
    <w:rsid w:val="3C654D26"/>
    <w:rsid w:val="3CA04220"/>
    <w:rsid w:val="3CFC4E99"/>
    <w:rsid w:val="3DD81385"/>
    <w:rsid w:val="3E804094"/>
    <w:rsid w:val="3EDD53AF"/>
    <w:rsid w:val="3EE811C2"/>
    <w:rsid w:val="3F4304D7"/>
    <w:rsid w:val="3FC613D9"/>
    <w:rsid w:val="3FCD54F2"/>
    <w:rsid w:val="412C0E2D"/>
    <w:rsid w:val="41A90D45"/>
    <w:rsid w:val="43667DA2"/>
    <w:rsid w:val="438B1B6A"/>
    <w:rsid w:val="43F54C1D"/>
    <w:rsid w:val="444C0EE3"/>
    <w:rsid w:val="44E1673C"/>
    <w:rsid w:val="44E911B7"/>
    <w:rsid w:val="45926949"/>
    <w:rsid w:val="45A06EFF"/>
    <w:rsid w:val="46282E28"/>
    <w:rsid w:val="46C17B0F"/>
    <w:rsid w:val="47407698"/>
    <w:rsid w:val="475E2EA5"/>
    <w:rsid w:val="48927A1F"/>
    <w:rsid w:val="496C16BA"/>
    <w:rsid w:val="49E223DA"/>
    <w:rsid w:val="4A3F0CA6"/>
    <w:rsid w:val="4B3E7B46"/>
    <w:rsid w:val="4B663FE5"/>
    <w:rsid w:val="4BD85620"/>
    <w:rsid w:val="4C2D252F"/>
    <w:rsid w:val="4C5D5FF1"/>
    <w:rsid w:val="4CC16F0F"/>
    <w:rsid w:val="4DA41071"/>
    <w:rsid w:val="4DE81F80"/>
    <w:rsid w:val="4E0503FA"/>
    <w:rsid w:val="4E614CA7"/>
    <w:rsid w:val="4E8F44F1"/>
    <w:rsid w:val="4E9E4ABB"/>
    <w:rsid w:val="4FFA6FC7"/>
    <w:rsid w:val="502C723E"/>
    <w:rsid w:val="505025CD"/>
    <w:rsid w:val="508D0C37"/>
    <w:rsid w:val="50901807"/>
    <w:rsid w:val="51143B9C"/>
    <w:rsid w:val="512D13DF"/>
    <w:rsid w:val="513F21AF"/>
    <w:rsid w:val="51A26E98"/>
    <w:rsid w:val="526F1F4E"/>
    <w:rsid w:val="5283536B"/>
    <w:rsid w:val="52D24131"/>
    <w:rsid w:val="53195188"/>
    <w:rsid w:val="53273773"/>
    <w:rsid w:val="532A3347"/>
    <w:rsid w:val="53397F43"/>
    <w:rsid w:val="5380560E"/>
    <w:rsid w:val="544B268E"/>
    <w:rsid w:val="54C03972"/>
    <w:rsid w:val="54F72A83"/>
    <w:rsid w:val="555751F0"/>
    <w:rsid w:val="555C5E19"/>
    <w:rsid w:val="55B97975"/>
    <w:rsid w:val="55BE263A"/>
    <w:rsid w:val="562405D8"/>
    <w:rsid w:val="56596AF3"/>
    <w:rsid w:val="568B3962"/>
    <w:rsid w:val="571D5C57"/>
    <w:rsid w:val="58C625B2"/>
    <w:rsid w:val="5A893518"/>
    <w:rsid w:val="5A8B3529"/>
    <w:rsid w:val="5AD324CE"/>
    <w:rsid w:val="5AD458D0"/>
    <w:rsid w:val="5C001E00"/>
    <w:rsid w:val="5C032D84"/>
    <w:rsid w:val="5CD004B4"/>
    <w:rsid w:val="5CEA68B7"/>
    <w:rsid w:val="5D793944"/>
    <w:rsid w:val="5D9E5B25"/>
    <w:rsid w:val="5DC45D9A"/>
    <w:rsid w:val="5EAF3C67"/>
    <w:rsid w:val="5EDA62E9"/>
    <w:rsid w:val="5FB87A1E"/>
    <w:rsid w:val="5FD03D3F"/>
    <w:rsid w:val="60B40EA2"/>
    <w:rsid w:val="60C72C73"/>
    <w:rsid w:val="624C462A"/>
    <w:rsid w:val="62A63868"/>
    <w:rsid w:val="62DA0294"/>
    <w:rsid w:val="62EF0E1C"/>
    <w:rsid w:val="632877B1"/>
    <w:rsid w:val="634D3C76"/>
    <w:rsid w:val="63605BFD"/>
    <w:rsid w:val="64E25391"/>
    <w:rsid w:val="651741B8"/>
    <w:rsid w:val="65FC3378"/>
    <w:rsid w:val="66123504"/>
    <w:rsid w:val="66590BF3"/>
    <w:rsid w:val="6679092A"/>
    <w:rsid w:val="667941AD"/>
    <w:rsid w:val="66C75126"/>
    <w:rsid w:val="67223341"/>
    <w:rsid w:val="6728524B"/>
    <w:rsid w:val="684D6073"/>
    <w:rsid w:val="690C66E5"/>
    <w:rsid w:val="69894F6A"/>
    <w:rsid w:val="69B260BF"/>
    <w:rsid w:val="69D71CCC"/>
    <w:rsid w:val="69F8020C"/>
    <w:rsid w:val="6AD863BE"/>
    <w:rsid w:val="6AE54E58"/>
    <w:rsid w:val="6B502BB4"/>
    <w:rsid w:val="6B555325"/>
    <w:rsid w:val="6B6D18B2"/>
    <w:rsid w:val="6BB55A52"/>
    <w:rsid w:val="6D084078"/>
    <w:rsid w:val="6D1F7E14"/>
    <w:rsid w:val="6E3803A5"/>
    <w:rsid w:val="6E595BB4"/>
    <w:rsid w:val="6EBD2659"/>
    <w:rsid w:val="6ECB392F"/>
    <w:rsid w:val="6EFC78C2"/>
    <w:rsid w:val="70B82A2E"/>
    <w:rsid w:val="70DE2CC5"/>
    <w:rsid w:val="71471623"/>
    <w:rsid w:val="71511DF8"/>
    <w:rsid w:val="715C0189"/>
    <w:rsid w:val="71836FB5"/>
    <w:rsid w:val="719B33E1"/>
    <w:rsid w:val="71B0210B"/>
    <w:rsid w:val="71DC5893"/>
    <w:rsid w:val="71E133D7"/>
    <w:rsid w:val="72F43926"/>
    <w:rsid w:val="74046D0B"/>
    <w:rsid w:val="74722C9A"/>
    <w:rsid w:val="74C16CDF"/>
    <w:rsid w:val="758A5266"/>
    <w:rsid w:val="75D13DB6"/>
    <w:rsid w:val="75E572F8"/>
    <w:rsid w:val="76A86212"/>
    <w:rsid w:val="777F7099"/>
    <w:rsid w:val="77A82EB3"/>
    <w:rsid w:val="77DB77B3"/>
    <w:rsid w:val="77F12301"/>
    <w:rsid w:val="789C3FEE"/>
    <w:rsid w:val="789C7825"/>
    <w:rsid w:val="78CC5D80"/>
    <w:rsid w:val="793A066D"/>
    <w:rsid w:val="794E03FE"/>
    <w:rsid w:val="79916E2D"/>
    <w:rsid w:val="7A315709"/>
    <w:rsid w:val="7AB15C57"/>
    <w:rsid w:val="7AB96207"/>
    <w:rsid w:val="7AFA5152"/>
    <w:rsid w:val="7BD76C7F"/>
    <w:rsid w:val="7C121B6B"/>
    <w:rsid w:val="7C6A0A85"/>
    <w:rsid w:val="7D106A3B"/>
    <w:rsid w:val="7D221505"/>
    <w:rsid w:val="7D320274"/>
    <w:rsid w:val="7D51343D"/>
    <w:rsid w:val="7DB859C6"/>
    <w:rsid w:val="7E172280"/>
    <w:rsid w:val="7E6105CE"/>
    <w:rsid w:val="7E9349B9"/>
    <w:rsid w:val="7EE87CEA"/>
    <w:rsid w:val="7F4A397F"/>
    <w:rsid w:val="7F581D2C"/>
    <w:rsid w:val="7F6C211D"/>
    <w:rsid w:val="7FCA0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2"/>
      <w:lang w:val="en-US" w:eastAsia="zh-CN" w:bidi="ar-SA"/>
    </w:rPr>
  </w:style>
  <w:style w:type="paragraph" w:styleId="3">
    <w:name w:val="heading 1"/>
    <w:basedOn w:val="1"/>
    <w:next w:val="1"/>
    <w:qFormat/>
    <w:uiPriority w:val="0"/>
    <w:pPr>
      <w:spacing w:before="0" w:beforeAutospacing="0" w:afterAutospacing="0" w:line="560" w:lineRule="exact"/>
      <w:ind w:firstLine="0" w:firstLineChars="0"/>
      <w:jc w:val="left"/>
      <w:outlineLvl w:val="0"/>
    </w:pPr>
    <w:rPr>
      <w:rFonts w:hint="eastAsia" w:eastAsia="黑体" w:cs="宋体"/>
      <w:bCs/>
      <w:kern w:val="44"/>
      <w:szCs w:val="48"/>
      <w:lang w:bidi="ar"/>
    </w:rPr>
  </w:style>
  <w:style w:type="paragraph" w:styleId="4">
    <w:name w:val="heading 2"/>
    <w:basedOn w:val="1"/>
    <w:next w:val="1"/>
    <w:link w:val="16"/>
    <w:semiHidden/>
    <w:unhideWhenUsed/>
    <w:qFormat/>
    <w:uiPriority w:val="0"/>
    <w:pPr>
      <w:keepNext/>
      <w:keepLines/>
      <w:spacing w:beforeLines="0" w:afterLines="0"/>
      <w:ind w:firstLine="0" w:firstLineChars="0"/>
      <w:jc w:val="left"/>
      <w:outlineLvl w:val="1"/>
    </w:pPr>
    <w:rPr>
      <w:rFonts w:ascii="Times New Roman" w:hAnsi="Times New Roman" w:eastAsia="宋体" w:cs="Times New Roman"/>
      <w:b/>
      <w:bCs/>
      <w:szCs w:val="32"/>
    </w:rPr>
  </w:style>
  <w:style w:type="paragraph" w:styleId="5">
    <w:name w:val="heading 3"/>
    <w:basedOn w:val="1"/>
    <w:next w:val="1"/>
    <w:semiHidden/>
    <w:unhideWhenUsed/>
    <w:qFormat/>
    <w:uiPriority w:val="0"/>
    <w:pPr>
      <w:keepNext/>
      <w:keepLines/>
      <w:spacing w:beforeLines="0" w:beforeAutospacing="0" w:afterLines="0" w:afterAutospacing="0" w:line="360" w:lineRule="auto"/>
      <w:ind w:firstLine="0" w:firstLineChars="0"/>
      <w:outlineLvl w:val="2"/>
    </w:pPr>
    <w:rPr>
      <w:b/>
      <w:sz w:val="30"/>
    </w:rPr>
  </w:style>
  <w:style w:type="paragraph" w:styleId="6">
    <w:name w:val="heading 4"/>
    <w:basedOn w:val="1"/>
    <w:next w:val="1"/>
    <w:semiHidden/>
    <w:unhideWhenUsed/>
    <w:qFormat/>
    <w:uiPriority w:val="0"/>
    <w:pPr>
      <w:keepNext/>
      <w:keepLines/>
      <w:spacing w:beforeLines="0" w:beforeAutospacing="0" w:afterLines="0" w:afterAutospacing="0" w:line="360" w:lineRule="auto"/>
      <w:ind w:firstLine="0" w:firstLineChars="0"/>
      <w:outlineLvl w:val="3"/>
    </w:pPr>
    <w:rPr>
      <w:b/>
      <w:sz w:val="28"/>
    </w:rPr>
  </w:style>
  <w:style w:type="paragraph" w:styleId="7">
    <w:name w:val="heading 5"/>
    <w:basedOn w:val="1"/>
    <w:next w:val="1"/>
    <w:semiHidden/>
    <w:unhideWhenUsed/>
    <w:qFormat/>
    <w:uiPriority w:val="0"/>
    <w:pPr>
      <w:keepNext/>
      <w:keepLines/>
      <w:spacing w:beforeLines="0" w:beforeAutospacing="0" w:afterLines="0" w:afterAutospacing="0" w:line="360" w:lineRule="auto"/>
      <w:ind w:firstLine="0" w:firstLineChars="0"/>
      <w:outlineLvl w:val="4"/>
    </w:pPr>
    <w:rPr>
      <w:b/>
      <w:sz w:val="2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pPr>
  </w:style>
  <w:style w:type="paragraph" w:styleId="8">
    <w:name w:val="caption"/>
    <w:basedOn w:val="1"/>
    <w:next w:val="1"/>
    <w:semiHidden/>
    <w:unhideWhenUsed/>
    <w:qFormat/>
    <w:uiPriority w:val="0"/>
    <w:rPr>
      <w:rFonts w:ascii="Arial" w:hAnsi="Arial" w:eastAsia="黑体"/>
      <w:sz w:val="20"/>
    </w:rPr>
  </w:style>
  <w:style w:type="paragraph" w:styleId="9">
    <w:name w:val="Body Text"/>
    <w:basedOn w:val="1"/>
    <w:next w:val="10"/>
    <w:qFormat/>
    <w:uiPriority w:val="0"/>
    <w:rPr>
      <w:rFonts w:ascii="Arial" w:hAnsi="Arial" w:eastAsia="宋体" w:cstheme="minorBidi"/>
      <w:sz w:val="21"/>
    </w:rPr>
  </w:style>
  <w:style w:type="paragraph" w:styleId="10">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2 Char"/>
    <w:link w:val="4"/>
    <w:qFormat/>
    <w:uiPriority w:val="0"/>
    <w:rPr>
      <w:rFonts w:ascii="Times New Roman" w:hAnsi="Times New Roman" w:eastAsia="宋体" w:cs="Times New Roman"/>
      <w:b/>
      <w:bCs/>
      <w:sz w:val="24"/>
      <w:szCs w:val="32"/>
    </w:rPr>
  </w:style>
  <w:style w:type="paragraph" w:customStyle="1" w:styleId="17">
    <w:name w:val="段"/>
    <w:qFormat/>
    <w:uiPriority w:val="0"/>
    <w:pPr>
      <w:autoSpaceDE w:val="0"/>
      <w:autoSpaceDN w:val="0"/>
      <w:spacing w:before="240" w:after="60"/>
      <w:ind w:firstLine="420" w:firstLineChars="200"/>
      <w:jc w:val="both"/>
    </w:pPr>
    <w:rPr>
      <w:rFonts w:ascii="宋体" w:hAnsi="Times New Roman" w:eastAsia="宋体" w:cs="黑体"/>
      <w:kern w:val="2"/>
      <w:sz w:val="21"/>
      <w:szCs w:val="22"/>
      <w:lang w:val="en-US" w:eastAsia="zh-CN" w:bidi="ar-SA"/>
    </w:rPr>
  </w:style>
  <w:style w:type="paragraph" w:customStyle="1" w:styleId="18">
    <w:name w:val="作业标题3"/>
    <w:basedOn w:val="19"/>
    <w:next w:val="21"/>
    <w:qFormat/>
    <w:uiPriority w:val="0"/>
    <w:pPr>
      <w:numPr>
        <w:ilvl w:val="2"/>
        <w:numId w:val="1"/>
      </w:numPr>
      <w:tabs>
        <w:tab w:val="left" w:pos="420"/>
      </w:tabs>
      <w:spacing w:line="360" w:lineRule="auto"/>
      <w:ind w:left="0" w:firstLine="0"/>
    </w:pPr>
    <w:rPr>
      <w:rFonts w:eastAsia="宋体"/>
    </w:rPr>
  </w:style>
  <w:style w:type="paragraph" w:customStyle="1" w:styleId="19">
    <w:name w:val="作业标题2"/>
    <w:basedOn w:val="20"/>
    <w:next w:val="21"/>
    <w:qFormat/>
    <w:uiPriority w:val="0"/>
    <w:pPr>
      <w:numPr>
        <w:ilvl w:val="1"/>
        <w:numId w:val="1"/>
      </w:numPr>
      <w:tabs>
        <w:tab w:val="left" w:pos="0"/>
      </w:tabs>
      <w:ind w:left="0" w:firstLine="0"/>
      <w:jc w:val="left"/>
    </w:pPr>
  </w:style>
  <w:style w:type="paragraph" w:customStyle="1" w:styleId="20">
    <w:name w:val="作业标题1"/>
    <w:basedOn w:val="3"/>
    <w:next w:val="21"/>
    <w:qFormat/>
    <w:uiPriority w:val="0"/>
    <w:pPr>
      <w:numPr>
        <w:ilvl w:val="0"/>
        <w:numId w:val="1"/>
      </w:numPr>
      <w:spacing w:line="360" w:lineRule="auto"/>
    </w:pPr>
    <w:rPr>
      <w:rFonts w:ascii="Times New Roman" w:hAnsi="Times New Roman"/>
    </w:rPr>
  </w:style>
  <w:style w:type="paragraph" w:customStyle="1" w:styleId="21">
    <w:name w:val="作业正文"/>
    <w:qFormat/>
    <w:uiPriority w:val="0"/>
    <w:pPr>
      <w:autoSpaceDE w:val="0"/>
      <w:autoSpaceDN w:val="0"/>
      <w:ind w:firstLine="200" w:firstLineChars="200"/>
      <w:jc w:val="both"/>
    </w:pPr>
    <w:rPr>
      <w:rFonts w:ascii="宋体" w:hAnsi="宋体" w:eastAsia="宋体" w:cs="Times New Roman"/>
      <w:sz w:val="21"/>
      <w:lang w:val="en-US" w:eastAsia="zh-CN" w:bidi="ar-SA"/>
    </w:rPr>
  </w:style>
  <w:style w:type="paragraph" w:customStyle="1" w:styleId="22">
    <w:name w:val="格式4"/>
    <w:basedOn w:val="23"/>
    <w:qFormat/>
    <w:uiPriority w:val="0"/>
    <w:pPr>
      <w:tabs>
        <w:tab w:val="left" w:pos="567"/>
        <w:tab w:val="left" w:pos="709"/>
        <w:tab w:val="left" w:pos="993"/>
        <w:tab w:val="left" w:pos="6405"/>
      </w:tabs>
    </w:pPr>
  </w:style>
  <w:style w:type="paragraph" w:customStyle="1" w:styleId="23">
    <w:name w:val="样式5"/>
    <w:basedOn w:val="24"/>
    <w:qFormat/>
    <w:uiPriority w:val="0"/>
    <w:pPr>
      <w:keepNext/>
      <w:numPr>
        <w:ilvl w:val="3"/>
        <w:numId w:val="2"/>
      </w:numPr>
      <w:tabs>
        <w:tab w:val="left" w:pos="567"/>
        <w:tab w:val="left" w:pos="709"/>
        <w:tab w:val="left" w:pos="993"/>
        <w:tab w:val="left" w:pos="6405"/>
      </w:tabs>
      <w:spacing w:before="0" w:after="0"/>
      <w:jc w:val="both"/>
      <w:outlineLvl w:val="9"/>
    </w:pPr>
    <w:rPr>
      <w:rFonts w:asciiTheme="minorEastAsia" w:hAnsiTheme="minorEastAsia"/>
    </w:rPr>
  </w:style>
  <w:style w:type="paragraph" w:customStyle="1" w:styleId="24">
    <w:name w:val="附录标识"/>
    <w:basedOn w:val="25"/>
    <w:qFormat/>
    <w:uiPriority w:val="0"/>
    <w:pPr>
      <w:numPr>
        <w:ilvl w:val="0"/>
        <w:numId w:val="3"/>
      </w:numPr>
      <w:tabs>
        <w:tab w:val="left" w:pos="6405"/>
      </w:tabs>
      <w:spacing w:after="200"/>
    </w:pPr>
    <w:rPr>
      <w:sz w:val="21"/>
    </w:rPr>
  </w:style>
  <w:style w:type="paragraph" w:customStyle="1" w:styleId="25">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6">
    <w:name w:val="_Style 4"/>
    <w:basedOn w:val="1"/>
    <w:qFormat/>
    <w:uiPriority w:val="34"/>
    <w:pPr>
      <w:ind w:firstLine="420" w:firstLineChars="200"/>
    </w:pPr>
  </w:style>
  <w:style w:type="paragraph" w:customStyle="1" w:styleId="27">
    <w:name w:val="列出段落1"/>
    <w:basedOn w:val="1"/>
    <w:qFormat/>
    <w:uiPriority w:val="1"/>
    <w:pPr>
      <w:ind w:firstLine="420" w:firstLineChars="200"/>
    </w:pPr>
  </w:style>
  <w:style w:type="paragraph" w:customStyle="1" w:styleId="28">
    <w:name w:val="列表段落1"/>
    <w:basedOn w:val="1"/>
    <w:qFormat/>
    <w:uiPriority w:val="1"/>
    <w:pPr>
      <w:ind w:firstLine="420" w:firstLineChars="200"/>
    </w:pPr>
  </w:style>
  <w:style w:type="table" w:customStyle="1" w:styleId="29">
    <w:name w:val="普通表格1"/>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1372</Words>
  <Characters>1496</Characters>
  <Lines>0</Lines>
  <Paragraphs>0</Paragraphs>
  <TotalTime>3</TotalTime>
  <ScaleCrop>false</ScaleCrop>
  <LinksUpToDate>false</LinksUpToDate>
  <CharactersWithSpaces>1501</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2022-04-22T16:00:00Z</dcterms:created>
  <dc:creator>梅文星</dc:creator>
  <cp:lastModifiedBy>何嘉薇</cp:lastModifiedBy>
  <dcterms:modified xsi:type="dcterms:W3CDTF">2026-08-14T08:32:44Z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7051AEB6AFA64B8C9840AF1CE0F6ED85</vt:lpwstr>
  </property>
</Properties>
</file>