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2003-2010___1.vsd" ContentType="application/vnd.visio"/>
  <Override PartName="/word/embeddings/Microsoft_Visio_2003-2010___2.vsd" ContentType="application/vnd.visio"/>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5F0CBD9">
      <w:r>
        <w:drawing>
          <wp:anchor distT="0" distB="0" distL="113665" distR="113665" simplePos="0" relativeHeight="251659264" behindDoc="1" locked="0" layoutInCell="1" allowOverlap="1">
            <wp:simplePos x="0" y="0"/>
            <wp:positionH relativeFrom="column">
              <wp:posOffset>-887730</wp:posOffset>
            </wp:positionH>
            <wp:positionV relativeFrom="paragraph">
              <wp:posOffset>-780415</wp:posOffset>
            </wp:positionV>
            <wp:extent cx="7718425" cy="10810875"/>
            <wp:effectExtent l="0" t="0" r="0" b="0"/>
            <wp:wrapNone/>
            <wp:docPr id="19" name="图片 19" descr="说明: 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说明: 封面-"/>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7718400" cy="10810800"/>
                    </a:xfrm>
                    <a:prstGeom prst="rect">
                      <a:avLst/>
                    </a:prstGeom>
                    <a:noFill/>
                    <a:ln>
                      <a:noFill/>
                    </a:ln>
                  </pic:spPr>
                </pic:pic>
              </a:graphicData>
            </a:graphic>
          </wp:anchor>
        </w:drawing>
      </w:r>
    </w:p>
    <w:p w14:paraId="01C8EB79">
      <w:pPr>
        <w:spacing w:before="480" w:beforeLines="200"/>
        <w:jc w:val="center"/>
        <w:rPr>
          <w:rFonts w:eastAsia="黑体"/>
          <w:b/>
          <w:sz w:val="52"/>
        </w:rPr>
      </w:pPr>
    </w:p>
    <w:p w14:paraId="13FE37CF">
      <w:pPr>
        <w:spacing w:before="480" w:beforeLines="200"/>
        <w:jc w:val="center"/>
        <w:rPr>
          <w:rFonts w:eastAsia="黑体"/>
          <w:b/>
          <w:sz w:val="52"/>
        </w:rPr>
      </w:pPr>
    </w:p>
    <w:p w14:paraId="1AAFB22E">
      <w:pPr>
        <w:jc w:val="center"/>
        <w:rPr>
          <w:rFonts w:hint="eastAsia" w:ascii="宋体" w:hAnsi="宋体"/>
          <w:b/>
          <w:sz w:val="48"/>
          <w:szCs w:val="48"/>
        </w:rPr>
      </w:pPr>
      <w:r>
        <w:rPr>
          <w:rFonts w:ascii="黑体" w:eastAsia="黑体"/>
          <w:b/>
          <w:spacing w:val="20"/>
          <w:w w:val="135"/>
          <w:sz w:val="30"/>
        </w:rPr>
        <mc:AlternateContent>
          <mc:Choice Requires="wps">
            <w:drawing>
              <wp:anchor distT="45720" distB="45720" distL="114300" distR="114300" simplePos="0" relativeHeight="251660288" behindDoc="0" locked="0" layoutInCell="1" allowOverlap="1">
                <wp:simplePos x="0" y="0"/>
                <wp:positionH relativeFrom="margin">
                  <wp:align>right</wp:align>
                </wp:positionH>
                <wp:positionV relativeFrom="paragraph">
                  <wp:posOffset>89535</wp:posOffset>
                </wp:positionV>
                <wp:extent cx="6324600" cy="3346450"/>
                <wp:effectExtent l="0" t="0" r="0" b="6350"/>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6324600" cy="3346450"/>
                        </a:xfrm>
                        <a:prstGeom prst="rect">
                          <a:avLst/>
                        </a:prstGeom>
                        <a:noFill/>
                        <a:ln w="9525">
                          <a:noFill/>
                          <a:miter lim="800000"/>
                        </a:ln>
                      </wps:spPr>
                      <wps:txbx>
                        <w:txbxContent>
                          <w:p w14:paraId="59FACBB6">
                            <w:pPr>
                              <w:spacing w:before="480" w:beforeLines="200"/>
                              <w:jc w:val="center"/>
                              <w:rPr>
                                <w:rFonts w:eastAsia="黑体"/>
                                <w:b/>
                                <w:sz w:val="52"/>
                                <w:szCs w:val="52"/>
                              </w:rPr>
                            </w:pPr>
                            <w:r>
                              <w:rPr>
                                <w:rFonts w:hint="eastAsia" w:eastAsia="黑体"/>
                                <w:b/>
                                <w:sz w:val="52"/>
                              </w:rPr>
                              <w:t>广东电网设备标准技术标书</w:t>
                            </w:r>
                          </w:p>
                          <w:p w14:paraId="0565F4FD">
                            <w:pPr>
                              <w:spacing w:before="480" w:beforeLines="200"/>
                              <w:jc w:val="center"/>
                              <w:rPr>
                                <w:rFonts w:hint="eastAsia" w:ascii="黑体" w:hAnsi="黑体" w:eastAsia="黑体"/>
                                <w:sz w:val="48"/>
                              </w:rPr>
                            </w:pPr>
                            <w:r>
                              <w:rPr>
                                <w:rFonts w:hint="eastAsia" w:ascii="黑体" w:hAnsi="黑体" w:eastAsia="黑体"/>
                                <w:sz w:val="48"/>
                              </w:rPr>
                              <w:t>OS2省地级主站基础软硬件框招</w:t>
                            </w:r>
                          </w:p>
                          <w:p w14:paraId="337448A8">
                            <w:pPr>
                              <w:spacing w:before="480" w:beforeLines="200"/>
                              <w:jc w:val="center"/>
                              <w:rPr>
                                <w:rFonts w:hint="eastAsia" w:ascii="黑体" w:hAnsi="黑体" w:eastAsia="黑体"/>
                                <w:sz w:val="48"/>
                              </w:rPr>
                            </w:pPr>
                            <w:r>
                              <w:rPr>
                                <w:rFonts w:hint="eastAsia" w:ascii="黑体" w:hAnsi="黑体" w:eastAsia="黑体"/>
                                <w:sz w:val="48"/>
                              </w:rPr>
                              <w:t>技术规范（2026版</w:t>
                            </w:r>
                            <w:r>
                              <w:rPr>
                                <w:rFonts w:ascii="黑体" w:hAnsi="黑体" w:eastAsia="黑体"/>
                                <w:sz w:val="48"/>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top:7.05pt;height:263.5pt;width:498pt;mso-position-horizontal:right;mso-position-horizontal-relative:margin;z-index:251660288;mso-width-relative:page;mso-height-relative:page;" filled="f" stroked="f" coordsize="21600,21600" o:gfxdata="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pS&#10;3nnUAAAABwEAAA8AAAAAAAAAAQAgAAAAIgAAAGRycy9kb3ducmV2LnhtbFBLAQIUABQAAAAIAIdO&#10;4kAZ9fT+JwIAACwEAAAOAAAAAAAAAAEAIAAAACMBAABkcnMvZTJvRG9jLnhtbFBLBQYAAAAABgAG&#10;AFkBAAC8BQAAAAA=&#10;">
                <v:fill on="f" focussize="0,0"/>
                <v:stroke on="f" miterlimit="8" joinstyle="miter"/>
                <v:imagedata o:title=""/>
                <o:lock v:ext="edit" aspectratio="f"/>
                <v:textbox>
                  <w:txbxContent>
                    <w:p w14:paraId="59FACBB6">
                      <w:pPr>
                        <w:spacing w:before="480" w:beforeLines="200"/>
                        <w:jc w:val="center"/>
                        <w:rPr>
                          <w:rFonts w:eastAsia="黑体"/>
                          <w:b/>
                          <w:sz w:val="52"/>
                          <w:szCs w:val="52"/>
                        </w:rPr>
                      </w:pPr>
                      <w:r>
                        <w:rPr>
                          <w:rFonts w:hint="eastAsia" w:eastAsia="黑体"/>
                          <w:b/>
                          <w:sz w:val="52"/>
                        </w:rPr>
                        <w:t>广东电网设备标准技术标书</w:t>
                      </w:r>
                    </w:p>
                    <w:p w14:paraId="0565F4FD">
                      <w:pPr>
                        <w:spacing w:before="480" w:beforeLines="200"/>
                        <w:jc w:val="center"/>
                        <w:rPr>
                          <w:rFonts w:hint="eastAsia" w:ascii="黑体" w:hAnsi="黑体" w:eastAsia="黑体"/>
                          <w:sz w:val="48"/>
                        </w:rPr>
                      </w:pPr>
                      <w:r>
                        <w:rPr>
                          <w:rFonts w:hint="eastAsia" w:ascii="黑体" w:hAnsi="黑体" w:eastAsia="黑体"/>
                          <w:sz w:val="48"/>
                        </w:rPr>
                        <w:t>OS2省地级主站基础软硬件框招</w:t>
                      </w:r>
                    </w:p>
                    <w:p w14:paraId="337448A8">
                      <w:pPr>
                        <w:spacing w:before="480" w:beforeLines="200"/>
                        <w:jc w:val="center"/>
                        <w:rPr>
                          <w:rFonts w:hint="eastAsia" w:ascii="黑体" w:hAnsi="黑体" w:eastAsia="黑体"/>
                          <w:sz w:val="48"/>
                        </w:rPr>
                      </w:pPr>
                      <w:r>
                        <w:rPr>
                          <w:rFonts w:hint="eastAsia" w:ascii="黑体" w:hAnsi="黑体" w:eastAsia="黑体"/>
                          <w:sz w:val="48"/>
                        </w:rPr>
                        <w:t>技术规范（2026版</w:t>
                      </w:r>
                      <w:r>
                        <w:rPr>
                          <w:rFonts w:ascii="黑体" w:hAnsi="黑体" w:eastAsia="黑体"/>
                          <w:sz w:val="48"/>
                        </w:rPr>
                        <w:t>）</w:t>
                      </w:r>
                    </w:p>
                  </w:txbxContent>
                </v:textbox>
              </v:shape>
            </w:pict>
          </mc:Fallback>
        </mc:AlternateContent>
      </w:r>
    </w:p>
    <w:p w14:paraId="61535F1B">
      <w:pPr>
        <w:spacing w:before="480" w:beforeLines="200"/>
        <w:ind w:firstLine="2168" w:firstLineChars="600"/>
        <w:jc w:val="left"/>
        <w:rPr>
          <w:rFonts w:eastAsia="黑体"/>
          <w:b/>
          <w:sz w:val="36"/>
        </w:rPr>
      </w:pPr>
    </w:p>
    <w:p w14:paraId="56748B30">
      <w:pPr>
        <w:spacing w:before="480" w:beforeLines="200"/>
        <w:ind w:firstLine="1771" w:firstLineChars="490"/>
        <w:jc w:val="left"/>
        <w:rPr>
          <w:rFonts w:eastAsia="黑体"/>
          <w:b/>
          <w:sz w:val="36"/>
        </w:rPr>
      </w:pPr>
    </w:p>
    <w:p w14:paraId="500C9E5B">
      <w:pPr>
        <w:spacing w:before="480" w:beforeLines="200"/>
        <w:ind w:firstLine="1968" w:firstLineChars="441"/>
        <w:jc w:val="left"/>
        <w:rPr>
          <w:rFonts w:ascii="黑体" w:eastAsia="黑体"/>
          <w:b/>
          <w:spacing w:val="20"/>
          <w:w w:val="135"/>
          <w:sz w:val="30"/>
        </w:rPr>
      </w:pPr>
    </w:p>
    <w:p w14:paraId="0F23F4CF">
      <w:pPr>
        <w:spacing w:before="480" w:beforeLines="200"/>
        <w:ind w:firstLine="1968" w:firstLineChars="441"/>
        <w:jc w:val="left"/>
        <w:rPr>
          <w:rFonts w:ascii="黑体" w:eastAsia="黑体"/>
          <w:b/>
          <w:spacing w:val="20"/>
          <w:w w:val="135"/>
          <w:sz w:val="30"/>
        </w:rPr>
      </w:pPr>
    </w:p>
    <w:p w14:paraId="71736451">
      <w:pPr>
        <w:spacing w:before="480" w:beforeLines="200"/>
        <w:ind w:firstLine="1968" w:firstLineChars="441"/>
        <w:jc w:val="left"/>
        <w:rPr>
          <w:rFonts w:ascii="黑体" w:eastAsia="黑体"/>
          <w:b/>
          <w:spacing w:val="20"/>
          <w:w w:val="135"/>
          <w:sz w:val="30"/>
        </w:rPr>
      </w:pPr>
    </w:p>
    <w:p w14:paraId="72DC5D53">
      <w:pPr>
        <w:spacing w:before="480" w:beforeLines="200"/>
        <w:ind w:firstLine="1968" w:firstLineChars="441"/>
        <w:jc w:val="left"/>
        <w:rPr>
          <w:rFonts w:ascii="黑体" w:eastAsia="黑体"/>
          <w:b/>
          <w:spacing w:val="20"/>
          <w:w w:val="135"/>
          <w:sz w:val="30"/>
        </w:rPr>
      </w:pPr>
    </w:p>
    <w:p w14:paraId="0AF53A8F">
      <w:pPr>
        <w:spacing w:before="480" w:beforeLines="200"/>
        <w:ind w:firstLine="1968" w:firstLineChars="441"/>
        <w:jc w:val="left"/>
        <w:rPr>
          <w:rFonts w:ascii="黑体" w:eastAsia="黑体"/>
          <w:b/>
          <w:spacing w:val="20"/>
          <w:w w:val="135"/>
          <w:sz w:val="30"/>
        </w:rPr>
      </w:pPr>
      <w:r>
        <w:rPr>
          <w:rFonts w:hint="eastAsia" w:ascii="黑体" w:eastAsia="黑体"/>
          <w:b/>
          <w:spacing w:val="20"/>
          <w:w w:val="135"/>
          <w:sz w:val="30"/>
        </w:rPr>
        <w:t>广东</w:t>
      </w:r>
      <w:r>
        <w:rPr>
          <w:rFonts w:ascii="黑体" w:eastAsia="黑体"/>
          <w:b/>
          <w:spacing w:val="20"/>
          <w:w w:val="135"/>
          <w:sz w:val="30"/>
        </w:rPr>
        <w:t>电网</w:t>
      </w:r>
      <w:r>
        <w:rPr>
          <w:rFonts w:hint="eastAsia" w:ascii="黑体" w:eastAsia="黑体"/>
          <w:b/>
          <w:spacing w:val="20"/>
          <w:w w:val="135"/>
          <w:sz w:val="30"/>
        </w:rPr>
        <w:t>有限责任公司</w:t>
      </w:r>
    </w:p>
    <w:p w14:paraId="7CD427BC">
      <w:pPr>
        <w:spacing w:before="480" w:beforeLines="200"/>
        <w:ind w:firstLine="3061" w:firstLineChars="686"/>
        <w:jc w:val="left"/>
        <w:rPr>
          <w:b/>
        </w:rPr>
      </w:pPr>
      <w:r>
        <w:rPr>
          <w:rFonts w:ascii="黑体" w:eastAsia="黑体"/>
          <w:b/>
          <w:spacing w:val="20"/>
          <w:w w:val="135"/>
          <w:sz w:val="30"/>
        </w:rPr>
        <w:t>20</w:t>
      </w:r>
      <w:r>
        <w:rPr>
          <w:rFonts w:hint="eastAsia" w:ascii="黑体" w:eastAsia="黑体"/>
          <w:b/>
          <w:spacing w:val="20"/>
          <w:w w:val="135"/>
          <w:sz w:val="30"/>
        </w:rPr>
        <w:t>26年</w:t>
      </w:r>
      <w:r>
        <w:rPr>
          <w:rFonts w:hint="eastAsia" w:ascii="黑体" w:eastAsia="黑体"/>
          <w:b/>
          <w:spacing w:val="20"/>
          <w:w w:val="135"/>
          <w:sz w:val="30"/>
          <w:lang w:val="en-US" w:eastAsia="zh-CN"/>
        </w:rPr>
        <w:t>5</w:t>
      </w:r>
      <w:r>
        <w:rPr>
          <w:rFonts w:hint="eastAsia" w:ascii="黑体" w:eastAsia="黑体"/>
          <w:b/>
          <w:spacing w:val="20"/>
          <w:w w:val="135"/>
          <w:sz w:val="30"/>
        </w:rPr>
        <w:t>月</w:t>
      </w:r>
    </w:p>
    <w:p w14:paraId="72054271">
      <w:pPr>
        <w:spacing w:before="120" w:after="120"/>
        <w:ind w:left="480" w:firstLine="0"/>
        <w:jc w:val="center"/>
        <w:rPr>
          <w:b/>
          <w:sz w:val="32"/>
        </w:rPr>
        <w:sectPr>
          <w:headerReference r:id="rId7" w:type="first"/>
          <w:footerReference r:id="rId10" w:type="first"/>
          <w:headerReference r:id="rId5" w:type="default"/>
          <w:footerReference r:id="rId8" w:type="default"/>
          <w:headerReference r:id="rId6" w:type="even"/>
          <w:footerReference r:id="rId9" w:type="even"/>
          <w:footnotePr>
            <w:numRestart w:val="eachPage"/>
          </w:footnotePr>
          <w:pgSz w:w="11907" w:h="16840"/>
          <w:pgMar w:top="0" w:right="1418" w:bottom="1134" w:left="1418" w:header="720" w:footer="720" w:gutter="0"/>
          <w:pgNumType w:fmt="upperRoman" w:start="1"/>
          <w:cols w:space="720" w:num="1"/>
          <w:titlePg/>
          <w:docGrid w:linePitch="502" w:charSpace="0"/>
        </w:sectPr>
      </w:pPr>
    </w:p>
    <w:p w14:paraId="4ED2DFA9">
      <w:pPr>
        <w:spacing w:before="120" w:after="120"/>
        <w:ind w:left="480" w:firstLine="0"/>
        <w:jc w:val="center"/>
        <w:rPr>
          <w:b/>
          <w:sz w:val="32"/>
        </w:rPr>
      </w:pPr>
      <w:r>
        <w:rPr>
          <w:rFonts w:hint="eastAsia"/>
          <w:b/>
          <w:sz w:val="32"/>
        </w:rPr>
        <w:t>目录</w:t>
      </w:r>
    </w:p>
    <w:p w14:paraId="0ADB44EB">
      <w:pPr>
        <w:pStyle w:val="34"/>
        <w:rPr>
          <w:rFonts w:asciiTheme="minorHAnsi" w:hAnsiTheme="minorHAnsi" w:eastAsiaTheme="minorEastAsia" w:cstheme="minorBidi"/>
          <w:sz w:val="21"/>
          <w:szCs w:val="22"/>
        </w:rPr>
      </w:pPr>
      <w:r>
        <w:fldChar w:fldCharType="begin"/>
      </w:r>
      <w:r>
        <w:instrText xml:space="preserve"> TOC \o "1-3" \u </w:instrText>
      </w:r>
      <w:r>
        <w:fldChar w:fldCharType="separate"/>
      </w:r>
      <w:r>
        <w:rPr>
          <w:rFonts w:hint="eastAsia"/>
        </w:rPr>
        <w:t>第一部分、</w:t>
      </w:r>
      <w:r>
        <w:t xml:space="preserve"> OS2</w:t>
      </w:r>
      <w:r>
        <w:rPr>
          <w:rFonts w:hint="eastAsia"/>
        </w:rPr>
        <w:t>省地级主站基础软硬件框招总体说明、标的划分</w:t>
      </w:r>
      <w:r>
        <w:tab/>
      </w:r>
      <w:r>
        <w:fldChar w:fldCharType="begin"/>
      </w:r>
      <w:r>
        <w:instrText xml:space="preserve"> PAGEREF _Toc534621746 \h </w:instrText>
      </w:r>
      <w:r>
        <w:fldChar w:fldCharType="separate"/>
      </w:r>
      <w:r>
        <w:t>1</w:t>
      </w:r>
      <w:r>
        <w:fldChar w:fldCharType="end"/>
      </w:r>
    </w:p>
    <w:p w14:paraId="18EF9BC7">
      <w:pPr>
        <w:pStyle w:val="34"/>
        <w:rPr>
          <w:rFonts w:asciiTheme="minorHAnsi" w:hAnsiTheme="minorHAnsi" w:eastAsiaTheme="minorEastAsia" w:cstheme="minorBidi"/>
          <w:sz w:val="21"/>
          <w:szCs w:val="22"/>
        </w:rPr>
      </w:pPr>
      <w:r>
        <w:t xml:space="preserve">1 </w:t>
      </w:r>
      <w:r>
        <w:rPr>
          <w:rFonts w:hint="eastAsia"/>
        </w:rPr>
        <w:t>总体说明</w:t>
      </w:r>
      <w:r>
        <w:tab/>
      </w:r>
      <w:r>
        <w:fldChar w:fldCharType="begin"/>
      </w:r>
      <w:r>
        <w:instrText xml:space="preserve"> PAGEREF _Toc534621747 \h </w:instrText>
      </w:r>
      <w:r>
        <w:fldChar w:fldCharType="separate"/>
      </w:r>
      <w:r>
        <w:t>2</w:t>
      </w:r>
      <w:r>
        <w:fldChar w:fldCharType="end"/>
      </w:r>
    </w:p>
    <w:p w14:paraId="3B37E1CF">
      <w:pPr>
        <w:pStyle w:val="39"/>
        <w:ind w:left="480"/>
        <w:rPr>
          <w:rFonts w:asciiTheme="minorHAnsi" w:hAnsiTheme="minorHAnsi" w:eastAsiaTheme="minorEastAsia" w:cstheme="minorBidi"/>
          <w:sz w:val="21"/>
          <w:szCs w:val="22"/>
        </w:rPr>
      </w:pPr>
      <w:r>
        <w:t>1.1</w:t>
      </w:r>
      <w:r>
        <w:rPr>
          <w:rFonts w:hint="eastAsia"/>
        </w:rPr>
        <w:t>广东电网概况</w:t>
      </w:r>
      <w:r>
        <w:tab/>
      </w:r>
      <w:r>
        <w:fldChar w:fldCharType="begin"/>
      </w:r>
      <w:r>
        <w:instrText xml:space="preserve"> PAGEREF _Toc534621748 \h </w:instrText>
      </w:r>
      <w:r>
        <w:fldChar w:fldCharType="separate"/>
      </w:r>
      <w:r>
        <w:t>2</w:t>
      </w:r>
      <w:r>
        <w:fldChar w:fldCharType="end"/>
      </w:r>
    </w:p>
    <w:p w14:paraId="69DE84BC">
      <w:pPr>
        <w:pStyle w:val="39"/>
        <w:ind w:left="480"/>
        <w:rPr>
          <w:rFonts w:asciiTheme="minorHAnsi" w:hAnsiTheme="minorHAnsi" w:eastAsiaTheme="minorEastAsia" w:cstheme="minorBidi"/>
          <w:sz w:val="21"/>
          <w:szCs w:val="22"/>
        </w:rPr>
      </w:pPr>
      <w:r>
        <w:t>1.2</w:t>
      </w:r>
      <w:r>
        <w:rPr>
          <w:rFonts w:hint="eastAsia"/>
        </w:rPr>
        <w:t>电网调度管理体制及调度职责</w:t>
      </w:r>
      <w:r>
        <w:tab/>
      </w:r>
      <w:r>
        <w:fldChar w:fldCharType="begin"/>
      </w:r>
      <w:r>
        <w:instrText xml:space="preserve"> PAGEREF _Toc534621749 \h </w:instrText>
      </w:r>
      <w:r>
        <w:fldChar w:fldCharType="separate"/>
      </w:r>
      <w:r>
        <w:t>2</w:t>
      </w:r>
      <w:r>
        <w:fldChar w:fldCharType="end"/>
      </w:r>
    </w:p>
    <w:p w14:paraId="18970587">
      <w:pPr>
        <w:pStyle w:val="26"/>
        <w:ind w:left="960"/>
        <w:rPr>
          <w:rFonts w:asciiTheme="minorHAnsi" w:hAnsiTheme="minorHAnsi" w:eastAsiaTheme="minorEastAsia" w:cstheme="minorBidi"/>
          <w:sz w:val="21"/>
          <w:szCs w:val="22"/>
        </w:rPr>
      </w:pPr>
      <w:r>
        <w:t>1.2.1</w:t>
      </w:r>
      <w:r>
        <w:rPr>
          <w:rFonts w:hint="eastAsia"/>
        </w:rPr>
        <w:t>调度管理体制</w:t>
      </w:r>
      <w:r>
        <w:tab/>
      </w:r>
      <w:r>
        <w:fldChar w:fldCharType="begin"/>
      </w:r>
      <w:r>
        <w:instrText xml:space="preserve"> PAGEREF _Toc534621750 \h </w:instrText>
      </w:r>
      <w:r>
        <w:fldChar w:fldCharType="separate"/>
      </w:r>
      <w:r>
        <w:t>2</w:t>
      </w:r>
      <w:r>
        <w:fldChar w:fldCharType="end"/>
      </w:r>
    </w:p>
    <w:p w14:paraId="74BBCEBA">
      <w:pPr>
        <w:pStyle w:val="26"/>
        <w:ind w:left="960"/>
        <w:rPr>
          <w:rFonts w:asciiTheme="minorHAnsi" w:hAnsiTheme="minorHAnsi" w:eastAsiaTheme="minorEastAsia" w:cstheme="minorBidi"/>
          <w:sz w:val="21"/>
          <w:szCs w:val="22"/>
        </w:rPr>
      </w:pPr>
      <w:r>
        <w:t>1.2.2</w:t>
      </w:r>
      <w:r>
        <w:rPr>
          <w:rFonts w:hint="eastAsia"/>
        </w:rPr>
        <w:t>调度管理机构设置</w:t>
      </w:r>
      <w:r>
        <w:tab/>
      </w:r>
      <w:r>
        <w:fldChar w:fldCharType="begin"/>
      </w:r>
      <w:r>
        <w:instrText xml:space="preserve"> PAGEREF _Toc534621751 \h </w:instrText>
      </w:r>
      <w:r>
        <w:fldChar w:fldCharType="separate"/>
      </w:r>
      <w:r>
        <w:t>2</w:t>
      </w:r>
      <w:r>
        <w:fldChar w:fldCharType="end"/>
      </w:r>
    </w:p>
    <w:p w14:paraId="63F6A8BC">
      <w:pPr>
        <w:pStyle w:val="39"/>
        <w:ind w:left="480"/>
        <w:rPr>
          <w:rFonts w:asciiTheme="minorHAnsi" w:hAnsiTheme="minorHAnsi" w:eastAsiaTheme="minorEastAsia" w:cstheme="minorBidi"/>
          <w:sz w:val="21"/>
          <w:szCs w:val="22"/>
        </w:rPr>
      </w:pPr>
      <w:r>
        <w:t>1.3</w:t>
      </w:r>
      <w:r>
        <w:rPr>
          <w:rFonts w:hint="eastAsia"/>
        </w:rPr>
        <w:t>远动信息组织方式</w:t>
      </w:r>
      <w:r>
        <w:tab/>
      </w:r>
      <w:r>
        <w:fldChar w:fldCharType="begin"/>
      </w:r>
      <w:r>
        <w:instrText xml:space="preserve"> PAGEREF _Toc534621752 \h </w:instrText>
      </w:r>
      <w:r>
        <w:fldChar w:fldCharType="separate"/>
      </w:r>
      <w:r>
        <w:t>3</w:t>
      </w:r>
      <w:r>
        <w:fldChar w:fldCharType="end"/>
      </w:r>
    </w:p>
    <w:p w14:paraId="08B4152F">
      <w:pPr>
        <w:pStyle w:val="39"/>
        <w:ind w:left="480"/>
        <w:rPr>
          <w:rFonts w:asciiTheme="minorHAnsi" w:hAnsiTheme="minorHAnsi" w:eastAsiaTheme="minorEastAsia" w:cstheme="minorBidi"/>
          <w:sz w:val="21"/>
          <w:szCs w:val="22"/>
        </w:rPr>
      </w:pPr>
      <w:r>
        <w:t>1.4 OS2</w:t>
      </w:r>
      <w:r>
        <w:rPr>
          <w:rFonts w:hint="eastAsia"/>
        </w:rPr>
        <w:t>主站建设要求</w:t>
      </w:r>
      <w:r>
        <w:tab/>
      </w:r>
      <w:r>
        <w:fldChar w:fldCharType="begin"/>
      </w:r>
      <w:r>
        <w:instrText xml:space="preserve"> PAGEREF _Toc534621753 \h </w:instrText>
      </w:r>
      <w:r>
        <w:fldChar w:fldCharType="separate"/>
      </w:r>
      <w:r>
        <w:t>3</w:t>
      </w:r>
      <w:r>
        <w:fldChar w:fldCharType="end"/>
      </w:r>
    </w:p>
    <w:p w14:paraId="7F9D5A3A">
      <w:pPr>
        <w:pStyle w:val="34"/>
        <w:rPr>
          <w:rFonts w:asciiTheme="minorHAnsi" w:hAnsiTheme="minorHAnsi" w:eastAsiaTheme="minorEastAsia" w:cstheme="minorBidi"/>
          <w:sz w:val="21"/>
          <w:szCs w:val="22"/>
        </w:rPr>
      </w:pPr>
      <w:r>
        <w:t xml:space="preserve">2 </w:t>
      </w:r>
      <w:r>
        <w:rPr>
          <w:rFonts w:hint="eastAsia"/>
        </w:rPr>
        <w:t>标的划分</w:t>
      </w:r>
      <w:r>
        <w:tab/>
      </w:r>
      <w:r>
        <w:fldChar w:fldCharType="begin"/>
      </w:r>
      <w:r>
        <w:instrText xml:space="preserve"> PAGEREF _Toc534621754 \h </w:instrText>
      </w:r>
      <w:r>
        <w:fldChar w:fldCharType="separate"/>
      </w:r>
      <w:r>
        <w:t>4</w:t>
      </w:r>
      <w:r>
        <w:fldChar w:fldCharType="end"/>
      </w:r>
    </w:p>
    <w:p w14:paraId="529B5F13">
      <w:pPr>
        <w:pStyle w:val="34"/>
        <w:rPr>
          <w:rFonts w:asciiTheme="minorHAnsi" w:hAnsiTheme="minorHAnsi" w:eastAsiaTheme="minorEastAsia" w:cstheme="minorBidi"/>
          <w:sz w:val="21"/>
          <w:szCs w:val="22"/>
        </w:rPr>
      </w:pPr>
      <w:r>
        <w:rPr>
          <w:rFonts w:hint="eastAsia"/>
        </w:rPr>
        <w:t>第二部分、</w:t>
      </w:r>
      <w:r>
        <w:t xml:space="preserve"> OS2</w:t>
      </w:r>
      <w:r>
        <w:rPr>
          <w:rFonts w:hint="eastAsia"/>
        </w:rPr>
        <w:t>省地级主站基础软硬件框招技术要求</w:t>
      </w:r>
      <w:r>
        <w:tab/>
      </w:r>
      <w:r>
        <w:fldChar w:fldCharType="begin"/>
      </w:r>
      <w:r>
        <w:instrText xml:space="preserve"> PAGEREF _Toc534621755 \h </w:instrText>
      </w:r>
      <w:r>
        <w:fldChar w:fldCharType="separate"/>
      </w:r>
      <w:r>
        <w:t>6</w:t>
      </w:r>
      <w:r>
        <w:fldChar w:fldCharType="end"/>
      </w:r>
    </w:p>
    <w:p w14:paraId="2D9B4D6C">
      <w:pPr>
        <w:pStyle w:val="34"/>
        <w:rPr>
          <w:rFonts w:asciiTheme="minorHAnsi" w:hAnsiTheme="minorHAnsi" w:eastAsiaTheme="minorEastAsia" w:cstheme="minorBidi"/>
          <w:sz w:val="21"/>
          <w:szCs w:val="22"/>
        </w:rPr>
      </w:pPr>
      <w:r>
        <w:rPr>
          <w:rFonts w:ascii="Arial" w:hAnsi="Arial" w:cs="Arial"/>
        </w:rPr>
        <w:t>1</w:t>
      </w:r>
      <w:r>
        <w:rPr>
          <w:rFonts w:asciiTheme="minorHAnsi" w:hAnsiTheme="minorHAnsi" w:eastAsiaTheme="minorEastAsia" w:cstheme="minorBidi"/>
          <w:sz w:val="21"/>
          <w:szCs w:val="22"/>
        </w:rPr>
        <w:tab/>
      </w:r>
      <w:r>
        <w:rPr>
          <w:rFonts w:hint="eastAsia"/>
        </w:rPr>
        <w:t>总体要求</w:t>
      </w:r>
      <w:r>
        <w:tab/>
      </w:r>
      <w:r>
        <w:fldChar w:fldCharType="begin"/>
      </w:r>
      <w:r>
        <w:instrText xml:space="preserve"> PAGEREF _Toc534621756 \h </w:instrText>
      </w:r>
      <w:r>
        <w:fldChar w:fldCharType="separate"/>
      </w:r>
      <w:r>
        <w:t>7</w:t>
      </w:r>
      <w:r>
        <w:fldChar w:fldCharType="end"/>
      </w:r>
    </w:p>
    <w:p w14:paraId="39F5E2D4">
      <w:pPr>
        <w:pStyle w:val="39"/>
        <w:ind w:left="480"/>
        <w:rPr>
          <w:rFonts w:asciiTheme="minorHAnsi" w:hAnsiTheme="minorHAnsi" w:eastAsiaTheme="minorEastAsia" w:cstheme="minorBidi"/>
          <w:sz w:val="21"/>
          <w:szCs w:val="22"/>
        </w:rPr>
      </w:pPr>
      <w:r>
        <w:t>1.1</w:t>
      </w:r>
      <w:r>
        <w:rPr>
          <w:rFonts w:asciiTheme="minorHAnsi" w:hAnsiTheme="minorHAnsi" w:eastAsiaTheme="minorEastAsia" w:cstheme="minorBidi"/>
          <w:sz w:val="21"/>
          <w:szCs w:val="22"/>
        </w:rPr>
        <w:tab/>
      </w:r>
      <w:r>
        <w:rPr>
          <w:rFonts w:hint="eastAsia"/>
        </w:rPr>
        <w:t>系统框架及结构</w:t>
      </w:r>
      <w:r>
        <w:tab/>
      </w:r>
      <w:r>
        <w:fldChar w:fldCharType="begin"/>
      </w:r>
      <w:r>
        <w:instrText xml:space="preserve"> PAGEREF _Toc534621757 \h </w:instrText>
      </w:r>
      <w:r>
        <w:fldChar w:fldCharType="separate"/>
      </w:r>
      <w:r>
        <w:t>7</w:t>
      </w:r>
      <w:r>
        <w:fldChar w:fldCharType="end"/>
      </w:r>
    </w:p>
    <w:p w14:paraId="290BBA81">
      <w:pPr>
        <w:pStyle w:val="26"/>
        <w:ind w:left="960"/>
        <w:rPr>
          <w:rFonts w:asciiTheme="minorHAnsi" w:hAnsiTheme="minorHAnsi" w:eastAsiaTheme="minorEastAsia" w:cstheme="minorBidi"/>
          <w:sz w:val="21"/>
          <w:szCs w:val="22"/>
        </w:rPr>
      </w:pPr>
      <w:r>
        <w:t>1.1.1</w:t>
      </w:r>
      <w:r>
        <w:rPr>
          <w:rFonts w:asciiTheme="minorHAnsi" w:hAnsiTheme="minorHAnsi" w:eastAsiaTheme="minorEastAsia" w:cstheme="minorBidi"/>
          <w:sz w:val="21"/>
          <w:szCs w:val="22"/>
        </w:rPr>
        <w:tab/>
      </w:r>
      <w:r>
        <w:rPr>
          <w:rFonts w:hint="eastAsia"/>
        </w:rPr>
        <w:t>总体架构</w:t>
      </w:r>
      <w:r>
        <w:tab/>
      </w:r>
      <w:r>
        <w:fldChar w:fldCharType="begin"/>
      </w:r>
      <w:r>
        <w:instrText xml:space="preserve"> PAGEREF _Toc534621758 \h </w:instrText>
      </w:r>
      <w:r>
        <w:fldChar w:fldCharType="separate"/>
      </w:r>
      <w:r>
        <w:t>7</w:t>
      </w:r>
      <w:r>
        <w:fldChar w:fldCharType="end"/>
      </w:r>
    </w:p>
    <w:p w14:paraId="41FEB863">
      <w:pPr>
        <w:pStyle w:val="26"/>
        <w:ind w:left="960"/>
        <w:rPr>
          <w:rFonts w:asciiTheme="minorHAnsi" w:hAnsiTheme="minorHAnsi" w:eastAsiaTheme="minorEastAsia" w:cstheme="minorBidi"/>
          <w:sz w:val="21"/>
          <w:szCs w:val="22"/>
        </w:rPr>
      </w:pPr>
      <w:r>
        <w:t>1.1.2</w:t>
      </w:r>
      <w:r>
        <w:rPr>
          <w:rFonts w:asciiTheme="minorHAnsi" w:hAnsiTheme="minorHAnsi" w:eastAsiaTheme="minorEastAsia" w:cstheme="minorBidi"/>
          <w:sz w:val="21"/>
          <w:szCs w:val="22"/>
        </w:rPr>
        <w:tab/>
      </w:r>
      <w:r>
        <w:rPr>
          <w:rFonts w:hint="eastAsia"/>
        </w:rPr>
        <w:t>主配网一体化架构</w:t>
      </w:r>
      <w:r>
        <w:tab/>
      </w:r>
      <w:r>
        <w:fldChar w:fldCharType="begin"/>
      </w:r>
      <w:r>
        <w:instrText xml:space="preserve"> PAGEREF _Toc534621759 \h </w:instrText>
      </w:r>
      <w:r>
        <w:fldChar w:fldCharType="separate"/>
      </w:r>
      <w:r>
        <w:t>8</w:t>
      </w:r>
      <w:r>
        <w:fldChar w:fldCharType="end"/>
      </w:r>
    </w:p>
    <w:p w14:paraId="63F4796A">
      <w:pPr>
        <w:pStyle w:val="26"/>
        <w:ind w:left="960"/>
        <w:rPr>
          <w:rFonts w:asciiTheme="minorHAnsi" w:hAnsiTheme="minorHAnsi" w:eastAsiaTheme="minorEastAsia" w:cstheme="minorBidi"/>
          <w:sz w:val="21"/>
          <w:szCs w:val="22"/>
        </w:rPr>
      </w:pPr>
      <w:r>
        <w:t>1.1.3</w:t>
      </w:r>
      <w:r>
        <w:rPr>
          <w:rFonts w:asciiTheme="minorHAnsi" w:hAnsiTheme="minorHAnsi" w:eastAsiaTheme="minorEastAsia" w:cstheme="minorBidi"/>
          <w:sz w:val="21"/>
          <w:szCs w:val="22"/>
        </w:rPr>
        <w:tab/>
      </w:r>
      <w:r>
        <w:rPr>
          <w:rFonts w:hint="eastAsia"/>
        </w:rPr>
        <w:t>数据流架构</w:t>
      </w:r>
      <w:r>
        <w:tab/>
      </w:r>
      <w:r>
        <w:fldChar w:fldCharType="begin"/>
      </w:r>
      <w:r>
        <w:instrText xml:space="preserve"> PAGEREF _Toc534621760 \h </w:instrText>
      </w:r>
      <w:r>
        <w:fldChar w:fldCharType="separate"/>
      </w:r>
      <w:r>
        <w:t>8</w:t>
      </w:r>
      <w:r>
        <w:fldChar w:fldCharType="end"/>
      </w:r>
    </w:p>
    <w:p w14:paraId="34E2D457">
      <w:pPr>
        <w:pStyle w:val="26"/>
        <w:ind w:left="960"/>
        <w:rPr>
          <w:rFonts w:asciiTheme="minorHAnsi" w:hAnsiTheme="minorHAnsi" w:eastAsiaTheme="minorEastAsia" w:cstheme="minorBidi"/>
          <w:sz w:val="21"/>
          <w:szCs w:val="22"/>
        </w:rPr>
      </w:pPr>
      <w:r>
        <w:t>1.1.4</w:t>
      </w:r>
      <w:r>
        <w:rPr>
          <w:rFonts w:asciiTheme="minorHAnsi" w:hAnsiTheme="minorHAnsi" w:eastAsiaTheme="minorEastAsia" w:cstheme="minorBidi"/>
          <w:sz w:val="21"/>
          <w:szCs w:val="22"/>
        </w:rPr>
        <w:tab/>
      </w:r>
      <w:r>
        <w:rPr>
          <w:rFonts w:hint="eastAsia"/>
        </w:rPr>
        <w:t>功能结构</w:t>
      </w:r>
      <w:r>
        <w:t>(</w:t>
      </w:r>
      <w:r>
        <w:rPr>
          <w:rFonts w:hint="eastAsia"/>
        </w:rPr>
        <w:t>略</w:t>
      </w:r>
      <w:r>
        <w:t>)</w:t>
      </w:r>
      <w:r>
        <w:tab/>
      </w:r>
      <w:r>
        <w:fldChar w:fldCharType="begin"/>
      </w:r>
      <w:r>
        <w:instrText xml:space="preserve"> PAGEREF _Toc534621761 \h </w:instrText>
      </w:r>
      <w:r>
        <w:fldChar w:fldCharType="separate"/>
      </w:r>
      <w:r>
        <w:t>9</w:t>
      </w:r>
      <w:r>
        <w:fldChar w:fldCharType="end"/>
      </w:r>
    </w:p>
    <w:p w14:paraId="7CF8D89B">
      <w:pPr>
        <w:pStyle w:val="26"/>
        <w:ind w:left="960"/>
        <w:rPr>
          <w:rFonts w:asciiTheme="minorHAnsi" w:hAnsiTheme="minorHAnsi" w:eastAsiaTheme="minorEastAsia" w:cstheme="minorBidi"/>
          <w:sz w:val="21"/>
          <w:szCs w:val="22"/>
        </w:rPr>
      </w:pPr>
      <w:r>
        <w:t>1.1.5</w:t>
      </w:r>
      <w:r>
        <w:rPr>
          <w:rFonts w:asciiTheme="minorHAnsi" w:hAnsiTheme="minorHAnsi" w:eastAsiaTheme="minorEastAsia" w:cstheme="minorBidi"/>
          <w:sz w:val="21"/>
          <w:szCs w:val="22"/>
        </w:rPr>
        <w:tab/>
      </w:r>
      <w:r>
        <w:rPr>
          <w:rFonts w:hint="eastAsia"/>
        </w:rPr>
        <w:t>硬件结构</w:t>
      </w:r>
      <w:r>
        <w:tab/>
      </w:r>
      <w:r>
        <w:fldChar w:fldCharType="begin"/>
      </w:r>
      <w:r>
        <w:instrText xml:space="preserve"> PAGEREF _Toc534621762 \h </w:instrText>
      </w:r>
      <w:r>
        <w:fldChar w:fldCharType="separate"/>
      </w:r>
      <w:r>
        <w:t>10</w:t>
      </w:r>
      <w:r>
        <w:fldChar w:fldCharType="end"/>
      </w:r>
    </w:p>
    <w:p w14:paraId="719AABB1">
      <w:pPr>
        <w:pStyle w:val="34"/>
        <w:rPr>
          <w:rFonts w:asciiTheme="minorHAnsi" w:hAnsiTheme="minorHAnsi" w:eastAsiaTheme="minorEastAsia" w:cstheme="minorBidi"/>
          <w:sz w:val="21"/>
          <w:szCs w:val="22"/>
        </w:rPr>
      </w:pPr>
      <w:r>
        <w:rPr>
          <w:rFonts w:ascii="Arial" w:hAnsi="Arial" w:cs="Arial"/>
        </w:rPr>
        <w:t>2</w:t>
      </w:r>
      <w:r>
        <w:rPr>
          <w:rFonts w:asciiTheme="minorHAnsi" w:hAnsiTheme="minorHAnsi" w:eastAsiaTheme="minorEastAsia" w:cstheme="minorBidi"/>
          <w:sz w:val="21"/>
          <w:szCs w:val="22"/>
        </w:rPr>
        <w:tab/>
      </w:r>
      <w:r>
        <w:rPr>
          <w:rFonts w:hint="eastAsia"/>
        </w:rPr>
        <w:t>典型系统配置清单和要求</w:t>
      </w:r>
      <w:r>
        <w:tab/>
      </w:r>
      <w:r>
        <w:fldChar w:fldCharType="begin"/>
      </w:r>
      <w:r>
        <w:instrText xml:space="preserve"> PAGEREF _Toc534621763 \h </w:instrText>
      </w:r>
      <w:r>
        <w:fldChar w:fldCharType="separate"/>
      </w:r>
      <w:r>
        <w:t>11</w:t>
      </w:r>
      <w:r>
        <w:fldChar w:fldCharType="end"/>
      </w:r>
    </w:p>
    <w:p w14:paraId="55B98908">
      <w:pPr>
        <w:pStyle w:val="39"/>
        <w:ind w:left="480"/>
        <w:rPr>
          <w:rFonts w:asciiTheme="minorHAnsi" w:hAnsiTheme="minorHAnsi" w:eastAsiaTheme="minorEastAsia" w:cstheme="minorBidi"/>
          <w:sz w:val="21"/>
          <w:szCs w:val="22"/>
        </w:rPr>
      </w:pPr>
      <w:r>
        <w:t>2.1</w:t>
      </w:r>
      <w:r>
        <w:rPr>
          <w:rFonts w:asciiTheme="minorHAnsi" w:hAnsiTheme="minorHAnsi" w:eastAsiaTheme="minorEastAsia" w:cstheme="minorBidi"/>
          <w:sz w:val="21"/>
          <w:szCs w:val="22"/>
        </w:rPr>
        <w:tab/>
      </w:r>
      <w:r>
        <w:t>OS2</w:t>
      </w:r>
      <w:r>
        <w:rPr>
          <w:rFonts w:hint="eastAsia"/>
        </w:rPr>
        <w:t>主站系统典型系统结构和配置清单</w:t>
      </w:r>
      <w:r>
        <w:tab/>
      </w:r>
      <w:r>
        <w:fldChar w:fldCharType="begin"/>
      </w:r>
      <w:r>
        <w:instrText xml:space="preserve"> PAGEREF _Toc534621764 \h </w:instrText>
      </w:r>
      <w:r>
        <w:fldChar w:fldCharType="separate"/>
      </w:r>
      <w:r>
        <w:t>11</w:t>
      </w:r>
      <w:r>
        <w:fldChar w:fldCharType="end"/>
      </w:r>
    </w:p>
    <w:p w14:paraId="49CAC8C1">
      <w:pPr>
        <w:pStyle w:val="39"/>
        <w:ind w:left="480"/>
        <w:rPr>
          <w:rFonts w:asciiTheme="minorHAnsi" w:hAnsiTheme="minorHAnsi" w:eastAsiaTheme="minorEastAsia" w:cstheme="minorBidi"/>
          <w:sz w:val="21"/>
          <w:szCs w:val="22"/>
        </w:rPr>
      </w:pPr>
      <w:r>
        <w:t>2.2</w:t>
      </w:r>
      <w:r>
        <w:rPr>
          <w:rFonts w:asciiTheme="minorHAnsi" w:hAnsiTheme="minorHAnsi" w:eastAsiaTheme="minorEastAsia" w:cstheme="minorBidi"/>
          <w:sz w:val="21"/>
          <w:szCs w:val="22"/>
        </w:rPr>
        <w:tab/>
      </w:r>
      <w:r>
        <w:rPr>
          <w:rFonts w:hint="eastAsia"/>
        </w:rPr>
        <w:t>配置要求</w:t>
      </w:r>
      <w:r>
        <w:tab/>
      </w:r>
      <w:r>
        <w:fldChar w:fldCharType="begin"/>
      </w:r>
      <w:r>
        <w:instrText xml:space="preserve"> PAGEREF _Toc534621765 \h </w:instrText>
      </w:r>
      <w:r>
        <w:fldChar w:fldCharType="separate"/>
      </w:r>
      <w:r>
        <w:t>12</w:t>
      </w:r>
      <w:r>
        <w:fldChar w:fldCharType="end"/>
      </w:r>
    </w:p>
    <w:p w14:paraId="57A81292">
      <w:pPr>
        <w:pStyle w:val="26"/>
        <w:ind w:left="960"/>
        <w:rPr>
          <w:rFonts w:hint="default" w:eastAsia="宋体"/>
          <w:lang w:val="en-US" w:eastAsia="zh-CN"/>
        </w:rPr>
      </w:pPr>
      <w:r>
        <w:rPr>
          <w:rFonts w:hint="eastAsia"/>
          <w:lang w:val="en-US" w:eastAsia="zh-CN"/>
        </w:rPr>
        <w:t>2.2.1     总体配置要求.................................................................................12</w:t>
      </w:r>
    </w:p>
    <w:p w14:paraId="03846D95">
      <w:pPr>
        <w:pStyle w:val="26"/>
        <w:ind w:left="960"/>
        <w:rPr>
          <w:rFonts w:asciiTheme="minorHAnsi" w:hAnsiTheme="minorHAnsi" w:eastAsiaTheme="minorEastAsia" w:cstheme="minorBidi"/>
          <w:sz w:val="21"/>
          <w:szCs w:val="22"/>
        </w:rPr>
      </w:pPr>
      <w:r>
        <w:t>2.2.</w:t>
      </w:r>
      <w:r>
        <w:rPr>
          <w:rFonts w:hint="eastAsia"/>
          <w:lang w:val="en-US" w:eastAsia="zh-CN"/>
        </w:rPr>
        <w:t>2</w:t>
      </w:r>
      <w:r>
        <w:rPr>
          <w:rFonts w:asciiTheme="minorHAnsi" w:hAnsiTheme="minorHAnsi" w:eastAsiaTheme="minorEastAsia" w:cstheme="minorBidi"/>
          <w:sz w:val="21"/>
          <w:szCs w:val="22"/>
        </w:rPr>
        <w:tab/>
      </w:r>
      <w:r>
        <w:rPr>
          <w:rFonts w:hint="eastAsia"/>
        </w:rPr>
        <w:t>硬件配置要求</w:t>
      </w:r>
      <w:r>
        <w:tab/>
      </w:r>
      <w:r>
        <w:fldChar w:fldCharType="begin"/>
      </w:r>
      <w:r>
        <w:instrText xml:space="preserve"> PAGEREF _Toc534621766 \h </w:instrText>
      </w:r>
      <w:r>
        <w:fldChar w:fldCharType="separate"/>
      </w:r>
      <w:r>
        <w:t>1</w:t>
      </w:r>
      <w:r>
        <w:rPr>
          <w:rFonts w:hint="eastAsia"/>
          <w:lang w:val="en-US" w:eastAsia="zh-CN"/>
        </w:rPr>
        <w:t>3</w:t>
      </w:r>
      <w:r>
        <w:fldChar w:fldCharType="end"/>
      </w:r>
    </w:p>
    <w:p w14:paraId="0A6C9BF6">
      <w:pPr>
        <w:pStyle w:val="26"/>
        <w:ind w:left="960"/>
        <w:rPr>
          <w:rFonts w:hint="default" w:eastAsia="宋体" w:asciiTheme="minorHAnsi" w:hAnsiTheme="minorHAnsi" w:cstheme="minorBidi"/>
          <w:sz w:val="21"/>
          <w:szCs w:val="22"/>
          <w:lang w:val="en-US" w:eastAsia="zh-CN"/>
        </w:rPr>
      </w:pPr>
      <w:r>
        <w:t>2.2.</w:t>
      </w:r>
      <w:r>
        <w:rPr>
          <w:rFonts w:hint="eastAsia"/>
          <w:lang w:val="en-US" w:eastAsia="zh-CN"/>
        </w:rPr>
        <w:t>3</w:t>
      </w:r>
      <w:r>
        <w:rPr>
          <w:rFonts w:asciiTheme="minorHAnsi" w:hAnsiTheme="minorHAnsi" w:eastAsiaTheme="minorEastAsia" w:cstheme="minorBidi"/>
          <w:sz w:val="21"/>
          <w:szCs w:val="22"/>
        </w:rPr>
        <w:tab/>
      </w:r>
      <w:r>
        <w:rPr>
          <w:rFonts w:hint="eastAsia"/>
        </w:rPr>
        <w:t>商用软件配置要求</w:t>
      </w:r>
      <w:r>
        <w:tab/>
      </w:r>
      <w:r>
        <w:rPr>
          <w:rFonts w:hint="eastAsia"/>
          <w:lang w:val="en-US" w:eastAsia="zh-CN"/>
        </w:rPr>
        <w:t>49</w:t>
      </w:r>
    </w:p>
    <w:p w14:paraId="03A7F401">
      <w:pPr>
        <w:pStyle w:val="34"/>
        <w:rPr>
          <w:rFonts w:hint="default" w:eastAsia="宋体" w:asciiTheme="minorHAnsi" w:hAnsiTheme="minorHAnsi" w:cstheme="minorBidi"/>
          <w:sz w:val="21"/>
          <w:szCs w:val="22"/>
          <w:lang w:val="en-US" w:eastAsia="zh-CN"/>
        </w:rPr>
      </w:pPr>
      <w:r>
        <w:rPr>
          <w:rFonts w:ascii="Arial" w:hAnsi="Arial" w:cs="Arial"/>
        </w:rPr>
        <w:t>3</w:t>
      </w:r>
      <w:r>
        <w:rPr>
          <w:rFonts w:asciiTheme="minorHAnsi" w:hAnsiTheme="minorHAnsi" w:eastAsiaTheme="minorEastAsia" w:cstheme="minorBidi"/>
          <w:sz w:val="21"/>
          <w:szCs w:val="22"/>
        </w:rPr>
        <w:tab/>
      </w:r>
      <w:r>
        <w:rPr>
          <w:rFonts w:hint="eastAsia"/>
        </w:rPr>
        <w:t>质保及售后要求</w:t>
      </w:r>
      <w:r>
        <w:tab/>
      </w:r>
      <w:r>
        <w:rPr>
          <w:rFonts w:hint="eastAsia"/>
          <w:lang w:val="en-US" w:eastAsia="zh-CN"/>
        </w:rPr>
        <w:t>68</w:t>
      </w:r>
    </w:p>
    <w:p w14:paraId="5D48705A">
      <w:pPr>
        <w:pStyle w:val="34"/>
        <w:rPr>
          <w:rFonts w:hint="default" w:eastAsia="宋体" w:asciiTheme="minorHAnsi" w:hAnsiTheme="minorHAnsi" w:cstheme="minorBidi"/>
          <w:sz w:val="21"/>
          <w:szCs w:val="22"/>
          <w:lang w:val="en-US" w:eastAsia="zh-CN"/>
        </w:rPr>
      </w:pPr>
      <w:r>
        <w:rPr>
          <w:rFonts w:ascii="Arial" w:hAnsi="Arial" w:cs="Arial"/>
        </w:rPr>
        <w:t>4</w:t>
      </w:r>
      <w:r>
        <w:rPr>
          <w:rFonts w:asciiTheme="minorHAnsi" w:hAnsiTheme="minorHAnsi" w:eastAsiaTheme="minorEastAsia" w:cstheme="minorBidi"/>
          <w:sz w:val="21"/>
          <w:szCs w:val="22"/>
        </w:rPr>
        <w:tab/>
      </w:r>
      <w:r>
        <w:rPr>
          <w:rFonts w:hint="eastAsia"/>
        </w:rPr>
        <w:t>包装、运输和安装调试</w:t>
      </w:r>
      <w:r>
        <w:tab/>
      </w:r>
      <w:r>
        <w:rPr>
          <w:rFonts w:hint="eastAsia"/>
          <w:lang w:val="en-US" w:eastAsia="zh-CN"/>
        </w:rPr>
        <w:t>68</w:t>
      </w:r>
    </w:p>
    <w:p w14:paraId="3F0B0A0E">
      <w:pPr>
        <w:pStyle w:val="39"/>
        <w:ind w:left="480"/>
        <w:rPr>
          <w:rFonts w:hint="default" w:eastAsia="宋体" w:asciiTheme="minorHAnsi" w:hAnsiTheme="minorHAnsi" w:cstheme="minorBidi"/>
          <w:sz w:val="21"/>
          <w:szCs w:val="22"/>
          <w:lang w:val="en-US" w:eastAsia="zh-CN"/>
        </w:rPr>
      </w:pPr>
      <w:r>
        <w:t>4.1</w:t>
      </w:r>
      <w:r>
        <w:rPr>
          <w:rFonts w:asciiTheme="minorHAnsi" w:hAnsiTheme="minorHAnsi" w:eastAsiaTheme="minorEastAsia" w:cstheme="minorBidi"/>
          <w:sz w:val="21"/>
          <w:szCs w:val="22"/>
        </w:rPr>
        <w:tab/>
      </w:r>
      <w:r>
        <w:rPr>
          <w:rFonts w:hint="eastAsia"/>
        </w:rPr>
        <w:t>总体要求</w:t>
      </w:r>
      <w:r>
        <w:tab/>
      </w:r>
      <w:r>
        <w:rPr>
          <w:rFonts w:hint="eastAsia"/>
          <w:lang w:val="en-US" w:eastAsia="zh-CN"/>
        </w:rPr>
        <w:t>68</w:t>
      </w:r>
    </w:p>
    <w:p w14:paraId="258DA15D">
      <w:pPr>
        <w:pStyle w:val="39"/>
        <w:ind w:left="480"/>
        <w:rPr>
          <w:rFonts w:hint="default" w:eastAsia="宋体" w:asciiTheme="minorHAnsi" w:hAnsiTheme="minorHAnsi" w:cstheme="minorBidi"/>
          <w:sz w:val="21"/>
          <w:szCs w:val="22"/>
          <w:lang w:val="en-US" w:eastAsia="zh-CN"/>
        </w:rPr>
      </w:pPr>
      <w:r>
        <w:t>4.2</w:t>
      </w:r>
      <w:r>
        <w:rPr>
          <w:rFonts w:asciiTheme="minorHAnsi" w:hAnsiTheme="minorHAnsi" w:eastAsiaTheme="minorEastAsia" w:cstheme="minorBidi"/>
          <w:sz w:val="21"/>
          <w:szCs w:val="22"/>
        </w:rPr>
        <w:tab/>
      </w:r>
      <w:r>
        <w:rPr>
          <w:rFonts w:hint="eastAsia"/>
        </w:rPr>
        <w:t>包装</w:t>
      </w:r>
      <w:r>
        <w:tab/>
      </w:r>
      <w:r>
        <w:rPr>
          <w:rFonts w:hint="eastAsia"/>
          <w:lang w:val="en-US" w:eastAsia="zh-CN"/>
        </w:rPr>
        <w:t>68</w:t>
      </w:r>
    </w:p>
    <w:p w14:paraId="4574444D">
      <w:pPr>
        <w:pStyle w:val="39"/>
        <w:ind w:left="480"/>
        <w:rPr>
          <w:rFonts w:hint="default" w:eastAsia="宋体" w:asciiTheme="minorHAnsi" w:hAnsiTheme="minorHAnsi" w:cstheme="minorBidi"/>
          <w:sz w:val="21"/>
          <w:szCs w:val="22"/>
          <w:lang w:val="en-US" w:eastAsia="zh-CN"/>
        </w:rPr>
      </w:pPr>
      <w:r>
        <w:t>4.3</w:t>
      </w:r>
      <w:r>
        <w:rPr>
          <w:rFonts w:asciiTheme="minorHAnsi" w:hAnsiTheme="minorHAnsi" w:eastAsiaTheme="minorEastAsia" w:cstheme="minorBidi"/>
          <w:sz w:val="21"/>
          <w:szCs w:val="22"/>
        </w:rPr>
        <w:tab/>
      </w:r>
      <w:r>
        <w:rPr>
          <w:rFonts w:hint="eastAsia"/>
        </w:rPr>
        <w:t>运输</w:t>
      </w:r>
      <w:r>
        <w:tab/>
      </w:r>
      <w:r>
        <w:rPr>
          <w:rFonts w:hint="eastAsia"/>
          <w:lang w:val="en-US" w:eastAsia="zh-CN"/>
        </w:rPr>
        <w:t>68</w:t>
      </w:r>
    </w:p>
    <w:p w14:paraId="186D1DCF">
      <w:pPr>
        <w:pStyle w:val="39"/>
        <w:ind w:left="480"/>
        <w:rPr>
          <w:rFonts w:hint="default" w:eastAsia="宋体" w:asciiTheme="minorHAnsi" w:hAnsiTheme="minorHAnsi" w:cstheme="minorBidi"/>
          <w:sz w:val="21"/>
          <w:szCs w:val="22"/>
          <w:lang w:val="en-US" w:eastAsia="zh-CN"/>
        </w:rPr>
      </w:pPr>
      <w:r>
        <w:t>4.4</w:t>
      </w:r>
      <w:r>
        <w:rPr>
          <w:rFonts w:asciiTheme="minorHAnsi" w:hAnsiTheme="minorHAnsi" w:eastAsiaTheme="minorEastAsia" w:cstheme="minorBidi"/>
          <w:sz w:val="21"/>
          <w:szCs w:val="22"/>
        </w:rPr>
        <w:tab/>
      </w:r>
      <w:r>
        <w:rPr>
          <w:rFonts w:hint="eastAsia"/>
        </w:rPr>
        <w:t>安装调试</w:t>
      </w:r>
      <w:r>
        <w:tab/>
      </w:r>
      <w:r>
        <w:rPr>
          <w:rFonts w:hint="eastAsia"/>
          <w:lang w:val="en-US" w:eastAsia="zh-CN"/>
        </w:rPr>
        <w:t>68</w:t>
      </w:r>
    </w:p>
    <w:p w14:paraId="2D1D4DE4">
      <w:pPr>
        <w:snapToGrid w:val="0"/>
        <w:spacing w:before="120" w:after="120"/>
        <w:ind w:firstLine="0"/>
        <w:jc w:val="center"/>
      </w:pPr>
      <w:r>
        <w:rPr>
          <w:rFonts w:ascii="宋体" w:hAnsi="宋体"/>
          <w:sz w:val="28"/>
        </w:rPr>
        <w:fldChar w:fldCharType="end"/>
      </w:r>
    </w:p>
    <w:p w14:paraId="5841E670">
      <w:pPr>
        <w:spacing w:before="120" w:after="120"/>
        <w:ind w:firstLine="480"/>
        <w:sectPr>
          <w:headerReference r:id="rId11" w:type="default"/>
          <w:footerReference r:id="rId12" w:type="default"/>
          <w:footnotePr>
            <w:numRestart w:val="eachPage"/>
          </w:footnotePr>
          <w:pgSz w:w="11907" w:h="16840"/>
          <w:pgMar w:top="1134" w:right="1418" w:bottom="1134" w:left="1418" w:header="720" w:footer="720" w:gutter="0"/>
          <w:pgNumType w:fmt="upperRoman"/>
          <w:cols w:space="720" w:num="1"/>
          <w:docGrid w:linePitch="502" w:charSpace="0"/>
        </w:sectPr>
      </w:pPr>
    </w:p>
    <w:p w14:paraId="733242E2">
      <w:bookmarkStart w:id="0" w:name="_Toc482955410"/>
      <w:bookmarkStart w:id="1" w:name="_Toc347087172"/>
      <w:bookmarkStart w:id="2" w:name="_Toc347623973"/>
    </w:p>
    <w:p w14:paraId="6A3CBD07"/>
    <w:p w14:paraId="372CA928"/>
    <w:p w14:paraId="476247C9"/>
    <w:p w14:paraId="2068C536"/>
    <w:p w14:paraId="6E625E43"/>
    <w:p w14:paraId="4EC732A4"/>
    <w:p w14:paraId="4AEE929F">
      <w:pPr>
        <w:pStyle w:val="4"/>
        <w:ind w:left="120" w:leftChars="50"/>
        <w:rPr>
          <w:sz w:val="48"/>
          <w:szCs w:val="48"/>
        </w:rPr>
      </w:pPr>
      <w:bookmarkStart w:id="3" w:name="_Toc534621746"/>
      <w:r>
        <w:rPr>
          <w:rFonts w:hint="eastAsia"/>
          <w:sz w:val="48"/>
          <w:szCs w:val="48"/>
        </w:rPr>
        <w:t>第一部分、 OS2省地级主站基础软硬件框招总体说明、标的划分</w:t>
      </w:r>
      <w:bookmarkEnd w:id="0"/>
      <w:bookmarkEnd w:id="3"/>
    </w:p>
    <w:p w14:paraId="3D7BBDD2"/>
    <w:p w14:paraId="4F2DF5E2"/>
    <w:p w14:paraId="313EBBB7"/>
    <w:p w14:paraId="4EB42270"/>
    <w:p w14:paraId="6F99FD0C"/>
    <w:p w14:paraId="018DB7D0">
      <w:pPr>
        <w:spacing w:before="0" w:after="0" w:line="240" w:lineRule="auto"/>
        <w:ind w:firstLine="0"/>
        <w:jc w:val="left"/>
        <w:rPr>
          <w:b/>
          <w:kern w:val="44"/>
          <w:sz w:val="48"/>
          <w:szCs w:val="48"/>
        </w:rPr>
      </w:pPr>
      <w:r>
        <w:rPr>
          <w:sz w:val="48"/>
          <w:szCs w:val="48"/>
        </w:rPr>
        <w:br w:type="page"/>
      </w:r>
    </w:p>
    <w:p w14:paraId="34D1632E">
      <w:pPr>
        <w:pStyle w:val="4"/>
        <w:ind w:left="120" w:leftChars="50" w:firstLine="161" w:firstLineChars="50"/>
        <w:rPr>
          <w:sz w:val="32"/>
        </w:rPr>
      </w:pPr>
      <w:bookmarkStart w:id="4" w:name="_Toc534621747"/>
      <w:r>
        <w:rPr>
          <w:rFonts w:hint="eastAsia"/>
          <w:sz w:val="32"/>
        </w:rPr>
        <w:t>1 总体说明</w:t>
      </w:r>
      <w:bookmarkEnd w:id="4"/>
    </w:p>
    <w:p w14:paraId="5FD6B387">
      <w:pPr>
        <w:pStyle w:val="5"/>
        <w:widowControl w:val="0"/>
        <w:numPr>
          <w:ilvl w:val="1"/>
          <w:numId w:val="0"/>
        </w:numPr>
        <w:spacing w:beforeLines="50" w:afterLines="50"/>
        <w:ind w:firstLine="141" w:firstLineChars="50"/>
        <w:rPr>
          <w:szCs w:val="28"/>
        </w:rPr>
      </w:pPr>
      <w:bookmarkStart w:id="5" w:name="_Toc534621748"/>
      <w:r>
        <w:rPr>
          <w:rFonts w:hint="eastAsia"/>
          <w:szCs w:val="28"/>
        </w:rPr>
        <w:t>1.1广东电网概况</w:t>
      </w:r>
      <w:bookmarkEnd w:id="5"/>
    </w:p>
    <w:p w14:paraId="4AB222E3">
      <w:pPr>
        <w:ind w:firstLine="480" w:firstLineChars="200"/>
      </w:pPr>
      <w:r>
        <w:rPr>
          <w:rFonts w:hint="eastAsia" w:ascii="宋体" w:hAnsi="宋体"/>
          <w:kern w:val="0"/>
        </w:rPr>
        <w:t>广东电网以珠江三角洲地区500千伏主干环网为中心，向东西两翼及粤北延伸。通过“八交八直”高压输电线路与中西部电网联网；通过1回500千伏交流海缆与海南电网相联；通过4回400千伏线路与香港中华电力系统互联；通过6回220千伏线路和3回110千伏线路向澳门地区供电。截至2017年3月底，共有35千伏及以上输电线路68410千米（含电缆），变电站2016座、主变压器4115台、变电容量34469万千伏安。</w:t>
      </w:r>
    </w:p>
    <w:p w14:paraId="2EF142B8">
      <w:pPr>
        <w:pStyle w:val="5"/>
        <w:widowControl w:val="0"/>
        <w:numPr>
          <w:ilvl w:val="1"/>
          <w:numId w:val="0"/>
        </w:numPr>
        <w:spacing w:beforeLines="50" w:afterLines="50"/>
        <w:ind w:firstLine="141" w:firstLineChars="50"/>
        <w:rPr>
          <w:szCs w:val="28"/>
        </w:rPr>
      </w:pPr>
      <w:bookmarkStart w:id="6" w:name="_Toc534621749"/>
      <w:r>
        <w:rPr>
          <w:rFonts w:hint="eastAsia"/>
          <w:szCs w:val="28"/>
        </w:rPr>
        <w:t>1.2电网调度管理体制及调度职责</w:t>
      </w:r>
      <w:bookmarkEnd w:id="6"/>
    </w:p>
    <w:p w14:paraId="78996807">
      <w:pPr>
        <w:pStyle w:val="6"/>
        <w:widowControl w:val="0"/>
        <w:numPr>
          <w:ilvl w:val="0"/>
          <w:numId w:val="0"/>
        </w:numPr>
        <w:tabs>
          <w:tab w:val="left" w:pos="993"/>
        </w:tabs>
        <w:spacing w:before="0" w:after="0" w:line="480" w:lineRule="exact"/>
        <w:ind w:left="720"/>
      </w:pPr>
      <w:bookmarkStart w:id="7" w:name="_Toc534621750"/>
      <w:r>
        <w:rPr>
          <w:rFonts w:hint="eastAsia"/>
        </w:rPr>
        <w:t>1.2.1调度管理体制</w:t>
      </w:r>
      <w:bookmarkEnd w:id="7"/>
    </w:p>
    <w:p w14:paraId="3038D6EB">
      <w:pPr>
        <w:tabs>
          <w:tab w:val="left" w:pos="720"/>
        </w:tabs>
        <w:ind w:firstLine="480" w:firstLineChars="200"/>
        <w:rPr>
          <w:rFonts w:hint="eastAsia" w:ascii="宋体" w:hAnsi="宋体"/>
          <w:szCs w:val="24"/>
        </w:rPr>
      </w:pPr>
      <w:r>
        <w:rPr>
          <w:rFonts w:ascii="宋体" w:hAnsi="宋体"/>
          <w:szCs w:val="24"/>
        </w:rPr>
        <w:t>根据《中华人民共和国电力法》第二十一条规定，广东电网运行实行统一调度、分级管理的原则。</w:t>
      </w:r>
      <w:r>
        <w:rPr>
          <w:rFonts w:hint="eastAsia" w:ascii="宋体" w:hAnsi="宋体"/>
          <w:szCs w:val="24"/>
        </w:rPr>
        <w:t>任何单位和个人不得非法干预电力调度工作。</w:t>
      </w:r>
    </w:p>
    <w:p w14:paraId="0F99D150">
      <w:pPr>
        <w:pStyle w:val="6"/>
        <w:widowControl w:val="0"/>
        <w:numPr>
          <w:ilvl w:val="0"/>
          <w:numId w:val="0"/>
        </w:numPr>
        <w:tabs>
          <w:tab w:val="left" w:pos="993"/>
        </w:tabs>
        <w:spacing w:before="0" w:after="0" w:line="480" w:lineRule="exact"/>
        <w:ind w:left="720"/>
      </w:pPr>
      <w:bookmarkStart w:id="8" w:name="_Toc534621751"/>
      <w:r>
        <w:rPr>
          <w:rFonts w:hint="eastAsia"/>
        </w:rPr>
        <w:t>1.2.2调度管理机构设置</w:t>
      </w:r>
      <w:bookmarkEnd w:id="8"/>
    </w:p>
    <w:p w14:paraId="1AFF98AC">
      <w:pPr>
        <w:tabs>
          <w:tab w:val="left" w:pos="720"/>
        </w:tabs>
        <w:spacing w:before="120" w:after="120"/>
        <w:ind w:firstLine="480"/>
        <w:rPr>
          <w:rFonts w:hint="eastAsia" w:ascii="宋体" w:hAnsi="宋体"/>
        </w:rPr>
      </w:pPr>
      <w:r>
        <w:rPr>
          <w:rFonts w:ascii="宋体" w:hAnsi="宋体"/>
        </w:rPr>
        <w:t>依据《电网调度管理条例》和《中国南方电网</w:t>
      </w:r>
      <w:r>
        <w:rPr>
          <w:rFonts w:hint="eastAsia" w:ascii="宋体" w:hAnsi="宋体"/>
        </w:rPr>
        <w:t>电力</w:t>
      </w:r>
      <w:r>
        <w:rPr>
          <w:rFonts w:ascii="宋体" w:hAnsi="宋体"/>
        </w:rPr>
        <w:t>调度管理</w:t>
      </w:r>
      <w:r>
        <w:rPr>
          <w:rFonts w:hint="eastAsia" w:ascii="宋体" w:hAnsi="宋体"/>
        </w:rPr>
        <w:t>规程</w:t>
      </w:r>
      <w:r>
        <w:rPr>
          <w:rFonts w:ascii="宋体" w:hAnsi="宋体"/>
        </w:rPr>
        <w:t>》，</w:t>
      </w:r>
      <w:r>
        <w:rPr>
          <w:rFonts w:hint="eastAsia" w:ascii="宋体" w:hAnsi="宋体"/>
        </w:rPr>
        <w:t>南方</w:t>
      </w:r>
      <w:r>
        <w:rPr>
          <w:rFonts w:ascii="宋体" w:hAnsi="宋体"/>
        </w:rPr>
        <w:t>电网调度机构分为</w:t>
      </w:r>
      <w:r>
        <w:rPr>
          <w:rFonts w:hint="eastAsia" w:ascii="宋体" w:hAnsi="宋体"/>
        </w:rPr>
        <w:t>四</w:t>
      </w:r>
      <w:r>
        <w:rPr>
          <w:rFonts w:ascii="宋体" w:hAnsi="宋体"/>
        </w:rPr>
        <w:t>级，依次为：</w:t>
      </w:r>
      <w:r>
        <w:rPr>
          <w:rFonts w:hint="eastAsia" w:ascii="宋体" w:hAnsi="宋体"/>
        </w:rPr>
        <w:t>南方电网电力调度控制中心（简称总调）、省（区）级电力调度控制中心</w:t>
      </w:r>
      <w:r>
        <w:rPr>
          <w:rFonts w:ascii="宋体" w:hAnsi="宋体"/>
        </w:rPr>
        <w:t>（简称中调），地区（市、州）级电力调度</w:t>
      </w:r>
      <w:r>
        <w:rPr>
          <w:rFonts w:hint="eastAsia" w:ascii="宋体" w:hAnsi="宋体"/>
        </w:rPr>
        <w:t>控制中心（简称地调）</w:t>
      </w:r>
      <w:r>
        <w:rPr>
          <w:rFonts w:ascii="宋体" w:hAnsi="宋体"/>
        </w:rPr>
        <w:t>，县级电网调度机构（简称县调）。</w:t>
      </w:r>
    </w:p>
    <w:p w14:paraId="5A90B136">
      <w:pPr>
        <w:tabs>
          <w:tab w:val="left" w:pos="720"/>
        </w:tabs>
        <w:spacing w:before="120" w:after="120"/>
        <w:ind w:firstLine="480"/>
        <w:rPr>
          <w:rFonts w:hint="eastAsia" w:ascii="宋体" w:hAnsi="宋体"/>
        </w:rPr>
      </w:pPr>
      <w:r>
        <w:rPr>
          <w:rFonts w:hint="eastAsia" w:ascii="宋体" w:hAnsi="宋体"/>
        </w:rPr>
        <w:t>各级调度机构以及其它从事电力通信等调度业务的机构，在电力调度业务活动中是上下级关系，下级机构必须服从上级机构的调度。</w:t>
      </w:r>
    </w:p>
    <w:p w14:paraId="7BEB3D54">
      <w:pPr>
        <w:spacing w:before="120" w:after="120"/>
        <w:ind w:firstLine="480"/>
      </w:pPr>
      <w:r>
        <w:rPr>
          <w:rFonts w:hint="eastAsia"/>
        </w:rPr>
        <w:t>地区电网实行统一调度、分级管理，地调是地区电网辖区内最高级别调度指挥机构，在调度业务活动中服从省级电力调度控制中心（中调）的调度，对辖区内的35kV~220kV变电站、县级供电企业、直调电厂、用户专用变电站进行调度管理。</w:t>
      </w:r>
    </w:p>
    <w:p w14:paraId="0A9CC21F">
      <w:pPr>
        <w:spacing w:before="120" w:after="120"/>
        <w:ind w:firstLine="480"/>
      </w:pPr>
      <w:r>
        <w:rPr>
          <w:rFonts w:hint="eastAsia"/>
        </w:rPr>
        <w:t>县调是地调的下级调度机构，负责各自辖区内电网的调度运行指挥、刀闸操作和事故处理，在调度业务活动中服从地调的调度。</w:t>
      </w:r>
    </w:p>
    <w:p w14:paraId="3ACFC374">
      <w:pPr>
        <w:spacing w:before="120" w:after="120"/>
        <w:ind w:firstLine="480"/>
      </w:pPr>
      <w:r>
        <w:rPr>
          <w:rFonts w:hint="eastAsia"/>
        </w:rPr>
        <w:t>地区各县（市、区）供电公司设置调度所，变电所，变电所下辖监控中心与巡维中心；调度负责所辖区域内的调度运行指挥与事故处理；监控中心负责辖区内设备监视与变压器档位调节与断路器操作；巡检中心负责区域内设备巡视、检修及刀闸操作。监控中心、巡检中心均服从调度统一指挥。</w:t>
      </w:r>
    </w:p>
    <w:p w14:paraId="4F8A08B7">
      <w:pPr>
        <w:pStyle w:val="5"/>
        <w:widowControl w:val="0"/>
        <w:numPr>
          <w:ilvl w:val="1"/>
          <w:numId w:val="0"/>
        </w:numPr>
        <w:spacing w:beforeLines="50" w:afterLines="50"/>
        <w:ind w:firstLine="141" w:firstLineChars="50"/>
        <w:rPr>
          <w:szCs w:val="28"/>
        </w:rPr>
      </w:pPr>
      <w:bookmarkStart w:id="9" w:name="_Toc534621752"/>
      <w:r>
        <w:rPr>
          <w:rFonts w:hint="eastAsia"/>
          <w:szCs w:val="28"/>
        </w:rPr>
        <w:t>1.3远动信息组织方式</w:t>
      </w:r>
      <w:bookmarkEnd w:id="9"/>
    </w:p>
    <w:p w14:paraId="7D7D2A92">
      <w:pPr>
        <w:spacing w:before="120" w:after="120"/>
        <w:ind w:firstLine="480"/>
      </w:pPr>
      <w:r>
        <w:rPr>
          <w:rFonts w:hint="eastAsia"/>
        </w:rPr>
        <w:t>根据电网调度分级管理的原则，中调负责采集辖区内电网所有220kV及以上变电站和电厂的远动信息，同时接收地调转发中调的厂站信息；地调负责采集网内所有35kV~500kV变电站、直调电厂及用户变电站的远动信息，同时接收中调转发的厂站信息；各区县调采集辖区内35kV ~110kV变电站的远动信息。</w:t>
      </w:r>
    </w:p>
    <w:p w14:paraId="45D717ED">
      <w:pPr>
        <w:pStyle w:val="713"/>
        <w:spacing w:before="120" w:after="120"/>
        <w:ind w:firstLine="480"/>
        <w:jc w:val="left"/>
        <w:rPr>
          <w:sz w:val="24"/>
        </w:rPr>
      </w:pPr>
      <w:r>
        <w:rPr>
          <w:rFonts w:hint="eastAsia"/>
          <w:sz w:val="24"/>
        </w:rPr>
        <w:t>远动信息组织方式参见下图所示。</w:t>
      </w:r>
      <w:r>
        <w:rPr>
          <w:sz w:val="24"/>
        </w:rPr>
        <w:drawing>
          <wp:inline distT="0" distB="0" distL="0" distR="0">
            <wp:extent cx="5902325" cy="3717290"/>
            <wp:effectExtent l="0" t="0" r="3175" b="0"/>
            <wp:docPr id="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902325" cy="3717290"/>
                    </a:xfrm>
                    <a:prstGeom prst="rect">
                      <a:avLst/>
                    </a:prstGeom>
                    <a:noFill/>
                    <a:ln>
                      <a:noFill/>
                    </a:ln>
                  </pic:spPr>
                </pic:pic>
              </a:graphicData>
            </a:graphic>
          </wp:inline>
        </w:drawing>
      </w:r>
    </w:p>
    <w:p w14:paraId="67BDC6B9">
      <w:pPr>
        <w:pStyle w:val="5"/>
        <w:widowControl w:val="0"/>
        <w:numPr>
          <w:ilvl w:val="1"/>
          <w:numId w:val="0"/>
        </w:numPr>
        <w:spacing w:beforeLines="50" w:afterLines="50"/>
        <w:ind w:firstLine="141" w:firstLineChars="50"/>
        <w:rPr>
          <w:szCs w:val="28"/>
        </w:rPr>
      </w:pPr>
      <w:bookmarkStart w:id="10" w:name="_Toc534621753"/>
      <w:r>
        <w:rPr>
          <w:rFonts w:hint="eastAsia"/>
          <w:szCs w:val="28"/>
        </w:rPr>
        <w:t>1.4 OS2主站建设要求</w:t>
      </w:r>
      <w:bookmarkEnd w:id="10"/>
    </w:p>
    <w:p w14:paraId="767D890F">
      <w:pPr>
        <w:spacing w:before="120" w:after="120"/>
        <w:ind w:firstLine="480"/>
      </w:pPr>
      <w:r>
        <w:rPr>
          <w:rFonts w:hint="eastAsia"/>
        </w:rPr>
        <w:t>根据南方电网二次一体化工作的要求，网公司、省公司、地区供电局分别建设一体化电网运行智能系统（OS2）网级、省级和地级主站。新建或整体改造主站系统遵循“OS2技术规范”和“一体化电网运行智能系统（OS2）标准化设计指南”，</w:t>
      </w:r>
      <w:r>
        <w:t>建设规范</w:t>
      </w:r>
      <w:r>
        <w:rPr>
          <w:rFonts w:hint="eastAsia"/>
        </w:rPr>
        <w:t>详见《南方电网一体化电网运行智能系统地级主站设计指南（2018版）》。根据主站</w:t>
      </w:r>
      <w:r>
        <w:t>设计指南的要求和各模块</w:t>
      </w:r>
      <w:r>
        <w:rPr>
          <w:rFonts w:hint="eastAsia"/>
        </w:rPr>
        <w:t>建设</w:t>
      </w:r>
      <w:r>
        <w:t>的现状，</w:t>
      </w:r>
      <w:r>
        <w:rPr>
          <w:rFonts w:hint="eastAsia"/>
        </w:rPr>
        <w:t>OS2省级主站基础软硬件及OS</w:t>
      </w:r>
      <w:r>
        <w:t>2地级主站</w:t>
      </w:r>
      <w:r>
        <w:rPr>
          <w:rFonts w:hint="eastAsia"/>
        </w:rPr>
        <w:t>采购</w:t>
      </w:r>
      <w:r>
        <w:t>将采用</w:t>
      </w:r>
      <w:r>
        <w:rPr>
          <w:rFonts w:hint="eastAsia"/>
        </w:rPr>
        <w:t>框招</w:t>
      </w:r>
      <w:r>
        <w:t>模式。</w:t>
      </w:r>
    </w:p>
    <w:p w14:paraId="49000D31">
      <w:pPr>
        <w:pStyle w:val="4"/>
        <w:ind w:left="120" w:leftChars="50" w:firstLine="161" w:firstLineChars="50"/>
        <w:rPr>
          <w:sz w:val="32"/>
        </w:rPr>
      </w:pPr>
      <w:bookmarkStart w:id="11" w:name="_Toc534621754"/>
      <w:r>
        <w:rPr>
          <w:rFonts w:hint="eastAsia"/>
          <w:sz w:val="32"/>
        </w:rPr>
        <w:t>2 标的划分</w:t>
      </w:r>
      <w:bookmarkEnd w:id="11"/>
    </w:p>
    <w:p w14:paraId="2206FDAC">
      <w:pPr>
        <w:spacing w:before="120" w:after="120"/>
        <w:ind w:firstLine="480"/>
        <w:rPr>
          <w:rFonts w:hint="eastAsia" w:cs="Arial" w:asciiTheme="minorEastAsia" w:hAnsiTheme="minorEastAsia" w:eastAsiaTheme="minorEastAsia"/>
          <w:szCs w:val="24"/>
          <w:lang w:val="zh-CN"/>
        </w:rPr>
      </w:pPr>
      <w:r>
        <w:rPr>
          <w:rFonts w:hint="eastAsia" w:cs="Arial" w:asciiTheme="minorEastAsia" w:hAnsiTheme="minorEastAsia" w:eastAsiaTheme="minorEastAsia"/>
          <w:szCs w:val="24"/>
          <w:lang w:val="zh-CN"/>
        </w:rPr>
        <w:t>本</w:t>
      </w:r>
      <w:r>
        <w:rPr>
          <w:rFonts w:cs="Arial" w:asciiTheme="minorEastAsia" w:hAnsiTheme="minorEastAsia" w:eastAsiaTheme="minorEastAsia"/>
          <w:szCs w:val="24"/>
          <w:lang w:val="zh-CN"/>
        </w:rPr>
        <w:t>次框架招标</w:t>
      </w:r>
      <w:r>
        <w:rPr>
          <w:rFonts w:hint="eastAsia" w:cs="Arial" w:asciiTheme="minorEastAsia" w:hAnsiTheme="minorEastAsia" w:eastAsiaTheme="minorEastAsia"/>
          <w:szCs w:val="24"/>
          <w:lang w:val="zh-CN"/>
        </w:rPr>
        <w:t>的</w:t>
      </w:r>
      <w:r>
        <w:rPr>
          <w:rFonts w:cs="Arial" w:asciiTheme="minorEastAsia" w:hAnsiTheme="minorEastAsia" w:eastAsiaTheme="minorEastAsia"/>
          <w:szCs w:val="24"/>
          <w:lang w:val="zh-CN"/>
        </w:rPr>
        <w:t>标的</w:t>
      </w:r>
      <w:r>
        <w:rPr>
          <w:rFonts w:hint="eastAsia" w:cs="Arial" w:asciiTheme="minorEastAsia" w:hAnsiTheme="minorEastAsia" w:eastAsiaTheme="minorEastAsia"/>
          <w:szCs w:val="24"/>
          <w:lang w:val="zh-CN"/>
        </w:rPr>
        <w:t>数</w:t>
      </w:r>
      <w:r>
        <w:rPr>
          <w:rFonts w:cs="Arial" w:asciiTheme="minorEastAsia" w:hAnsiTheme="minorEastAsia" w:eastAsiaTheme="minorEastAsia"/>
          <w:szCs w:val="24"/>
          <w:lang w:val="zh-CN"/>
        </w:rPr>
        <w:t>为</w:t>
      </w:r>
      <w:r>
        <w:rPr>
          <w:rFonts w:cs="Arial" w:asciiTheme="minorEastAsia" w:hAnsiTheme="minorEastAsia" w:eastAsiaTheme="minorEastAsia"/>
          <w:szCs w:val="24"/>
        </w:rPr>
        <w:t>1</w:t>
      </w:r>
      <w:r>
        <w:rPr>
          <w:rFonts w:hint="eastAsia" w:cs="Arial" w:asciiTheme="minorEastAsia" w:hAnsiTheme="minorEastAsia" w:eastAsiaTheme="minorEastAsia"/>
          <w:szCs w:val="24"/>
          <w:lang w:val="zh-CN"/>
        </w:rPr>
        <w:t>个：OS2省地级主站基础软硬件。</w:t>
      </w:r>
      <w:r>
        <w:rPr>
          <w:rFonts w:cs="Arial" w:asciiTheme="minorEastAsia" w:hAnsiTheme="minorEastAsia" w:eastAsiaTheme="minorEastAsia"/>
          <w:szCs w:val="24"/>
          <w:lang w:val="zh-CN"/>
        </w:rPr>
        <w:t>配</w:t>
      </w:r>
      <w:r>
        <w:rPr>
          <w:rFonts w:hint="eastAsia" w:cs="Arial" w:asciiTheme="minorEastAsia" w:hAnsiTheme="minorEastAsia" w:eastAsiaTheme="minorEastAsia"/>
          <w:szCs w:val="24"/>
          <w:lang w:val="zh-CN"/>
        </w:rPr>
        <w:t>件名称如</w:t>
      </w:r>
      <w:r>
        <w:rPr>
          <w:rFonts w:cs="Arial" w:asciiTheme="minorEastAsia" w:hAnsiTheme="minorEastAsia" w:eastAsiaTheme="minorEastAsia"/>
          <w:szCs w:val="24"/>
          <w:lang w:val="zh-CN"/>
        </w:rPr>
        <w:t>下表所示。</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
        <w:gridCol w:w="1230"/>
        <w:gridCol w:w="4515"/>
        <w:gridCol w:w="1734"/>
      </w:tblGrid>
      <w:tr w14:paraId="68B9C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044" w:type="dxa"/>
            <w:vAlign w:val="center"/>
          </w:tcPr>
          <w:p w14:paraId="013E8668">
            <w:pPr>
              <w:adjustRightInd w:val="0"/>
              <w:snapToGrid w:val="0"/>
              <w:spacing w:before="0" w:after="0" w:line="240" w:lineRule="auto"/>
              <w:ind w:firstLine="0"/>
              <w:jc w:val="center"/>
              <w:rPr>
                <w:szCs w:val="22"/>
                <w:lang w:val="zh-CN"/>
              </w:rPr>
            </w:pPr>
            <w:r>
              <w:rPr>
                <w:rFonts w:hint="eastAsia" w:ascii="宋体" w:hAnsi="宋体" w:cs="宋体"/>
                <w:b/>
                <w:bCs/>
                <w:kern w:val="0"/>
                <w:sz w:val="21"/>
                <w:szCs w:val="21"/>
              </w:rPr>
              <w:t>标的编码</w:t>
            </w:r>
          </w:p>
        </w:tc>
        <w:tc>
          <w:tcPr>
            <w:tcW w:w="1230" w:type="dxa"/>
            <w:vAlign w:val="center"/>
          </w:tcPr>
          <w:p w14:paraId="56B6EBDE">
            <w:pPr>
              <w:adjustRightInd w:val="0"/>
              <w:snapToGrid w:val="0"/>
              <w:spacing w:before="0" w:after="0" w:line="240" w:lineRule="auto"/>
              <w:ind w:firstLine="0"/>
              <w:jc w:val="center"/>
              <w:rPr>
                <w:szCs w:val="22"/>
                <w:lang w:val="zh-CN"/>
              </w:rPr>
            </w:pPr>
            <w:r>
              <w:rPr>
                <w:rFonts w:hint="eastAsia" w:ascii="宋体" w:hAnsi="宋体" w:cs="宋体"/>
                <w:b/>
                <w:bCs/>
                <w:kern w:val="0"/>
                <w:sz w:val="21"/>
                <w:szCs w:val="21"/>
              </w:rPr>
              <w:t>物资名称</w:t>
            </w:r>
          </w:p>
        </w:tc>
        <w:tc>
          <w:tcPr>
            <w:tcW w:w="4515" w:type="dxa"/>
            <w:vAlign w:val="center"/>
          </w:tcPr>
          <w:p w14:paraId="4283844F">
            <w:pPr>
              <w:adjustRightInd w:val="0"/>
              <w:snapToGrid w:val="0"/>
              <w:spacing w:before="0" w:after="0" w:line="240" w:lineRule="auto"/>
              <w:ind w:firstLine="0"/>
              <w:jc w:val="center"/>
              <w:rPr>
                <w:szCs w:val="22"/>
                <w:lang w:val="zh-CN"/>
              </w:rPr>
            </w:pPr>
            <w:r>
              <w:rPr>
                <w:rFonts w:hint="eastAsia" w:ascii="宋体" w:hAnsi="宋体" w:cs="宋体"/>
                <w:b/>
                <w:bCs/>
                <w:kern w:val="0"/>
                <w:sz w:val="21"/>
                <w:szCs w:val="21"/>
              </w:rPr>
              <w:t>配件名称</w:t>
            </w:r>
          </w:p>
        </w:tc>
        <w:tc>
          <w:tcPr>
            <w:tcW w:w="1734" w:type="dxa"/>
            <w:vAlign w:val="center"/>
          </w:tcPr>
          <w:p w14:paraId="4A7795C7">
            <w:pPr>
              <w:adjustRightInd w:val="0"/>
              <w:snapToGrid w:val="0"/>
              <w:spacing w:before="0" w:after="0" w:line="240" w:lineRule="auto"/>
              <w:ind w:firstLine="0"/>
              <w:jc w:val="center"/>
              <w:rPr>
                <w:szCs w:val="22"/>
                <w:lang w:val="zh-CN"/>
              </w:rPr>
            </w:pPr>
            <w:r>
              <w:rPr>
                <w:rFonts w:hint="eastAsia" w:ascii="宋体" w:hAnsi="宋体" w:cs="宋体"/>
                <w:b/>
                <w:bCs/>
                <w:kern w:val="0"/>
                <w:sz w:val="21"/>
                <w:szCs w:val="21"/>
              </w:rPr>
              <w:t>备注</w:t>
            </w:r>
          </w:p>
        </w:tc>
      </w:tr>
      <w:tr w14:paraId="63EC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4" w:type="dxa"/>
            <w:shd w:val="clear" w:color="000000" w:fill="FFFFFF"/>
            <w:vAlign w:val="center"/>
          </w:tcPr>
          <w:p w14:paraId="3B0522C4">
            <w:pPr>
              <w:adjustRightInd w:val="0"/>
              <w:snapToGrid w:val="0"/>
              <w:spacing w:before="0" w:after="0" w:line="240" w:lineRule="auto"/>
              <w:ind w:firstLine="0"/>
              <w:jc w:val="center"/>
              <w:rPr>
                <w:rFonts w:ascii="Calibri" w:hAnsi="Calibri" w:cs="宋体"/>
                <w:kern w:val="0"/>
                <w:sz w:val="20"/>
                <w:szCs w:val="22"/>
                <w:lang w:val="zh-CN"/>
              </w:rPr>
            </w:pPr>
            <w:r>
              <w:rPr>
                <w:rFonts w:ascii="Calibri" w:hAnsi="Calibri" w:cs="宋体"/>
                <w:kern w:val="0"/>
                <w:sz w:val="20"/>
                <w:szCs w:val="22"/>
              </w:rPr>
              <w:t>1</w:t>
            </w:r>
          </w:p>
        </w:tc>
        <w:tc>
          <w:tcPr>
            <w:tcW w:w="1230" w:type="dxa"/>
            <w:shd w:val="clear" w:color="000000" w:fill="FFFFFF"/>
            <w:vAlign w:val="center"/>
          </w:tcPr>
          <w:p w14:paraId="4F138A5A">
            <w:pPr>
              <w:adjustRightInd w:val="0"/>
              <w:snapToGrid w:val="0"/>
              <w:spacing w:before="0" w:after="0" w:line="240" w:lineRule="auto"/>
              <w:ind w:firstLine="0"/>
              <w:jc w:val="left"/>
              <w:rPr>
                <w:rFonts w:hint="eastAsia" w:ascii="宋体" w:hAnsi="宋体" w:cs="宋体"/>
                <w:kern w:val="0"/>
                <w:sz w:val="20"/>
                <w:szCs w:val="22"/>
                <w:lang w:val="zh-CN"/>
              </w:rPr>
            </w:pPr>
            <w:r>
              <w:rPr>
                <w:rFonts w:hint="eastAsia" w:ascii="宋体" w:hAnsi="宋体" w:cs="宋体"/>
                <w:kern w:val="0"/>
                <w:sz w:val="20"/>
                <w:szCs w:val="22"/>
              </w:rPr>
              <w:t>OS2省地级主站基础软硬件</w:t>
            </w:r>
          </w:p>
        </w:tc>
        <w:tc>
          <w:tcPr>
            <w:tcW w:w="4515" w:type="dxa"/>
          </w:tcPr>
          <w:p w14:paraId="3BAF6DAC">
            <w:pPr>
              <w:adjustRightInd w:val="0"/>
              <w:snapToGrid w:val="0"/>
              <w:spacing w:before="0" w:after="0" w:line="240" w:lineRule="auto"/>
              <w:ind w:firstLine="0"/>
              <w:jc w:val="left"/>
              <w:rPr>
                <w:rFonts w:hint="default" w:eastAsia="宋体"/>
                <w:szCs w:val="22"/>
                <w:lang w:val="en-US" w:eastAsia="zh-CN"/>
              </w:rPr>
            </w:pPr>
            <w:r>
              <w:rPr>
                <w:rFonts w:hint="eastAsia" w:ascii="宋体" w:hAnsi="宋体" w:cs="宋体"/>
                <w:kern w:val="0"/>
                <w:sz w:val="20"/>
                <w:szCs w:val="22"/>
                <w:highlight w:val="yellow"/>
              </w:rPr>
              <w:t>软件：操作系统、关系数据库、时序数据库、容器集群管理软件、中间件、安全加固软件、集群软件、硬件运维软件、分布式存储软件、双因子认证证书系统、虚拟桌面平台系统、多路径软件、数据库同步软件。</w:t>
            </w:r>
            <w:r>
              <w:rPr>
                <w:rFonts w:hint="eastAsia" w:ascii="宋体" w:hAnsi="宋体" w:cs="宋体"/>
                <w:kern w:val="0"/>
                <w:sz w:val="20"/>
                <w:szCs w:val="22"/>
                <w:lang w:val="zh-CN"/>
              </w:rPr>
              <w:br w:type="textWrapping"/>
            </w:r>
            <w:r>
              <w:rPr>
                <w:rFonts w:hint="eastAsia" w:ascii="宋体" w:hAnsi="宋体" w:cs="宋体"/>
                <w:kern w:val="0"/>
                <w:sz w:val="20"/>
                <w:szCs w:val="22"/>
                <w:highlight w:val="yellow"/>
              </w:rPr>
              <w:t>硬件：</w:t>
            </w:r>
            <w:r>
              <w:rPr>
                <w:rFonts w:hint="eastAsia" w:ascii="宋体" w:hAnsi="宋体" w:cs="宋体"/>
                <w:kern w:val="0"/>
                <w:sz w:val="20"/>
                <w:szCs w:val="22"/>
                <w:highlight w:val="yellow"/>
                <w:lang w:val="zh-CN"/>
              </w:rPr>
              <w:t>PC服务器(x86架构，一档1类)、PC服务器(ARM架构，一档1类)、PC服务器(x86架构，一档2类)、PC服务器(ARM架构，一档2类)、PC服务器(x86架构，二档)、PC服务器(ARM架构，二档)、PC服务器(x86架构，三档)、PC服务器(ARM架构，三档)、分布式存储服务器（x86架构）、分布式存储服务器（ARM架构）、虚拟桌面服务器（ARM架构）、虚拟桌面服务器（x86架构）、服务器内存（16GB）、服务器内存(32GB)、服务器SSD硬盘、服务器NVMe</w:t>
            </w:r>
            <w:r>
              <w:rPr>
                <w:rFonts w:hint="eastAsia" w:ascii="宋体" w:hAnsi="宋体" w:cs="宋体"/>
                <w:kern w:val="0"/>
                <w:sz w:val="20"/>
                <w:szCs w:val="22"/>
                <w:highlight w:val="yellow"/>
                <w:lang w:val="en-US" w:eastAsia="zh-CN"/>
              </w:rPr>
              <w:t xml:space="preserve"> </w:t>
            </w:r>
            <w:r>
              <w:rPr>
                <w:rFonts w:hint="eastAsia" w:ascii="宋体" w:hAnsi="宋体" w:cs="宋体"/>
                <w:kern w:val="0"/>
                <w:sz w:val="20"/>
                <w:szCs w:val="22"/>
                <w:highlight w:val="yellow"/>
                <w:lang w:val="zh-CN"/>
              </w:rPr>
              <w:t>SSD硬盘、服务器SAS硬盘、服务器SATA硬盘（三档）、服务器SATA硬盘（二档）、服务器SATA硬盘（一档）、服务器网卡（双端口千兆以太网卡）、服务器网卡（双光纤端口万兆以太光网卡）、服务器网卡（双光纤端口25GE以太光网卡）、</w:t>
            </w:r>
            <w:r>
              <w:rPr>
                <w:rFonts w:hint="eastAsia" w:ascii="宋体" w:hAnsi="宋体" w:cs="宋体"/>
                <w:kern w:val="0"/>
                <w:sz w:val="20"/>
                <w:szCs w:val="22"/>
                <w:highlight w:val="yellow"/>
                <w:lang w:val="en-US" w:eastAsia="zh-CN"/>
              </w:rPr>
              <w:t>HBA卡、</w:t>
            </w:r>
            <w:r>
              <w:rPr>
                <w:rFonts w:hint="eastAsia" w:ascii="宋体" w:hAnsi="宋体" w:cs="宋体"/>
                <w:kern w:val="0"/>
                <w:sz w:val="20"/>
                <w:szCs w:val="22"/>
                <w:highlight w:val="yellow"/>
                <w:lang w:val="zh-CN"/>
              </w:rPr>
              <w:t>工作站（</w:t>
            </w:r>
            <w:r>
              <w:rPr>
                <w:rFonts w:hint="eastAsia" w:ascii="宋体" w:hAnsi="宋体" w:cs="宋体"/>
                <w:kern w:val="0"/>
                <w:sz w:val="20"/>
                <w:szCs w:val="22"/>
                <w:highlight w:val="yellow"/>
                <w:lang w:val="en-US" w:eastAsia="zh-CN"/>
              </w:rPr>
              <w:t>机架式，</w:t>
            </w:r>
            <w:r>
              <w:rPr>
                <w:rFonts w:hint="eastAsia" w:ascii="宋体" w:hAnsi="宋体" w:cs="宋体"/>
                <w:kern w:val="0"/>
                <w:sz w:val="20"/>
                <w:szCs w:val="22"/>
                <w:highlight w:val="yellow"/>
                <w:lang w:val="zh-CN"/>
              </w:rPr>
              <w:t>X86架构，一档）、工作站（</w:t>
            </w:r>
            <w:r>
              <w:rPr>
                <w:rFonts w:hint="eastAsia" w:ascii="宋体" w:hAnsi="宋体" w:cs="宋体"/>
                <w:kern w:val="0"/>
                <w:sz w:val="20"/>
                <w:szCs w:val="22"/>
                <w:highlight w:val="yellow"/>
                <w:lang w:val="en-US" w:eastAsia="zh-CN"/>
              </w:rPr>
              <w:t>机架式，</w:t>
            </w:r>
            <w:r>
              <w:rPr>
                <w:rFonts w:hint="eastAsia" w:ascii="宋体" w:hAnsi="宋体" w:cs="宋体"/>
                <w:kern w:val="0"/>
                <w:sz w:val="20"/>
                <w:szCs w:val="22"/>
                <w:highlight w:val="yellow"/>
                <w:lang w:val="zh-CN"/>
              </w:rPr>
              <w:t>ARM架构，一档）、工作站（</w:t>
            </w:r>
            <w:r>
              <w:rPr>
                <w:rFonts w:hint="eastAsia" w:ascii="宋体" w:hAnsi="宋体" w:cs="宋体"/>
                <w:kern w:val="0"/>
                <w:sz w:val="20"/>
                <w:szCs w:val="22"/>
                <w:highlight w:val="yellow"/>
                <w:lang w:val="en-US" w:eastAsia="zh-CN"/>
              </w:rPr>
              <w:t>机架式，</w:t>
            </w:r>
            <w:r>
              <w:rPr>
                <w:rFonts w:hint="eastAsia" w:ascii="宋体" w:hAnsi="宋体" w:cs="宋体"/>
                <w:kern w:val="0"/>
                <w:sz w:val="20"/>
                <w:szCs w:val="22"/>
                <w:highlight w:val="yellow"/>
                <w:lang w:val="zh-CN"/>
              </w:rPr>
              <w:t>X86架构，二档）、工作站（</w:t>
            </w:r>
            <w:r>
              <w:rPr>
                <w:rFonts w:hint="eastAsia" w:ascii="宋体" w:hAnsi="宋体" w:cs="宋体"/>
                <w:kern w:val="0"/>
                <w:sz w:val="20"/>
                <w:szCs w:val="22"/>
                <w:highlight w:val="yellow"/>
                <w:lang w:val="en-US" w:eastAsia="zh-CN"/>
              </w:rPr>
              <w:t>机架式，</w:t>
            </w:r>
            <w:r>
              <w:rPr>
                <w:rFonts w:hint="eastAsia" w:ascii="宋体" w:hAnsi="宋体" w:cs="宋体"/>
                <w:kern w:val="0"/>
                <w:sz w:val="20"/>
                <w:szCs w:val="22"/>
                <w:highlight w:val="yellow"/>
                <w:lang w:val="zh-CN"/>
              </w:rPr>
              <w:t>ARM架构，二档）、工作站（</w:t>
            </w:r>
            <w:r>
              <w:rPr>
                <w:rFonts w:hint="eastAsia" w:ascii="宋体" w:hAnsi="宋体" w:cs="宋体"/>
                <w:kern w:val="0"/>
                <w:sz w:val="20"/>
                <w:szCs w:val="22"/>
                <w:highlight w:val="yellow"/>
                <w:lang w:val="en-US" w:eastAsia="zh-CN"/>
              </w:rPr>
              <w:t>机架式，</w:t>
            </w:r>
            <w:r>
              <w:rPr>
                <w:rFonts w:hint="eastAsia" w:ascii="宋体" w:hAnsi="宋体" w:cs="宋体"/>
                <w:kern w:val="0"/>
                <w:sz w:val="20"/>
                <w:szCs w:val="22"/>
                <w:highlight w:val="yellow"/>
                <w:lang w:val="zh-CN"/>
              </w:rPr>
              <w:t>X86架构，三档）、工作站（</w:t>
            </w:r>
            <w:r>
              <w:rPr>
                <w:rFonts w:hint="eastAsia" w:ascii="宋体" w:hAnsi="宋体" w:cs="宋体"/>
                <w:kern w:val="0"/>
                <w:sz w:val="20"/>
                <w:szCs w:val="22"/>
                <w:highlight w:val="yellow"/>
                <w:lang w:val="en-US" w:eastAsia="zh-CN"/>
              </w:rPr>
              <w:t>机架式，</w:t>
            </w:r>
            <w:r>
              <w:rPr>
                <w:rFonts w:hint="eastAsia" w:ascii="宋体" w:hAnsi="宋体" w:cs="宋体"/>
                <w:kern w:val="0"/>
                <w:sz w:val="20"/>
                <w:szCs w:val="22"/>
                <w:highlight w:val="yellow"/>
                <w:lang w:val="zh-CN"/>
              </w:rPr>
              <w:t>ARM架构，三档）、工作站（</w:t>
            </w:r>
            <w:r>
              <w:rPr>
                <w:rFonts w:hint="eastAsia" w:ascii="宋体" w:hAnsi="宋体" w:cs="宋体"/>
                <w:kern w:val="0"/>
                <w:sz w:val="20"/>
                <w:szCs w:val="22"/>
                <w:highlight w:val="yellow"/>
                <w:lang w:val="en-US" w:eastAsia="zh-CN"/>
              </w:rPr>
              <w:t>塔式，</w:t>
            </w:r>
            <w:r>
              <w:rPr>
                <w:rFonts w:hint="eastAsia" w:ascii="宋体" w:hAnsi="宋体" w:cs="宋体"/>
                <w:kern w:val="0"/>
                <w:sz w:val="20"/>
                <w:szCs w:val="22"/>
                <w:highlight w:val="yellow"/>
                <w:lang w:val="zh-CN"/>
              </w:rPr>
              <w:t>X86架构，一档）、工作站（</w:t>
            </w:r>
            <w:r>
              <w:rPr>
                <w:rFonts w:hint="eastAsia" w:ascii="宋体" w:hAnsi="宋体" w:cs="宋体"/>
                <w:kern w:val="0"/>
                <w:sz w:val="20"/>
                <w:szCs w:val="22"/>
                <w:highlight w:val="yellow"/>
                <w:lang w:val="en-US" w:eastAsia="zh-CN"/>
              </w:rPr>
              <w:t>塔式，</w:t>
            </w:r>
            <w:r>
              <w:rPr>
                <w:rFonts w:hint="eastAsia" w:ascii="宋体" w:hAnsi="宋体" w:cs="宋体"/>
                <w:kern w:val="0"/>
                <w:sz w:val="20"/>
                <w:szCs w:val="22"/>
                <w:highlight w:val="yellow"/>
                <w:lang w:val="zh-CN"/>
              </w:rPr>
              <w:t>X86架构，</w:t>
            </w:r>
            <w:r>
              <w:rPr>
                <w:rFonts w:hint="eastAsia" w:ascii="宋体" w:hAnsi="宋体" w:cs="宋体"/>
                <w:kern w:val="0"/>
                <w:sz w:val="20"/>
                <w:szCs w:val="22"/>
                <w:highlight w:val="yellow"/>
                <w:lang w:val="en-US" w:eastAsia="zh-CN"/>
              </w:rPr>
              <w:t>二</w:t>
            </w:r>
            <w:r>
              <w:rPr>
                <w:rFonts w:hint="eastAsia" w:ascii="宋体" w:hAnsi="宋体" w:cs="宋体"/>
                <w:kern w:val="0"/>
                <w:sz w:val="20"/>
                <w:szCs w:val="22"/>
                <w:highlight w:val="yellow"/>
                <w:lang w:val="zh-CN"/>
              </w:rPr>
              <w:t>档）、工作站（</w:t>
            </w:r>
            <w:r>
              <w:rPr>
                <w:rFonts w:hint="eastAsia" w:ascii="宋体" w:hAnsi="宋体" w:cs="宋体"/>
                <w:kern w:val="0"/>
                <w:sz w:val="20"/>
                <w:szCs w:val="22"/>
                <w:highlight w:val="yellow"/>
                <w:lang w:val="en-US" w:eastAsia="zh-CN"/>
              </w:rPr>
              <w:t>塔式，</w:t>
            </w:r>
            <w:r>
              <w:rPr>
                <w:rFonts w:hint="eastAsia" w:ascii="宋体" w:hAnsi="宋体" w:cs="宋体"/>
                <w:kern w:val="0"/>
                <w:sz w:val="20"/>
                <w:szCs w:val="22"/>
                <w:highlight w:val="yellow"/>
                <w:lang w:val="zh-CN"/>
              </w:rPr>
              <w:t>X86架构，</w:t>
            </w:r>
            <w:r>
              <w:rPr>
                <w:rFonts w:hint="eastAsia" w:ascii="宋体" w:hAnsi="宋体" w:cs="宋体"/>
                <w:kern w:val="0"/>
                <w:sz w:val="20"/>
                <w:szCs w:val="22"/>
                <w:highlight w:val="yellow"/>
                <w:lang w:val="en-US" w:eastAsia="zh-CN"/>
              </w:rPr>
              <w:t>三</w:t>
            </w:r>
            <w:r>
              <w:rPr>
                <w:rFonts w:hint="eastAsia" w:ascii="宋体" w:hAnsi="宋体" w:cs="宋体"/>
                <w:kern w:val="0"/>
                <w:sz w:val="20"/>
                <w:szCs w:val="22"/>
                <w:highlight w:val="yellow"/>
                <w:lang w:val="zh-CN"/>
              </w:rPr>
              <w:t>档）、虚拟桌面终端（x86架构）、液晶显示器、磁盘阵列（一档）、磁盘阵列（二档）、阵列硬盘机框（一档）、阵列硬盘机框（二档）、阵列硬盘（一档）、阵列硬盘（二档）、24口SAN交换机（一档）、24口SAN交换机（二档）、48口SAN交换机、核心交换机(一档1类)、核心交换机(一档2类)、核心交换机(一档3类)、核心交换机(二档)、25GE交换机、万兆交换机、接入交换机、专线路由器、硬件运维console口接入器、CPOS（1端口，通道化E1）板卡-155M、CPOS（2端口，通道化E1）板卡-155M、E 1接口板卡、48口三层接入交换机、核心交换机100Gbps光模块（多模）、核心交换机40Gbps光模块（多模）、核心交换机10Gbps光模块（单模）、核心交换机10Gbps光模块（多模）、协议转换器（一档）、协议转换器（二档）、负载均衡器、千兆防火墙、万兆防火墙、终端服务器、机柜、屏蔽机柜、短信模块、卫星钟、拓展时钟、备份移动硬盘、网络附件、自动语音告警装置、电话语音卡、摄像头、32A PDU、32A智能PDU、63A PDU、63A 智能PDU、U-KEY、指纹识别仪</w:t>
            </w:r>
          </w:p>
        </w:tc>
        <w:tc>
          <w:tcPr>
            <w:tcW w:w="1734" w:type="dxa"/>
          </w:tcPr>
          <w:p w14:paraId="540F2431">
            <w:pPr>
              <w:pStyle w:val="2"/>
              <w:ind w:firstLine="0"/>
              <w:rPr>
                <w:szCs w:val="22"/>
                <w:lang w:val="zh-CN"/>
              </w:rPr>
            </w:pPr>
            <w:r>
              <w:rPr>
                <w:rFonts w:hint="eastAsia" w:ascii="宋体" w:hAnsi="宋体" w:cs="宋体"/>
                <w:kern w:val="0"/>
                <w:sz w:val="20"/>
                <w:szCs w:val="22"/>
              </w:rPr>
              <w:t>分别对应OS2主站标准化设计的：服务器模块、工作站模块、路由器模块、交换机模块、数据存储模块、数据备份模块、</w:t>
            </w:r>
            <w:r>
              <w:rPr>
                <w:rFonts w:hint="eastAsia" w:ascii="宋体" w:hAnsi="宋体" w:cs="宋体"/>
                <w:color w:val="EE0000"/>
                <w:kern w:val="0"/>
                <w:sz w:val="20"/>
                <w:szCs w:val="22"/>
              </w:rPr>
              <w:t>防火墙模块、</w:t>
            </w:r>
            <w:r>
              <w:rPr>
                <w:rFonts w:hint="eastAsia" w:ascii="宋体" w:hAnsi="宋体" w:cs="宋体"/>
                <w:kern w:val="0"/>
                <w:sz w:val="20"/>
                <w:szCs w:val="22"/>
              </w:rPr>
              <w:t>时钟同步装置、打印机、操作系统模块、关系数据库服务、时序数据库服务等12个功能模块</w:t>
            </w:r>
          </w:p>
        </w:tc>
      </w:tr>
    </w:tbl>
    <w:p w14:paraId="7D7730DF">
      <w:pPr>
        <w:pStyle w:val="2"/>
        <w:rPr>
          <w:lang w:val="zh-CN"/>
        </w:rPr>
      </w:pPr>
    </w:p>
    <w:p w14:paraId="609AD90A">
      <w:pPr>
        <w:spacing w:before="120" w:after="120"/>
        <w:ind w:firstLine="0"/>
      </w:pPr>
      <w:r>
        <w:t>说明：</w:t>
      </w:r>
    </w:p>
    <w:p w14:paraId="2F85428E">
      <w:pPr>
        <w:spacing w:before="120" w:after="120"/>
        <w:ind w:firstLine="0"/>
      </w:pPr>
      <w:r>
        <w:rPr>
          <w:rFonts w:hint="eastAsia"/>
        </w:rPr>
        <w:t>1</w:t>
      </w:r>
      <w:r>
        <w:t xml:space="preserve">. </w:t>
      </w:r>
      <w:r>
        <w:rPr>
          <w:rFonts w:hint="eastAsia"/>
        </w:rPr>
        <w:t>配置清单详细参见“第二</w:t>
      </w:r>
      <w:r>
        <w:t>部分</w:t>
      </w:r>
      <w:r>
        <w:rPr>
          <w:rFonts w:hint="eastAsia"/>
        </w:rPr>
        <w:t>”</w:t>
      </w:r>
      <w:r>
        <w:t xml:space="preserve"> </w:t>
      </w:r>
      <w:r>
        <w:rPr>
          <w:rFonts w:hint="eastAsia"/>
        </w:rPr>
        <w:t>“2.1 OS2主站系统典型系统结构及配置清单”；</w:t>
      </w:r>
    </w:p>
    <w:p w14:paraId="265706F9">
      <w:pPr>
        <w:spacing w:before="120" w:after="120"/>
        <w:ind w:firstLine="0"/>
      </w:pPr>
      <w:r>
        <w:rPr>
          <w:rFonts w:hint="eastAsia"/>
        </w:rPr>
        <w:t>2</w:t>
      </w:r>
      <w:r>
        <w:t xml:space="preserve">. </w:t>
      </w:r>
      <w:r>
        <w:rPr>
          <w:rFonts w:hint="eastAsia"/>
        </w:rPr>
        <w:t>规格</w:t>
      </w:r>
      <w:r>
        <w:t>要求</w:t>
      </w:r>
      <w:r>
        <w:rPr>
          <w:rFonts w:hint="eastAsia"/>
        </w:rPr>
        <w:t>参见“第二</w:t>
      </w:r>
      <w:r>
        <w:t>部分</w:t>
      </w:r>
      <w:r>
        <w:rPr>
          <w:rFonts w:hint="eastAsia"/>
        </w:rPr>
        <w:t>”“2.2 配置要求”；</w:t>
      </w:r>
    </w:p>
    <w:p w14:paraId="73B33993">
      <w:pPr>
        <w:spacing w:before="120" w:after="120"/>
        <w:ind w:firstLine="0"/>
        <w:rPr>
          <w:rFonts w:hint="eastAsia" w:ascii="宋体" w:hAnsi="宋体" w:cs="宋体"/>
          <w:kern w:val="0"/>
          <w:sz w:val="20"/>
        </w:rPr>
      </w:pPr>
      <w:r>
        <w:rPr>
          <w:rFonts w:hint="eastAsia"/>
        </w:rPr>
        <w:t>3</w:t>
      </w:r>
      <w:r>
        <w:t xml:space="preserve">. </w:t>
      </w:r>
      <w:r>
        <w:rPr>
          <w:rFonts w:hint="eastAsia"/>
        </w:rPr>
        <w:t>OS2主站建设所需的前置采集设备（通道板、通道箱）、KVM等设备配件不在本次招标范围内。</w:t>
      </w:r>
    </w:p>
    <w:p w14:paraId="3DB4A24E">
      <w:pPr>
        <w:spacing w:before="120" w:after="120"/>
        <w:ind w:firstLine="480"/>
        <w:sectPr>
          <w:headerReference r:id="rId14" w:type="first"/>
          <w:footerReference r:id="rId17" w:type="first"/>
          <w:footerReference r:id="rId15" w:type="default"/>
          <w:headerReference r:id="rId13" w:type="even"/>
          <w:footerReference r:id="rId16" w:type="even"/>
          <w:pgSz w:w="11907" w:h="16839"/>
          <w:pgMar w:top="1440" w:right="1800" w:bottom="1440" w:left="1800" w:header="720" w:footer="720" w:gutter="0"/>
          <w:pgNumType w:start="1"/>
          <w:cols w:space="720" w:num="1"/>
          <w:docGrid w:linePitch="326" w:charSpace="0"/>
        </w:sectPr>
      </w:pPr>
      <w:r>
        <w:br w:type="page"/>
      </w:r>
    </w:p>
    <w:bookmarkEnd w:id="1"/>
    <w:bookmarkEnd w:id="2"/>
    <w:p w14:paraId="55C3655F">
      <w:bookmarkStart w:id="12" w:name="_Toc466122142"/>
      <w:bookmarkStart w:id="13" w:name="_Toc466122363"/>
    </w:p>
    <w:p w14:paraId="4414E1F3"/>
    <w:p w14:paraId="702D0B74"/>
    <w:p w14:paraId="0B1D5BBA"/>
    <w:p w14:paraId="0054A858">
      <w:pPr>
        <w:pStyle w:val="4"/>
        <w:ind w:left="120" w:leftChars="50"/>
        <w:rPr>
          <w:sz w:val="48"/>
          <w:szCs w:val="48"/>
        </w:rPr>
      </w:pPr>
      <w:bookmarkStart w:id="14" w:name="_Toc534621755"/>
      <w:r>
        <w:rPr>
          <w:rFonts w:hint="eastAsia"/>
          <w:sz w:val="48"/>
          <w:szCs w:val="48"/>
        </w:rPr>
        <w:t>第二部分、 OS2省地级主站基础软硬件框招技术要求</w:t>
      </w:r>
      <w:bookmarkEnd w:id="14"/>
    </w:p>
    <w:p w14:paraId="4ACAED2B"/>
    <w:p w14:paraId="65F9631C"/>
    <w:p w14:paraId="2B5C2541">
      <w:pPr>
        <w:spacing w:before="0" w:after="0" w:line="240" w:lineRule="auto"/>
        <w:ind w:firstLine="0"/>
        <w:jc w:val="left"/>
        <w:rPr>
          <w:b/>
          <w:kern w:val="44"/>
          <w:sz w:val="28"/>
        </w:rPr>
      </w:pPr>
      <w:r>
        <w:br w:type="page"/>
      </w:r>
    </w:p>
    <w:p w14:paraId="090E00AA">
      <w:pPr>
        <w:pStyle w:val="4"/>
        <w:numPr>
          <w:ilvl w:val="0"/>
          <w:numId w:val="1"/>
        </w:numPr>
        <w:ind w:left="0" w:firstLine="0"/>
      </w:pPr>
      <w:bookmarkStart w:id="15" w:name="_Toc534621756"/>
      <w:r>
        <w:rPr>
          <w:rFonts w:hint="eastAsia"/>
        </w:rPr>
        <w:t>总体要求</w:t>
      </w:r>
      <w:bookmarkEnd w:id="12"/>
      <w:bookmarkEnd w:id="15"/>
    </w:p>
    <w:p w14:paraId="793C2942">
      <w:pPr>
        <w:pStyle w:val="5"/>
        <w:numPr>
          <w:ilvl w:val="1"/>
          <w:numId w:val="1"/>
        </w:numPr>
      </w:pPr>
      <w:bookmarkStart w:id="16" w:name="_Toc466122143"/>
      <w:bookmarkStart w:id="17" w:name="_Toc347623974"/>
      <w:bookmarkStart w:id="18" w:name="_Toc534621757"/>
      <w:r>
        <w:rPr>
          <w:rFonts w:hint="eastAsia"/>
        </w:rPr>
        <w:t>系统框架及结构</w:t>
      </w:r>
      <w:bookmarkEnd w:id="16"/>
      <w:bookmarkEnd w:id="17"/>
      <w:bookmarkEnd w:id="18"/>
    </w:p>
    <w:p w14:paraId="1407CF53">
      <w:pPr>
        <w:pStyle w:val="6"/>
      </w:pPr>
      <w:bookmarkStart w:id="19" w:name="_Toc466122144"/>
      <w:bookmarkStart w:id="20" w:name="_Toc534621758"/>
      <w:bookmarkStart w:id="21" w:name="_Toc347623975"/>
      <w:bookmarkStart w:id="22" w:name="_Toc347087174"/>
      <w:r>
        <w:rPr>
          <w:rFonts w:hint="eastAsia"/>
        </w:rPr>
        <w:t>总体架构</w:t>
      </w:r>
      <w:bookmarkEnd w:id="19"/>
      <w:bookmarkEnd w:id="20"/>
      <w:bookmarkEnd w:id="21"/>
      <w:bookmarkEnd w:id="22"/>
    </w:p>
    <w:p w14:paraId="0AA970DB">
      <w:pPr>
        <w:pStyle w:val="211"/>
        <w:adjustRightInd/>
        <w:snapToGrid/>
        <w:spacing w:before="120" w:after="120"/>
      </w:pPr>
      <w:r>
        <w:rPr>
          <w:rFonts w:hint="eastAsia"/>
        </w:rPr>
        <w:t>一体化电网运行智能系统总体框架如下图所示。</w:t>
      </w:r>
    </w:p>
    <w:p w14:paraId="215B42E6">
      <w:pPr>
        <w:pStyle w:val="211"/>
        <w:adjustRightInd/>
        <w:snapToGrid/>
        <w:spacing w:before="120" w:after="120"/>
        <w:ind w:firstLine="0"/>
      </w:pPr>
      <w:r>
        <w:drawing>
          <wp:inline distT="0" distB="0" distL="0" distR="0">
            <wp:extent cx="5867400" cy="3505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867400" cy="3505200"/>
                    </a:xfrm>
                    <a:prstGeom prst="rect">
                      <a:avLst/>
                    </a:prstGeom>
                    <a:noFill/>
                    <a:ln>
                      <a:noFill/>
                    </a:ln>
                  </pic:spPr>
                </pic:pic>
              </a:graphicData>
            </a:graphic>
          </wp:inline>
        </w:drawing>
      </w:r>
    </w:p>
    <w:p w14:paraId="45223404">
      <w:pPr>
        <w:pStyle w:val="211"/>
        <w:adjustRightInd/>
        <w:snapToGrid/>
        <w:spacing w:before="120" w:after="120"/>
      </w:pPr>
      <w:r>
        <w:rPr>
          <w:rFonts w:hint="eastAsia"/>
        </w:rPr>
        <w:t>其主要内容包括：</w:t>
      </w:r>
    </w:p>
    <w:p w14:paraId="4C325BB6">
      <w:pPr>
        <w:pStyle w:val="243"/>
        <w:numPr>
          <w:ilvl w:val="0"/>
          <w:numId w:val="3"/>
        </w:numPr>
        <w:spacing w:before="120"/>
        <w:ind w:left="902" w:firstLine="240"/>
      </w:pPr>
      <w:r>
        <w:rPr>
          <w:rFonts w:hint="eastAsia"/>
        </w:rPr>
        <w:t>一体化电网运行智能系统（OS2）由网、省、地(县、配)各级主站系统和厂站系统共同组成，每级主站/厂站系统划分为基础资源平台（BRP）、运行控制系统（OCS）、运行管理系统（OMS）、电力系统运行驾驶舱（POC）或变电运行驾驶舱（SOC）、镜像测试培训系统（MTT）五大部分。</w:t>
      </w:r>
    </w:p>
    <w:p w14:paraId="42F5424A">
      <w:pPr>
        <w:pStyle w:val="243"/>
        <w:numPr>
          <w:ilvl w:val="0"/>
          <w:numId w:val="3"/>
        </w:numPr>
        <w:spacing w:before="120"/>
        <w:ind w:left="902" w:firstLine="240"/>
      </w:pPr>
      <w:r>
        <w:rPr>
          <w:rFonts w:hint="eastAsia"/>
        </w:rPr>
        <w:t>系统遵循SOA架构体系，基于统一的ICT基础设施，在统一的模型及服务接口标准基础上，构建一体化支撑平台及运行服务总线（OSB</w:t>
      </w:r>
      <w:r>
        <w:t>）</w:t>
      </w:r>
      <w:r>
        <w:rPr>
          <w:rFonts w:hint="eastAsia"/>
        </w:rPr>
        <w:t>。各类业务功能以此为基础开展建设或功能完善。通过支撑平台和横向运行服务总线集成各级主站/厂站内的功能模块/业务子系统，通过纵向运行服务总线实现与上、下级相关业务系统的互联。</w:t>
      </w:r>
    </w:p>
    <w:p w14:paraId="55FCDD4F">
      <w:pPr>
        <w:pStyle w:val="243"/>
        <w:numPr>
          <w:ilvl w:val="0"/>
          <w:numId w:val="3"/>
        </w:numPr>
        <w:spacing w:before="120"/>
        <w:ind w:left="902" w:firstLine="240"/>
      </w:pPr>
      <w:r>
        <w:rPr>
          <w:rFonts w:hint="eastAsia"/>
        </w:rPr>
        <w:t>系统通过OSB标准服务接口实现与其它相关业务系统（如资产管理系统等企业信息化系统）的信息共享、协调控制及流程化管理。</w:t>
      </w:r>
    </w:p>
    <w:p w14:paraId="60C30407">
      <w:pPr>
        <w:pStyle w:val="243"/>
        <w:numPr>
          <w:ilvl w:val="0"/>
          <w:numId w:val="3"/>
        </w:numPr>
        <w:spacing w:before="120"/>
        <w:ind w:left="902" w:firstLine="240"/>
      </w:pPr>
      <w:r>
        <w:rPr>
          <w:rFonts w:hint="eastAsia"/>
        </w:rPr>
        <w:t>网、省、地、厂站各级系统分别建设，县级系统、监</w:t>
      </w:r>
      <w:r>
        <w:t>控</w:t>
      </w:r>
      <w:r>
        <w:rPr>
          <w:rFonts w:hint="eastAsia"/>
        </w:rPr>
        <w:t>/集控/巡维中心系统作为终端与地级主站系统统一建设，其模块体系与地调主站相同（包括驾驶舱部分</w:t>
      </w:r>
      <w:r>
        <w:t>，KPI指标及具体功能根据监视</w:t>
      </w:r>
      <w:r>
        <w:rPr>
          <w:rFonts w:hint="eastAsia"/>
        </w:rPr>
        <w:t>、</w:t>
      </w:r>
      <w:r>
        <w:t>控制</w:t>
      </w:r>
      <w:r>
        <w:rPr>
          <w:rFonts w:hint="eastAsia"/>
        </w:rPr>
        <w:t>、</w:t>
      </w:r>
      <w:r>
        <w:t>巡维不同业务有差异</w:t>
      </w:r>
      <w:r>
        <w:rPr>
          <w:rFonts w:hint="eastAsia"/>
        </w:rPr>
        <w:t>），具体功能由地级主站按需提供。</w:t>
      </w:r>
    </w:p>
    <w:p w14:paraId="347E62B3">
      <w:pPr>
        <w:pStyle w:val="6"/>
      </w:pPr>
      <w:bookmarkStart w:id="23" w:name="_Toc466122145"/>
      <w:bookmarkStart w:id="24" w:name="_Toc534621759"/>
      <w:bookmarkStart w:id="25" w:name="_Toc347623976"/>
      <w:bookmarkStart w:id="26" w:name="_Toc347087175"/>
      <w:r>
        <w:rPr>
          <w:rFonts w:hint="eastAsia"/>
        </w:rPr>
        <w:t>主配网一体化架构</w:t>
      </w:r>
      <w:bookmarkEnd w:id="23"/>
      <w:bookmarkEnd w:id="24"/>
    </w:p>
    <w:p w14:paraId="6F9D44EA">
      <w:pPr>
        <w:pStyle w:val="243"/>
        <w:numPr>
          <w:ilvl w:val="0"/>
          <w:numId w:val="4"/>
        </w:numPr>
        <w:spacing w:before="0"/>
        <w:ind w:firstLine="240"/>
      </w:pPr>
      <w:r>
        <w:rPr>
          <w:rFonts w:hint="eastAsia"/>
        </w:rPr>
        <w:t>地级主站</w:t>
      </w:r>
      <w:r>
        <w:rPr>
          <w:szCs w:val="32"/>
        </w:rPr>
        <w:t>采用统一技术架构和基础平台，并在此基础上</w:t>
      </w:r>
      <w:r>
        <w:rPr>
          <w:rFonts w:hint="eastAsia"/>
          <w:szCs w:val="32"/>
        </w:rPr>
        <w:t>分别</w:t>
      </w:r>
      <w:r>
        <w:rPr>
          <w:szCs w:val="32"/>
        </w:rPr>
        <w:t>构建主网和配网部分的OCS、OMS、</w:t>
      </w:r>
      <w:r>
        <w:rPr>
          <w:rFonts w:hint="eastAsia"/>
          <w:szCs w:val="32"/>
        </w:rPr>
        <w:t>MTT</w:t>
      </w:r>
      <w:r>
        <w:rPr>
          <w:szCs w:val="32"/>
        </w:rPr>
        <w:t>功能模块</w:t>
      </w:r>
      <w:r>
        <w:rPr>
          <w:rFonts w:hint="eastAsia"/>
          <w:szCs w:val="32"/>
        </w:rPr>
        <w:t>，POC作为系统顶层应用宜主配网统一考虑</w:t>
      </w:r>
      <w:r>
        <w:rPr>
          <w:rFonts w:hint="eastAsia" w:ascii="仿宋_GB2312"/>
          <w:szCs w:val="32"/>
        </w:rPr>
        <w:t>。</w:t>
      </w:r>
    </w:p>
    <w:p w14:paraId="7F69C7AE">
      <w:pPr>
        <w:pStyle w:val="243"/>
        <w:numPr>
          <w:ilvl w:val="0"/>
          <w:numId w:val="4"/>
        </w:numPr>
        <w:spacing w:before="0"/>
        <w:ind w:left="902" w:firstLine="240"/>
      </w:pPr>
      <w:r>
        <w:rPr>
          <w:rFonts w:hint="eastAsia"/>
        </w:rPr>
        <w:t>地级主站应建设统一的OSB及数据中心，主配网系统各功能模块基于OSB和数据中心实现信息共享业务流转，并由数据中心实现全景建模及对历史数据的统一管理。</w:t>
      </w:r>
    </w:p>
    <w:p w14:paraId="181E5606">
      <w:pPr>
        <w:pStyle w:val="243"/>
        <w:numPr>
          <w:ilvl w:val="0"/>
          <w:numId w:val="4"/>
        </w:numPr>
        <w:spacing w:before="0"/>
        <w:ind w:left="902" w:firstLine="240"/>
      </w:pPr>
      <w:r>
        <w:rPr>
          <w:rFonts w:hint="eastAsia" w:ascii="仿宋_GB2312"/>
          <w:szCs w:val="32"/>
        </w:rPr>
        <w:t>数据中心的前置采集相关功能模块应在主配网侧分别部署，数据集成、存储和服务应统一考虑。主配网关系数据库宜统一管理和分配，硬件配置原则上主配网功能协同考虑，具备条件的也可以独立配置。</w:t>
      </w:r>
    </w:p>
    <w:p w14:paraId="5ED6E8BD">
      <w:pPr>
        <w:pStyle w:val="6"/>
      </w:pPr>
      <w:bookmarkStart w:id="27" w:name="_Toc534621760"/>
      <w:bookmarkStart w:id="28" w:name="_Toc466122146"/>
      <w:r>
        <w:rPr>
          <w:rFonts w:hint="eastAsia"/>
        </w:rPr>
        <w:t>数据流架构</w:t>
      </w:r>
      <w:bookmarkEnd w:id="27"/>
      <w:bookmarkEnd w:id="28"/>
    </w:p>
    <w:p w14:paraId="75AB7C37">
      <w:pPr>
        <w:spacing w:before="120" w:after="120"/>
        <w:ind w:firstLine="480"/>
      </w:pPr>
      <w:r>
        <w:rPr>
          <w:rFonts w:hint="eastAsia"/>
        </w:rPr>
        <w:t>一体化电网运行智能系统的数据流架构要点如下：</w:t>
      </w:r>
    </w:p>
    <w:p w14:paraId="4EC936DA">
      <w:pPr>
        <w:pStyle w:val="243"/>
        <w:numPr>
          <w:ilvl w:val="0"/>
          <w:numId w:val="5"/>
        </w:numPr>
        <w:tabs>
          <w:tab w:val="left" w:pos="900"/>
        </w:tabs>
        <w:ind w:left="900" w:firstLine="240"/>
      </w:pPr>
      <w:r>
        <w:rPr>
          <w:rFonts w:hint="eastAsia"/>
        </w:rPr>
        <w:t>OS2主站与厂站间利用主站端的前置运行环境和厂站端的智能远动（或智能配电终端）实现模型&amp;画面、稳态数据、动态数据、保护数据、视频数据、计量数据等各类数据的综合采集与交换；</w:t>
      </w:r>
    </w:p>
    <w:p w14:paraId="184A2031">
      <w:pPr>
        <w:pStyle w:val="243"/>
        <w:numPr>
          <w:ilvl w:val="0"/>
          <w:numId w:val="5"/>
        </w:numPr>
        <w:tabs>
          <w:tab w:val="left" w:pos="900"/>
        </w:tabs>
        <w:ind w:left="900" w:firstLine="240"/>
      </w:pPr>
      <w:r>
        <w:rPr>
          <w:rFonts w:hint="eastAsia"/>
        </w:rPr>
        <w:t>OS2主站利用横向业务系统数据交换功能模块通过横向OSB总线实现与OS2外部的其它相关业务系统实现各类数据的综合交换；</w:t>
      </w:r>
    </w:p>
    <w:p w14:paraId="6EC1A6DA">
      <w:pPr>
        <w:pStyle w:val="243"/>
        <w:numPr>
          <w:ilvl w:val="0"/>
          <w:numId w:val="5"/>
        </w:numPr>
        <w:tabs>
          <w:tab w:val="left" w:pos="900"/>
        </w:tabs>
        <w:ind w:left="900" w:firstLine="240"/>
      </w:pPr>
      <w:r>
        <w:rPr>
          <w:rFonts w:hint="eastAsia"/>
        </w:rPr>
        <w:t>各级主站间利用纵向主站间综合数据交换功能模块通过纵向OSB总线实现上下级系统间各类数据的交换；</w:t>
      </w:r>
    </w:p>
    <w:p w14:paraId="162AFC19">
      <w:pPr>
        <w:pStyle w:val="243"/>
        <w:numPr>
          <w:ilvl w:val="0"/>
          <w:numId w:val="5"/>
        </w:numPr>
        <w:tabs>
          <w:tab w:val="left" w:pos="900"/>
        </w:tabs>
        <w:ind w:left="900" w:firstLine="240"/>
      </w:pPr>
      <w:r>
        <w:rPr>
          <w:rFonts w:hint="eastAsia"/>
        </w:rPr>
        <w:t>在主站系统内部：</w:t>
      </w:r>
    </w:p>
    <w:p w14:paraId="0A160B26">
      <w:pPr>
        <w:pStyle w:val="243"/>
        <w:numPr>
          <w:ilvl w:val="1"/>
          <w:numId w:val="6"/>
        </w:numPr>
        <w:ind w:firstLine="240"/>
      </w:pPr>
      <w:r>
        <w:rPr>
          <w:rFonts w:hint="eastAsia"/>
        </w:rPr>
        <w:t>通过前置运行环境获取的厂站（含馈线、配电站）模型及画面在通过模型管理和图形绘制功能模块处理后进入全景数据模型统一管理和发布；</w:t>
      </w:r>
    </w:p>
    <w:p w14:paraId="0AB66FE6">
      <w:pPr>
        <w:pStyle w:val="243"/>
        <w:numPr>
          <w:ilvl w:val="1"/>
          <w:numId w:val="6"/>
        </w:numPr>
        <w:ind w:firstLine="240"/>
      </w:pPr>
      <w:r>
        <w:rPr>
          <w:rFonts w:hint="eastAsia"/>
        </w:rPr>
        <w:t>前置运行环境采集的稳态、动态、保护、视频等各类数据通过高速数据总线直接进入稳态监视、动态监视、保护运行监视、视频与环境监视等各类监视功能模块使用；这些功能模块并将其需对外共享的公共数据通过高速数据总线提供给数据中心的数据集成与服务功能进行统一管理和对外发布；</w:t>
      </w:r>
    </w:p>
    <w:p w14:paraId="13EF7BC9">
      <w:pPr>
        <w:pStyle w:val="243"/>
        <w:numPr>
          <w:ilvl w:val="1"/>
          <w:numId w:val="6"/>
        </w:numPr>
        <w:ind w:firstLine="240"/>
      </w:pPr>
      <w:r>
        <w:rPr>
          <w:rFonts w:hint="eastAsia"/>
        </w:rPr>
        <w:t>对于需要在关系数据库和时序数据库中存储和访问的各类数据，由数据中心的数据库支撑平台类服务统一对外提供；</w:t>
      </w:r>
    </w:p>
    <w:p w14:paraId="656C8E75">
      <w:pPr>
        <w:pStyle w:val="243"/>
        <w:numPr>
          <w:ilvl w:val="1"/>
          <w:numId w:val="6"/>
        </w:numPr>
        <w:ind w:firstLine="240"/>
      </w:pPr>
      <w:r>
        <w:rPr>
          <w:rFonts w:hint="eastAsia"/>
        </w:rPr>
        <w:t>OS2各应用功能间可通过高速数据总线和服务总线进行信息交换及服务功能调用；</w:t>
      </w:r>
    </w:p>
    <w:p w14:paraId="10A20070">
      <w:pPr>
        <w:pStyle w:val="243"/>
        <w:numPr>
          <w:ilvl w:val="1"/>
          <w:numId w:val="6"/>
        </w:numPr>
        <w:ind w:firstLine="240"/>
      </w:pPr>
      <w:r>
        <w:rPr>
          <w:rFonts w:hint="eastAsia"/>
        </w:rPr>
        <w:t>OS2各应用内部可创建实时缓存，存储应用需频繁访问的各类数据。</w:t>
      </w:r>
    </w:p>
    <w:bookmarkEnd w:id="25"/>
    <w:p w14:paraId="31F78BAD">
      <w:pPr>
        <w:pStyle w:val="6"/>
      </w:pPr>
      <w:bookmarkStart w:id="29" w:name="_Toc466122147"/>
      <w:bookmarkStart w:id="30" w:name="_Toc347623977"/>
      <w:bookmarkStart w:id="31" w:name="_Toc534621761"/>
      <w:r>
        <w:rPr>
          <w:rFonts w:hint="eastAsia"/>
        </w:rPr>
        <w:t>功能结构</w:t>
      </w:r>
      <w:bookmarkEnd w:id="29"/>
      <w:bookmarkEnd w:id="30"/>
      <w:r>
        <w:rPr>
          <w:rFonts w:hint="eastAsia"/>
        </w:rPr>
        <w:t>(略)</w:t>
      </w:r>
      <w:bookmarkEnd w:id="26"/>
      <w:bookmarkEnd w:id="31"/>
    </w:p>
    <w:p w14:paraId="00B62E2A">
      <w:r>
        <w:rPr>
          <w:rFonts w:hint="eastAsia"/>
        </w:rPr>
        <w:t>（应用软件功能</w:t>
      </w:r>
      <w:r>
        <w:t>不在本次招标范围</w:t>
      </w:r>
      <w:r>
        <w:rPr>
          <w:rFonts w:hint="eastAsia"/>
        </w:rPr>
        <w:t>）</w:t>
      </w:r>
    </w:p>
    <w:p w14:paraId="6815AB37">
      <w:pPr>
        <w:sectPr>
          <w:headerReference r:id="rId19" w:type="first"/>
          <w:footerReference r:id="rId22" w:type="first"/>
          <w:footerReference r:id="rId20" w:type="default"/>
          <w:headerReference r:id="rId18" w:type="even"/>
          <w:footerReference r:id="rId21" w:type="even"/>
          <w:footnotePr>
            <w:numRestart w:val="eachPage"/>
          </w:footnotePr>
          <w:pgSz w:w="11906" w:h="16838"/>
          <w:pgMar w:top="1134" w:right="1418" w:bottom="1134" w:left="1418" w:header="851" w:footer="992" w:gutter="0"/>
          <w:cols w:space="720" w:num="1"/>
          <w:docGrid w:linePitch="326" w:charSpace="0"/>
        </w:sectPr>
      </w:pPr>
    </w:p>
    <w:p w14:paraId="22565265">
      <w:pPr>
        <w:pStyle w:val="7"/>
      </w:pPr>
      <w:r>
        <w:rPr>
          <w:rFonts w:hint="eastAsia"/>
        </w:rPr>
        <w:t>系统功能布局</w:t>
      </w:r>
    </w:p>
    <w:p w14:paraId="64A3C3D5">
      <w:pPr>
        <w:spacing w:before="120" w:after="120"/>
        <w:ind w:firstLine="480"/>
      </w:pPr>
      <w:r>
        <w:rPr>
          <w:rFonts w:hint="eastAsia"/>
        </w:rPr>
        <w:t>一体化电网运行智能系统的功能总体布局逻辑示意如下图所示。根据二次系统安全防护要求，系统各项功能根据应用需要分别部署在安全区I、安全区II和安全区III。其中安全区I和安全区II主要包括数据采集与交换功能群、应用功能群，安全区I的应用和安全区II的应用通过防火墙逻辑隔离，同时安全区I和安全区II的应用均可通过防火墙的第三通道与I、II区数据中心互联；安全区III主要包括数据采集与交换功能群、应用功能群、WEB服务和移动终端服务，并与III区数据中心互联；I、II区数据中心与III区数据中心分别为安全区I、II和安全区III提供统一配置和管理的存储设备、关系数据库、时序数据库、模型及数据服务等数据基础设施及公共服务，并利用中心内的跨区通信服务通过正反向隔离装置进行数据交换；另外，数据中心数据采集与交换类各模块根据前置采集和数据交换的功能和安全防护要求，分别在安全I、II、III区部署，详见后文各模块“部署要求”。</w:t>
      </w:r>
    </w:p>
    <w:p w14:paraId="799CA5BB">
      <w:pPr>
        <w:spacing w:before="120" w:after="120"/>
        <w:ind w:firstLine="480"/>
      </w:pPr>
    </w:p>
    <w:p w14:paraId="098EF198">
      <w:pPr>
        <w:spacing w:before="120" w:after="120"/>
        <w:ind w:firstLine="0"/>
        <w:jc w:val="center"/>
      </w:pPr>
      <w:r>
        <w:object>
          <v:shape id="_x0000_i1025" o:spt="75" type="#_x0000_t75" style="height:210.35pt;width:454.1pt;" o:ole="t" filled="f" o:preferrelative="t" stroked="f" coordsize="21600,21600">
            <v:path/>
            <v:fill on="f" focussize="0,0"/>
            <v:stroke on="f" joinstyle="miter"/>
            <v:imagedata r:id="rId36" o:title=""/>
            <o:lock v:ext="edit" aspectratio="t"/>
            <w10:wrap type="none"/>
            <w10:anchorlock/>
          </v:shape>
          <o:OLEObject Type="Embed" ProgID="Visio.Drawing.11" ShapeID="_x0000_i1025" DrawAspect="Content" ObjectID="_1468075725" r:id="rId35">
            <o:LockedField>false</o:LockedField>
          </o:OLEObject>
        </w:object>
      </w:r>
    </w:p>
    <w:p w14:paraId="4BD71508">
      <w:pPr>
        <w:pStyle w:val="17"/>
        <w:jc w:val="center"/>
      </w:pPr>
      <w:r>
        <w:rPr>
          <w:rFonts w:hint="eastAsia"/>
        </w:rPr>
        <w:t>图</w:t>
      </w:r>
      <w:r>
        <w:fldChar w:fldCharType="begin"/>
      </w:r>
      <w:r>
        <w:rPr>
          <w:rFonts w:hint="eastAsia"/>
        </w:rPr>
        <w:instrText xml:space="preserve">STYLEREF 1 \s</w:instrText>
      </w:r>
      <w:r>
        <w:fldChar w:fldCharType="separate"/>
      </w:r>
      <w:r>
        <w:t>1</w:t>
      </w:r>
      <w:r>
        <w:fldChar w:fldCharType="end"/>
      </w:r>
      <w:r>
        <w:rPr>
          <w:rFonts w:hint="eastAsia"/>
        </w:rPr>
        <w:t>-</w:t>
      </w:r>
      <w:r>
        <w:fldChar w:fldCharType="begin"/>
      </w:r>
      <w:r>
        <w:rPr>
          <w:rFonts w:hint="eastAsia"/>
        </w:rPr>
        <w:instrText xml:space="preserve">SEQ 图 \* ARABIC \s 1</w:instrText>
      </w:r>
      <w:r>
        <w:fldChar w:fldCharType="separate"/>
      </w:r>
      <w:r>
        <w:t>1</w:t>
      </w:r>
      <w:r>
        <w:fldChar w:fldCharType="end"/>
      </w:r>
      <w:r>
        <w:rPr>
          <w:rFonts w:hint="eastAsia"/>
        </w:rPr>
        <w:t>一体化电网运行智能系统功能布局图</w:t>
      </w:r>
    </w:p>
    <w:p w14:paraId="154EB252">
      <w:pPr>
        <w:pStyle w:val="6"/>
      </w:pPr>
      <w:bookmarkStart w:id="32" w:name="_Toc466122148"/>
      <w:bookmarkStart w:id="33" w:name="_Toc534621762"/>
      <w:bookmarkStart w:id="34" w:name="_Toc347087176"/>
      <w:bookmarkStart w:id="35" w:name="_Toc347623978"/>
      <w:r>
        <w:rPr>
          <w:rFonts w:hint="eastAsia"/>
        </w:rPr>
        <w:t>硬件结构</w:t>
      </w:r>
      <w:bookmarkEnd w:id="32"/>
      <w:bookmarkEnd w:id="33"/>
      <w:bookmarkEnd w:id="34"/>
      <w:bookmarkEnd w:id="35"/>
    </w:p>
    <w:p w14:paraId="071BA22C">
      <w:pPr>
        <w:spacing w:before="120" w:after="120"/>
        <w:ind w:firstLine="480"/>
      </w:pPr>
      <w:r>
        <w:rPr>
          <w:rFonts w:hint="eastAsia"/>
        </w:rPr>
        <w:t>系统的硬件逻辑配置结构示意图如下图所示：</w:t>
      </w:r>
    </w:p>
    <w:p w14:paraId="4A29362B">
      <w:pPr>
        <w:spacing w:before="120" w:after="120"/>
        <w:ind w:firstLine="0"/>
        <w:jc w:val="center"/>
      </w:pPr>
      <w:r>
        <w:object>
          <v:shape id="_x0000_i1026" o:spt="75" type="#_x0000_t75" style="height:223.95pt;width:445.05pt;" o:ole="t" filled="f" o:preferrelative="t" stroked="f" coordsize="21600,21600">
            <v:path/>
            <v:fill on="f" focussize="0,0"/>
            <v:stroke on="f" joinstyle="miter"/>
            <v:imagedata r:id="rId38" o:title=""/>
            <o:lock v:ext="edit" aspectratio="t"/>
            <w10:wrap type="none"/>
            <w10:anchorlock/>
          </v:shape>
          <o:OLEObject Type="Embed" ProgID="Visio.Drawing.11" ShapeID="_x0000_i1026" DrawAspect="Content" ObjectID="_1468075726" r:id="rId37">
            <o:LockedField>false</o:LockedField>
          </o:OLEObject>
        </w:object>
      </w:r>
    </w:p>
    <w:p w14:paraId="2A0FF4B3">
      <w:pPr>
        <w:pStyle w:val="17"/>
        <w:jc w:val="center"/>
      </w:pPr>
      <w:r>
        <w:rPr>
          <w:rFonts w:hint="eastAsia"/>
        </w:rPr>
        <w:t>图</w:t>
      </w:r>
      <w:r>
        <w:fldChar w:fldCharType="begin"/>
      </w:r>
      <w:r>
        <w:rPr>
          <w:rFonts w:hint="eastAsia"/>
        </w:rPr>
        <w:instrText xml:space="preserve">STYLEREF 1 \s</w:instrText>
      </w:r>
      <w:r>
        <w:fldChar w:fldCharType="separate"/>
      </w:r>
      <w:r>
        <w:t>1</w:t>
      </w:r>
      <w:r>
        <w:fldChar w:fldCharType="end"/>
      </w:r>
      <w:r>
        <w:rPr>
          <w:rFonts w:hint="eastAsia"/>
        </w:rPr>
        <w:t>-</w:t>
      </w:r>
      <w:r>
        <w:fldChar w:fldCharType="begin"/>
      </w:r>
      <w:r>
        <w:rPr>
          <w:rFonts w:hint="eastAsia"/>
        </w:rPr>
        <w:instrText xml:space="preserve">SEQ 图 \* ARABIC \s 1</w:instrText>
      </w:r>
      <w:r>
        <w:fldChar w:fldCharType="separate"/>
      </w:r>
      <w:r>
        <w:t>2</w:t>
      </w:r>
      <w:r>
        <w:fldChar w:fldCharType="end"/>
      </w:r>
      <w:r>
        <w:rPr>
          <w:rFonts w:hint="eastAsia"/>
        </w:rPr>
        <w:t>一体化电网运行智能系统主站硬件逻辑配置结构示意图</w:t>
      </w:r>
    </w:p>
    <w:p w14:paraId="412B5224">
      <w:pPr>
        <w:spacing w:before="120" w:after="120"/>
        <w:ind w:firstLine="480"/>
        <w:rPr>
          <w:b/>
          <w:kern w:val="44"/>
          <w:sz w:val="28"/>
        </w:rPr>
      </w:pPr>
      <w:r>
        <w:rPr>
          <w:rFonts w:hint="eastAsia"/>
        </w:rPr>
        <w:t>系统硬件配置按照网段划分为数据采集与交换、数据存储、人机终端和应用四类。数据采集与交换处于内外网边界，主要完成内外部的信息交换；按照数据特性，数据存储和应用相对独立的特点，I、II区进行统一的基于SAN的数据存储，遵循安全防护的要求，III区配置另外一套SAN；根据不同应用的业务特性来配置相应的应用服务器群；人机工作站按照安全区统一配置，实现界面统一及资源共享。</w:t>
      </w:r>
    </w:p>
    <w:p w14:paraId="35FB041F">
      <w:pPr>
        <w:pStyle w:val="4"/>
        <w:numPr>
          <w:ilvl w:val="0"/>
          <w:numId w:val="1"/>
        </w:numPr>
        <w:ind w:left="0" w:firstLine="0"/>
      </w:pPr>
      <w:bookmarkStart w:id="36" w:name="_Toc534621763"/>
      <w:r>
        <w:rPr>
          <w:rFonts w:hint="eastAsia"/>
        </w:rPr>
        <w:t>典型系统</w:t>
      </w:r>
      <w:bookmarkStart w:id="37" w:name="_Toc376088571"/>
      <w:r>
        <w:rPr>
          <w:rFonts w:hint="eastAsia"/>
        </w:rPr>
        <w:t>配置清单和要求</w:t>
      </w:r>
      <w:bookmarkEnd w:id="13"/>
      <w:bookmarkEnd w:id="36"/>
      <w:bookmarkEnd w:id="37"/>
    </w:p>
    <w:p w14:paraId="79D9F951">
      <w:pPr>
        <w:pStyle w:val="5"/>
        <w:numPr>
          <w:ilvl w:val="1"/>
          <w:numId w:val="1"/>
        </w:numPr>
        <w:spacing w:before="156" w:after="156"/>
      </w:pPr>
      <w:bookmarkStart w:id="38" w:name="_Toc534621764"/>
      <w:bookmarkStart w:id="39" w:name="_Toc457308321"/>
      <w:bookmarkStart w:id="40" w:name="_Toc421263912"/>
      <w:bookmarkStart w:id="41" w:name="_Toc466122364"/>
      <w:r>
        <w:rPr>
          <w:rFonts w:hint="eastAsia"/>
        </w:rPr>
        <w:t>OS2主站系统典型系统结构和配置清单</w:t>
      </w:r>
      <w:bookmarkEnd w:id="38"/>
      <w:bookmarkEnd w:id="39"/>
      <w:bookmarkEnd w:id="40"/>
      <w:bookmarkEnd w:id="41"/>
    </w:p>
    <w:p w14:paraId="3A3E9362">
      <w:pPr>
        <w:ind w:firstLine="420"/>
        <w:rPr>
          <w:rFonts w:hint="eastAsia" w:ascii="宋体" w:hAnsi="宋体"/>
        </w:rPr>
      </w:pPr>
      <w:r>
        <w:rPr>
          <w:rFonts w:hint="eastAsia" w:ascii="宋体" w:hAnsi="宋体"/>
        </w:rPr>
        <w:t>典型系统结构和配置清单仅作为理解OS2地级主站建设目标的参考，不作为签订合同的依据。</w:t>
      </w:r>
      <w:bookmarkStart w:id="42" w:name="_Toc421263916"/>
      <w:bookmarkStart w:id="43" w:name="_Toc457308325"/>
      <w:r>
        <w:rPr>
          <w:rFonts w:hint="eastAsia" w:ascii="宋体" w:hAnsi="宋体"/>
        </w:rPr>
        <w:t>清单内容见《OS2省地级主站基础软硬件配件报价表》</w:t>
      </w:r>
    </w:p>
    <w:p w14:paraId="0DA8F34B">
      <w:pPr>
        <w:ind w:firstLine="420"/>
      </w:pPr>
    </w:p>
    <w:p w14:paraId="258A2BCF">
      <w:pPr>
        <w:spacing w:before="163" w:after="163"/>
        <w:ind w:firstLine="480"/>
        <w:sectPr>
          <w:headerReference r:id="rId24" w:type="first"/>
          <w:footerReference r:id="rId26" w:type="first"/>
          <w:headerReference r:id="rId23" w:type="even"/>
          <w:footerReference r:id="rId25" w:type="even"/>
          <w:pgSz w:w="11906" w:h="16838"/>
          <w:pgMar w:top="1418" w:right="1134" w:bottom="1418" w:left="1474" w:header="851" w:footer="964" w:gutter="0"/>
          <w:cols w:space="720" w:num="1"/>
          <w:docGrid w:type="linesAndChars" w:linePitch="326" w:charSpace="0"/>
        </w:sectPr>
      </w:pPr>
    </w:p>
    <w:bookmarkEnd w:id="42"/>
    <w:bookmarkEnd w:id="43"/>
    <w:p w14:paraId="40BF7A71">
      <w:pPr>
        <w:pStyle w:val="5"/>
        <w:numPr>
          <w:ilvl w:val="1"/>
          <w:numId w:val="1"/>
        </w:numPr>
      </w:pPr>
      <w:bookmarkStart w:id="44" w:name="_Toc466122371"/>
      <w:bookmarkStart w:id="45" w:name="_Toc534621765"/>
      <w:bookmarkStart w:id="46" w:name="_Toc457308328"/>
      <w:bookmarkStart w:id="47" w:name="_Toc421263919"/>
      <w:r>
        <w:rPr>
          <w:rFonts w:hint="eastAsia"/>
        </w:rPr>
        <w:t>配置要求</w:t>
      </w:r>
      <w:bookmarkEnd w:id="44"/>
      <w:bookmarkEnd w:id="45"/>
      <w:bookmarkEnd w:id="46"/>
      <w:bookmarkEnd w:id="47"/>
    </w:p>
    <w:p w14:paraId="0CC91D84">
      <w:pPr>
        <w:pStyle w:val="6"/>
      </w:pPr>
      <w:r>
        <w:rPr>
          <w:rFonts w:hint="eastAsia"/>
        </w:rPr>
        <w:t>总体配置要求</w:t>
      </w:r>
    </w:p>
    <w:p w14:paraId="1A7E09FA">
      <w:r>
        <w:rPr>
          <w:rFonts w:hint="eastAsia"/>
        </w:rPr>
        <w:t>★安全可靠：所提供产品的标准不得低于《通用服务器政府采购需求标准（</w:t>
      </w:r>
      <w:r>
        <w:t>2023</w:t>
      </w:r>
      <w:r>
        <w:rPr>
          <w:rFonts w:hint="eastAsia"/>
        </w:rPr>
        <w:t>版）》、《工作站政府采购需求标准（2023年版）》、《操作系统政府采购需求标准（</w:t>
      </w:r>
      <w:r>
        <w:t>2023</w:t>
      </w:r>
      <w:r>
        <w:rPr>
          <w:rFonts w:hint="eastAsia"/>
        </w:rPr>
        <w:t>版）》及《数据库政府采购需求标准（2023年版）》要求，且</w:t>
      </w:r>
      <w:r>
        <w:t>CPU</w:t>
      </w:r>
      <w:r>
        <w:rPr>
          <w:rFonts w:hint="eastAsia"/>
        </w:rPr>
        <w:t>和操作系统的安全可靠等级不得低于Ⅰ级，详见中国信息安全测评中心（</w:t>
      </w:r>
      <w:r>
        <w:t>www.itsec.gov.cn</w:t>
      </w:r>
      <w:r>
        <w:rPr>
          <w:rFonts w:hint="eastAsia"/>
        </w:rPr>
        <w:t>）和国家保密科技测评中心（</w:t>
      </w:r>
      <w:r>
        <w:t>www.nsstec.org.cn</w:t>
      </w:r>
      <w:r>
        <w:rPr>
          <w:rFonts w:hint="eastAsia"/>
        </w:rPr>
        <w:t>）公告结果。</w:t>
      </w:r>
    </w:p>
    <w:p w14:paraId="7051780F">
      <w:pPr>
        <w:pStyle w:val="6"/>
      </w:pPr>
      <w:bookmarkStart w:id="48" w:name="_Toc457308329"/>
      <w:bookmarkStart w:id="49" w:name="_Toc421263920"/>
      <w:bookmarkStart w:id="50" w:name="_Toc534621766"/>
      <w:bookmarkStart w:id="51" w:name="_Toc466122372"/>
      <w:r>
        <w:rPr>
          <w:rFonts w:hint="eastAsia"/>
        </w:rPr>
        <w:t>硬件配置要求</w:t>
      </w:r>
      <w:bookmarkEnd w:id="48"/>
      <w:bookmarkEnd w:id="49"/>
      <w:bookmarkEnd w:id="50"/>
      <w:bookmarkEnd w:id="51"/>
    </w:p>
    <w:p w14:paraId="0077D928">
      <w:pPr>
        <w:pStyle w:val="7"/>
        <w:widowControl/>
        <w:spacing w:line="360" w:lineRule="auto"/>
      </w:pPr>
      <w:r>
        <w:rPr>
          <w:rFonts w:hint="eastAsia"/>
        </w:rPr>
        <w:t>基本要求</w:t>
      </w:r>
    </w:p>
    <w:p w14:paraId="10D270D5">
      <w:pPr>
        <w:pStyle w:val="1058"/>
        <w:numPr>
          <w:ilvl w:val="0"/>
          <w:numId w:val="7"/>
        </w:numPr>
        <w:ind w:firstLineChars="0"/>
        <w:rPr>
          <w:color w:val="EE0000"/>
        </w:rPr>
      </w:pPr>
      <w:r>
        <w:rPr>
          <w:rFonts w:hint="eastAsia"/>
          <w:color w:val="EE0000"/>
        </w:rPr>
        <w:t>台式计算机、便携式计算机、一体式计算机、工作站、通用服务器、操作系统、数据库等7类产品的采购须严格执行7项信息类产品政府采购需求标准，不得低于需求标准要求。CPU芯片、操作系统和数据库等关键部件需通过安全可靠测评，其安全可靠测评等级不得低于I级，详情可从中国信息安全测评中心（www.itsec.gov.cn）和国家保密科技测评中心（www.nsstec.org.cn）网站查询。</w:t>
      </w:r>
    </w:p>
    <w:p w14:paraId="743F4FAD">
      <w:pPr>
        <w:pStyle w:val="1058"/>
        <w:numPr>
          <w:ilvl w:val="0"/>
          <w:numId w:val="7"/>
        </w:numPr>
        <w:ind w:firstLineChars="0"/>
        <w:rPr>
          <w:color w:val="EE0000"/>
        </w:rPr>
      </w:pPr>
      <w:r>
        <w:rPr>
          <w:rFonts w:hint="eastAsia"/>
          <w:color w:val="EE0000"/>
        </w:rPr>
        <w:t>服务器、工作站的CPU、硬盘颗粒、DRAM颗粒、BMC、网卡芯片、电源模块控制芯片、raid卡等配置信息需要同时提供安全可靠芯片证明材料及承诺函（格式详见附录）</w:t>
      </w:r>
    </w:p>
    <w:p w14:paraId="3BE0A34F">
      <w:pPr>
        <w:pStyle w:val="1058"/>
        <w:numPr>
          <w:ilvl w:val="0"/>
          <w:numId w:val="7"/>
        </w:numPr>
        <w:ind w:firstLineChars="0"/>
        <w:rPr>
          <w:color w:val="EE0000"/>
        </w:rPr>
      </w:pPr>
      <w:r>
        <w:rPr>
          <w:rFonts w:hint="eastAsia"/>
          <w:color w:val="EE0000"/>
        </w:rPr>
        <w:t>交换机、路由器的CPU、DRAM颗粒、FLASH、交换转发芯片等配置信息需要同时提供安全可靠芯片证明材料及承诺函（格式详见附录）</w:t>
      </w:r>
    </w:p>
    <w:p w14:paraId="33E5EEE2">
      <w:pPr>
        <w:pStyle w:val="1058"/>
        <w:numPr>
          <w:ilvl w:val="0"/>
          <w:numId w:val="7"/>
        </w:numPr>
        <w:ind w:firstLineChars="0"/>
        <w:rPr>
          <w:color w:val="EE0000"/>
        </w:rPr>
      </w:pPr>
      <w:r>
        <w:rPr>
          <w:rFonts w:hint="eastAsia"/>
          <w:color w:val="EE0000"/>
        </w:rPr>
        <w:t>各类系统及设备在接口、模型、服务、协议方面兼容主流传统设备。同时应满足电力监控系统网络安全等级测试要求。</w:t>
      </w:r>
    </w:p>
    <w:p w14:paraId="170A1E22">
      <w:pPr>
        <w:pStyle w:val="1058"/>
        <w:numPr>
          <w:ilvl w:val="0"/>
          <w:numId w:val="7"/>
        </w:numPr>
        <w:ind w:firstLineChars="0"/>
        <w:rPr>
          <w:color w:val="EE0000"/>
        </w:rPr>
      </w:pPr>
      <w:r>
        <w:rPr>
          <w:rFonts w:hint="eastAsia"/>
          <w:color w:val="EE0000"/>
        </w:rPr>
        <w:t>系统</w:t>
      </w:r>
      <w:r>
        <w:rPr>
          <w:rFonts w:ascii="宋体" w:hAnsi="宋体" w:cs="宋体"/>
          <w:color w:val="EE0000"/>
          <w:szCs w:val="24"/>
        </w:rPr>
        <w:t>应落实密码法要求使用商用密码，且所使用的商用密码服务或产品设备应经商用密码认证机构认证合格</w:t>
      </w:r>
      <w:r>
        <w:rPr>
          <w:rFonts w:hint="eastAsia" w:ascii="宋体" w:hAnsi="宋体" w:cs="宋体"/>
          <w:color w:val="EE0000"/>
          <w:szCs w:val="24"/>
        </w:rPr>
        <w:t>。</w:t>
      </w:r>
    </w:p>
    <w:p w14:paraId="7A32C382">
      <w:pPr>
        <w:pStyle w:val="1058"/>
        <w:numPr>
          <w:ilvl w:val="0"/>
          <w:numId w:val="7"/>
        </w:numPr>
        <w:ind w:firstLineChars="0"/>
        <w:rPr>
          <w:color w:val="EE0000"/>
        </w:rPr>
      </w:pPr>
      <w:r>
        <w:rPr>
          <w:rFonts w:ascii="宋体" w:hAnsi="宋体" w:cs="宋体"/>
          <w:color w:val="EE0000"/>
          <w:szCs w:val="24"/>
        </w:rPr>
        <w:t>台式计算机、便携式计算机、一体式计算机、工作站、通用服务器、操作系统、数据库等7类产品的采购需严格按照7项信息类产品政府采购需求标准进行，相关要求不得低于需求标准要求。</w:t>
      </w:r>
    </w:p>
    <w:p w14:paraId="0883452C">
      <w:pPr>
        <w:pStyle w:val="1058"/>
        <w:numPr>
          <w:ilvl w:val="0"/>
          <w:numId w:val="7"/>
        </w:numPr>
        <w:ind w:firstLineChars="0"/>
        <w:rPr>
          <w:color w:val="EE0000"/>
        </w:rPr>
      </w:pPr>
      <w:r>
        <w:rPr>
          <w:rFonts w:hint="eastAsia"/>
          <w:color w:val="EE0000"/>
        </w:rPr>
        <w:t>各类系统及设备应能提供第三方的检测报告。</w:t>
      </w:r>
    </w:p>
    <w:p w14:paraId="2F014EAD">
      <w:pPr>
        <w:pStyle w:val="7"/>
        <w:widowControl/>
        <w:spacing w:line="360" w:lineRule="auto"/>
      </w:pPr>
      <w:r>
        <w:rPr>
          <w:rFonts w:hint="eastAsia"/>
        </w:rPr>
        <w:t>硬件配置要求</w:t>
      </w:r>
    </w:p>
    <w:p w14:paraId="60340455">
      <w:pPr>
        <w:pStyle w:val="243"/>
        <w:spacing w:before="120"/>
        <w:ind w:firstLine="240"/>
        <w:rPr>
          <w:rFonts w:ascii="Calibri" w:hAnsi="Calibri"/>
        </w:rPr>
      </w:pPr>
      <w:r>
        <w:rPr>
          <w:rFonts w:hint="eastAsia" w:ascii="Calibri" w:hAnsi="Calibri"/>
        </w:rPr>
        <w:t>系统硬件平台的选择应充分考虑目前和今后硬件计算机水平的发展，以及电网发展对电网运行监控系统提出的要求。整个硬件平台的选择应遵循以下的基本原则：</w:t>
      </w:r>
    </w:p>
    <w:p w14:paraId="469727A4">
      <w:pPr>
        <w:pStyle w:val="243"/>
        <w:spacing w:before="120"/>
        <w:ind w:firstLine="480" w:firstLineChars="200"/>
        <w:rPr>
          <w:rFonts w:ascii="Calibri" w:hAnsi="Calibri"/>
        </w:rPr>
      </w:pPr>
      <w:r>
        <w:rPr>
          <w:rFonts w:hint="eastAsia" w:ascii="Calibri" w:hAnsi="Calibri"/>
        </w:rPr>
        <w:t>系统硬件平台的选择应充分考虑生命周期内硬件技术水平发展及电网监控规模需要。整个硬件平台的选择应遵循以下的基本原则：</w:t>
      </w:r>
    </w:p>
    <w:p w14:paraId="2FD89499">
      <w:pPr>
        <w:pStyle w:val="243"/>
        <w:spacing w:before="120"/>
        <w:ind w:firstLine="480" w:firstLineChars="200"/>
        <w:rPr>
          <w:color w:val="EE0000"/>
        </w:rPr>
      </w:pPr>
      <w:r>
        <w:rPr>
          <w:rFonts w:hint="eastAsia"/>
          <w:color w:val="EE0000"/>
        </w:rPr>
        <w:t>1) 硬件配置必须符合系统体系结构原理，满足系统性能和功能要求，并且符合实时性、安全性和可靠性原则；</w:t>
      </w:r>
    </w:p>
    <w:p w14:paraId="22C97924">
      <w:pPr>
        <w:pStyle w:val="243"/>
        <w:spacing w:before="120"/>
        <w:ind w:firstLine="480" w:firstLineChars="200"/>
        <w:rPr>
          <w:rFonts w:ascii="Calibri" w:hAnsi="Calibri"/>
          <w:color w:val="EE0000"/>
        </w:rPr>
      </w:pPr>
      <w:r>
        <w:rPr>
          <w:rFonts w:hint="eastAsia"/>
          <w:color w:val="EE0000"/>
        </w:rPr>
        <w:t>2) 要选择标准化、开放性能好的设备。计算机和网络设备应满足不断优化、平滑升级以及投资保护的需要；</w:t>
      </w:r>
    </w:p>
    <w:p w14:paraId="26391F77">
      <w:pPr>
        <w:ind w:firstLine="420"/>
        <w:rPr>
          <w:color w:val="EE0000"/>
        </w:rPr>
      </w:pPr>
      <w:r>
        <w:rPr>
          <w:rFonts w:hint="eastAsia"/>
          <w:color w:val="EE0000"/>
        </w:rPr>
        <w:t>3) 应选用起点高、信誉好的厂家生产的成熟的、高质量的、先进可靠的设备，计算机、存储设备及网络设备能支持异构网络的互联，支持双网或多网运行，支持主流商用数据库；</w:t>
      </w:r>
    </w:p>
    <w:p w14:paraId="7878D359">
      <w:pPr>
        <w:ind w:firstLine="420"/>
        <w:rPr>
          <w:color w:val="EE0000"/>
        </w:rPr>
      </w:pPr>
      <w:r>
        <w:rPr>
          <w:rFonts w:hint="eastAsia"/>
          <w:color w:val="EE0000"/>
        </w:rPr>
        <w:t>4) 应具有较好的可扩性、可维护性和兼容性。系统的硬件设备要选择通用标准且互换性高的产品，具有良好的开放性以及低维护成本；</w:t>
      </w:r>
    </w:p>
    <w:p w14:paraId="4E50E33C">
      <w:pPr>
        <w:ind w:firstLine="420"/>
        <w:rPr>
          <w:color w:val="EE0000"/>
        </w:rPr>
      </w:pPr>
      <w:r>
        <w:rPr>
          <w:rFonts w:hint="eastAsia"/>
          <w:color w:val="EE0000"/>
        </w:rPr>
        <w:t>5) 具有一定的先进性、超前性，但必须根据实用性原则进行优化配置，使系统达到较高的性能价格比。</w:t>
      </w:r>
    </w:p>
    <w:p w14:paraId="102A4FD7">
      <w:pPr>
        <w:rPr>
          <w:color w:val="EE0000"/>
        </w:rPr>
      </w:pPr>
      <w:r>
        <w:rPr>
          <w:rFonts w:hint="eastAsia"/>
          <w:color w:val="EE0000"/>
        </w:rPr>
        <w:t>6) 根据设计水平年系统的功能、性能和容量要求并考虑投运后系统生命周期发展的需要，确定计算机系统的规模并留有一定裕度，系统容量应按照设计的远景年要求配置。</w:t>
      </w:r>
      <w:r>
        <w:rPr>
          <w:rFonts w:hint="eastAsia" w:ascii="Calibri" w:hAnsi="Calibri"/>
          <w:color w:val="EE0000"/>
        </w:rPr>
        <w:t>在《生产项目准入及预算标准》规定的设备生命周期内无需进行大规模升级改造</w:t>
      </w:r>
      <w:r>
        <w:rPr>
          <w:rFonts w:hint="eastAsia"/>
          <w:color w:val="EE0000"/>
        </w:rPr>
        <w:t>；</w:t>
      </w:r>
    </w:p>
    <w:p w14:paraId="424592D1">
      <w:pPr>
        <w:rPr>
          <w:color w:val="EE0000"/>
        </w:rPr>
      </w:pPr>
      <w:r>
        <w:rPr>
          <w:rFonts w:hint="eastAsia"/>
          <w:color w:val="EE0000"/>
        </w:rPr>
        <w:t>7) 关键设备采用冗余配置方式，设备故障不能相互影响；</w:t>
      </w:r>
    </w:p>
    <w:p w14:paraId="021E401C">
      <w:pPr>
        <w:rPr>
          <w:color w:val="EE0000"/>
        </w:rPr>
      </w:pPr>
      <w:r>
        <w:rPr>
          <w:rFonts w:hint="eastAsia"/>
          <w:color w:val="EE0000"/>
        </w:rPr>
        <w:t>8) 所有关键设备（包括服务器、分布式存储、路由器</w:t>
      </w:r>
      <w:r>
        <w:rPr>
          <w:color w:val="EE0000"/>
        </w:rPr>
        <w:t>、</w:t>
      </w:r>
      <w:r>
        <w:rPr>
          <w:rFonts w:hint="eastAsia"/>
          <w:color w:val="EE0000"/>
        </w:rPr>
        <w:t>前置交换机、主干交换机、SAN交换机、防火墙、硬件隔离装置等）至少配置两路独立供电的电源，任意一路电源故障设备功能应不受影响；</w:t>
      </w:r>
    </w:p>
    <w:p w14:paraId="5D8E2007">
      <w:pPr>
        <w:rPr>
          <w:color w:val="EE0000"/>
        </w:rPr>
      </w:pPr>
      <w:r>
        <w:rPr>
          <w:rFonts w:hint="eastAsia"/>
          <w:color w:val="EE0000"/>
        </w:rPr>
        <w:t>9) 服务器采用PC服务器，操作系统应采用安全可靠的Linux操作系统。</w:t>
      </w:r>
    </w:p>
    <w:p w14:paraId="306F8CAE">
      <w:pPr>
        <w:pStyle w:val="2"/>
        <w:rPr>
          <w:color w:val="EE0000"/>
        </w:rPr>
      </w:pPr>
      <w:r>
        <w:rPr>
          <w:rFonts w:hint="eastAsia"/>
          <w:color w:val="EE0000"/>
        </w:rPr>
        <w:t xml:space="preserve">10) </w:t>
      </w:r>
      <w:r>
        <w:rPr>
          <w:rFonts w:hint="eastAsia" w:ascii="Calibri" w:hAnsi="Calibri"/>
          <w:color w:val="EE0000"/>
        </w:rPr>
        <w:t>招标方可根据技术发展及行业采购经验，在项目招标中参照本技术规范书优化设备配置要求</w:t>
      </w:r>
    </w:p>
    <w:p w14:paraId="4274BB6A">
      <w:pPr>
        <w:pStyle w:val="7"/>
        <w:widowControl/>
        <w:spacing w:line="360" w:lineRule="auto"/>
      </w:pPr>
      <w:r>
        <w:rPr>
          <w:rFonts w:hint="eastAsia"/>
        </w:rPr>
        <w:t>服务器配置要求</w:t>
      </w:r>
    </w:p>
    <w:p w14:paraId="1346A0EF">
      <w:pPr>
        <w:spacing w:before="120" w:after="120"/>
        <w:ind w:firstLine="480"/>
      </w:pPr>
      <w:r>
        <w:rPr>
          <w:rFonts w:hint="eastAsia"/>
        </w:rPr>
        <w:t>最低配置要求如下表所示，</w:t>
      </w:r>
      <w:r>
        <w:t>产品应满足或不低于该配置要求</w:t>
      </w:r>
      <w:r>
        <w:rPr>
          <w:rFonts w:hint="eastAsia"/>
        </w:rPr>
        <w:t>：</w:t>
      </w:r>
    </w:p>
    <w:tbl>
      <w:tblPr>
        <w:tblStyle w:val="46"/>
        <w:tblW w:w="8523"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34"/>
        <w:gridCol w:w="1438"/>
        <w:gridCol w:w="6251"/>
      </w:tblGrid>
      <w:tr w14:paraId="2242111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blHeader/>
        </w:trPr>
        <w:tc>
          <w:tcPr>
            <w:tcW w:w="834" w:type="dxa"/>
            <w:shd w:val="clear" w:color="000000" w:fill="FFFFFF"/>
            <w:vAlign w:val="center"/>
          </w:tcPr>
          <w:p w14:paraId="1798B8FC">
            <w:pPr>
              <w:spacing w:before="120" w:after="120" w:line="240" w:lineRule="auto"/>
              <w:ind w:firstLine="0"/>
              <w:jc w:val="center"/>
              <w:rPr>
                <w:rFonts w:hint="eastAsia" w:ascii="宋体" w:hAnsi="宋体" w:cs="宋体"/>
                <w:b/>
                <w:bCs/>
                <w:kern w:val="0"/>
                <w:sz w:val="21"/>
                <w:szCs w:val="21"/>
              </w:rPr>
            </w:pPr>
            <w:r>
              <w:rPr>
                <w:rFonts w:hint="eastAsia" w:ascii="宋体" w:hAnsi="宋体" w:cs="宋体"/>
                <w:b/>
                <w:bCs/>
                <w:kern w:val="0"/>
                <w:sz w:val="21"/>
                <w:szCs w:val="21"/>
              </w:rPr>
              <w:t>序号</w:t>
            </w:r>
          </w:p>
        </w:tc>
        <w:tc>
          <w:tcPr>
            <w:tcW w:w="1438" w:type="dxa"/>
            <w:shd w:val="clear" w:color="000000" w:fill="FFFFFF"/>
            <w:vAlign w:val="center"/>
          </w:tcPr>
          <w:p w14:paraId="58FD4BF3">
            <w:pPr>
              <w:spacing w:before="0" w:after="0" w:line="240" w:lineRule="auto"/>
              <w:ind w:firstLine="0"/>
              <w:jc w:val="center"/>
              <w:rPr>
                <w:rFonts w:hint="eastAsia" w:ascii="宋体" w:hAnsi="宋体" w:cs="宋体"/>
                <w:b/>
                <w:bCs/>
                <w:kern w:val="0"/>
                <w:sz w:val="21"/>
                <w:szCs w:val="21"/>
              </w:rPr>
            </w:pPr>
            <w:r>
              <w:rPr>
                <w:rFonts w:hint="eastAsia" w:ascii="宋体" w:hAnsi="宋体" w:cs="宋体"/>
                <w:b/>
                <w:bCs/>
                <w:kern w:val="0"/>
                <w:sz w:val="21"/>
                <w:szCs w:val="21"/>
              </w:rPr>
              <w:t>设备名称</w:t>
            </w:r>
          </w:p>
        </w:tc>
        <w:tc>
          <w:tcPr>
            <w:tcW w:w="6251" w:type="dxa"/>
            <w:shd w:val="clear" w:color="000000" w:fill="FFFFFF"/>
            <w:vAlign w:val="center"/>
          </w:tcPr>
          <w:p w14:paraId="08579028">
            <w:pPr>
              <w:spacing w:before="0" w:after="0" w:line="240" w:lineRule="auto"/>
              <w:ind w:firstLine="0"/>
              <w:jc w:val="center"/>
              <w:rPr>
                <w:rFonts w:hint="eastAsia" w:ascii="宋体" w:hAnsi="宋体" w:cs="宋体"/>
                <w:b/>
                <w:bCs/>
                <w:kern w:val="0"/>
                <w:sz w:val="21"/>
                <w:szCs w:val="21"/>
              </w:rPr>
            </w:pPr>
            <w:r>
              <w:rPr>
                <w:rFonts w:hint="eastAsia" w:ascii="宋体" w:hAnsi="宋体" w:cs="宋体"/>
                <w:b/>
                <w:bCs/>
                <w:kern w:val="0"/>
                <w:sz w:val="21"/>
                <w:szCs w:val="21"/>
              </w:rPr>
              <w:t>技术要求</w:t>
            </w:r>
          </w:p>
        </w:tc>
      </w:tr>
      <w:tr w14:paraId="6C3BB97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5B959E67">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w:t>
            </w:r>
          </w:p>
        </w:tc>
        <w:tc>
          <w:tcPr>
            <w:tcW w:w="1438" w:type="dxa"/>
            <w:shd w:val="clear" w:color="000000" w:fill="FFFFFF"/>
            <w:vAlign w:val="center"/>
          </w:tcPr>
          <w:p w14:paraId="15EABE78">
            <w:pPr>
              <w:spacing w:before="0" w:after="0" w:line="240" w:lineRule="auto"/>
              <w:ind w:firstLine="0"/>
              <w:jc w:val="left"/>
              <w:rPr>
                <w:rFonts w:hint="eastAsia" w:ascii="宋体" w:hAnsi="宋体" w:cs="宋体"/>
                <w:sz w:val="18"/>
                <w:szCs w:val="18"/>
                <w:highlight w:val="yellow"/>
                <w:lang w:bidi="ar"/>
              </w:rPr>
            </w:pPr>
            <w:r>
              <w:rPr>
                <w:rFonts w:ascii="宋体" w:hAnsi="宋体" w:cs="宋体"/>
                <w:sz w:val="18"/>
                <w:szCs w:val="18"/>
                <w:highlight w:val="yellow"/>
                <w:lang w:bidi="ar"/>
              </w:rPr>
              <w:t>PC服务器(</w:t>
            </w:r>
            <w:r>
              <w:rPr>
                <w:rFonts w:hint="eastAsia"/>
                <w:kern w:val="0"/>
                <w:sz w:val="18"/>
                <w:szCs w:val="18"/>
                <w:highlight w:val="yellow"/>
              </w:rPr>
              <w:t>x86架构，</w:t>
            </w:r>
            <w:r>
              <w:rPr>
                <w:rFonts w:hint="eastAsia" w:ascii="宋体" w:hAnsi="宋体" w:cs="宋体"/>
                <w:sz w:val="18"/>
                <w:szCs w:val="18"/>
                <w:highlight w:val="yellow"/>
                <w:lang w:bidi="ar"/>
              </w:rPr>
              <w:t>一档</w:t>
            </w:r>
            <w:r>
              <w:rPr>
                <w:rFonts w:ascii="宋体" w:hAnsi="宋体" w:cs="宋体"/>
                <w:sz w:val="18"/>
                <w:szCs w:val="18"/>
                <w:highlight w:val="yellow"/>
                <w:lang w:bidi="ar"/>
              </w:rPr>
              <w:t>1类)</w:t>
            </w:r>
          </w:p>
        </w:tc>
        <w:tc>
          <w:tcPr>
            <w:tcW w:w="6251" w:type="dxa"/>
            <w:shd w:val="clear" w:color="000000" w:fill="FFFFFF"/>
            <w:vAlign w:val="center"/>
          </w:tcPr>
          <w:p w14:paraId="6999CE65">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★安全可靠：</w:t>
            </w:r>
          </w:p>
          <w:p w14:paraId="4C8FD980">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4597D10D">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2）CPU、硬盘颗粒、DRAM颗粒、BMC、网卡芯片、电源模块控制芯片、raid卡等配置信息需要同时提供安全可靠芯片证明材料及承诺函（格式见附件四）。</w:t>
            </w:r>
          </w:p>
        </w:tc>
      </w:tr>
      <w:tr w14:paraId="4F30315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4A47BB1D">
            <w:pPr>
              <w:spacing w:before="0" w:after="0" w:line="240" w:lineRule="auto"/>
              <w:ind w:firstLine="0"/>
              <w:jc w:val="center"/>
              <w:rPr>
                <w:rFonts w:hint="eastAsia" w:ascii="宋体" w:hAnsi="宋体" w:cs="宋体"/>
                <w:b/>
                <w:bCs/>
                <w:kern w:val="0"/>
                <w:sz w:val="21"/>
                <w:szCs w:val="21"/>
              </w:rPr>
            </w:pPr>
            <w:r>
              <w:rPr>
                <w:rFonts w:ascii="宋体" w:hAnsi="宋体" w:cs="宋体"/>
                <w:kern w:val="0"/>
                <w:sz w:val="22"/>
                <w:szCs w:val="22"/>
              </w:rPr>
              <w:t>1</w:t>
            </w:r>
          </w:p>
        </w:tc>
        <w:tc>
          <w:tcPr>
            <w:tcW w:w="1438" w:type="dxa"/>
            <w:shd w:val="clear" w:color="000000" w:fill="FFFFFF"/>
            <w:vAlign w:val="center"/>
          </w:tcPr>
          <w:p w14:paraId="3CE2251F">
            <w:pPr>
              <w:spacing w:before="0" w:after="0" w:line="240" w:lineRule="auto"/>
              <w:ind w:firstLine="0"/>
              <w:jc w:val="left"/>
              <w:rPr>
                <w:rFonts w:hint="eastAsia" w:ascii="宋体" w:hAnsi="宋体" w:cs="宋体"/>
                <w:color w:val="EE0000"/>
                <w:sz w:val="18"/>
                <w:szCs w:val="18"/>
                <w:highlight w:val="yellow"/>
                <w:lang w:bidi="ar"/>
              </w:rPr>
            </w:pPr>
            <w:r>
              <w:rPr>
                <w:rFonts w:ascii="宋体" w:hAnsi="宋体" w:cs="宋体"/>
                <w:color w:val="FF0000"/>
                <w:kern w:val="0"/>
                <w:sz w:val="18"/>
                <w:szCs w:val="18"/>
                <w:highlight w:val="yellow"/>
              </w:rPr>
              <w:t>PC服务器(</w:t>
            </w:r>
            <w:r>
              <w:rPr>
                <w:rFonts w:hint="eastAsia"/>
                <w:color w:val="FF0000"/>
                <w:kern w:val="0"/>
                <w:sz w:val="18"/>
                <w:szCs w:val="18"/>
                <w:highlight w:val="yellow"/>
              </w:rPr>
              <w:t>x86架构，</w:t>
            </w:r>
            <w:r>
              <w:rPr>
                <w:rFonts w:hint="eastAsia" w:ascii="宋体" w:hAnsi="宋体" w:cs="宋体"/>
                <w:color w:val="FF0000"/>
                <w:kern w:val="0"/>
                <w:sz w:val="18"/>
                <w:szCs w:val="18"/>
                <w:highlight w:val="yellow"/>
              </w:rPr>
              <w:t>一档</w:t>
            </w:r>
            <w:r>
              <w:rPr>
                <w:rFonts w:ascii="宋体" w:hAnsi="宋体" w:cs="宋体"/>
                <w:color w:val="FF0000"/>
                <w:kern w:val="0"/>
                <w:sz w:val="18"/>
                <w:szCs w:val="18"/>
                <w:highlight w:val="yellow"/>
              </w:rPr>
              <w:t>1类)</w:t>
            </w:r>
          </w:p>
        </w:tc>
        <w:tc>
          <w:tcPr>
            <w:tcW w:w="6251" w:type="dxa"/>
            <w:shd w:val="clear" w:color="000000" w:fill="FFFFFF"/>
            <w:vAlign w:val="center"/>
          </w:tcPr>
          <w:p w14:paraId="4AB6EB15">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原厂商产品（非OEM），性能不低于以下要求：</w:t>
            </w:r>
          </w:p>
          <w:p w14:paraId="66654FC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高度≤</w:t>
            </w:r>
            <w:r>
              <w:rPr>
                <w:rFonts w:hint="eastAsia"/>
                <w:color w:val="000000" w:themeColor="text1"/>
                <w:kern w:val="0"/>
                <w:sz w:val="18"/>
                <w:szCs w:val="18"/>
                <w:highlight w:val="yellow"/>
                <w14:textFill>
                  <w14:solidFill>
                    <w14:schemeClr w14:val="tx1"/>
                  </w14:solidFill>
                </w14:textFill>
              </w:rPr>
              <w:t>2</w:t>
            </w:r>
            <w:r>
              <w:rPr>
                <w:color w:val="000000" w:themeColor="text1"/>
                <w:kern w:val="0"/>
                <w:sz w:val="18"/>
                <w:szCs w:val="18"/>
                <w:highlight w:val="yellow"/>
                <w14:textFill>
                  <w14:solidFill>
                    <w14:schemeClr w14:val="tx1"/>
                  </w14:solidFill>
                </w14:textFill>
              </w:rPr>
              <w:t>U，标准机柜安装，含机架安装套件，带安装导轨等；</w:t>
            </w:r>
          </w:p>
          <w:p w14:paraId="57B28C9D">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CPU：≥2颗服务器处理器，</w:t>
            </w:r>
            <w:r>
              <w:rPr>
                <w:rFonts w:hint="eastAsia"/>
                <w:color w:val="000000" w:themeColor="text1"/>
                <w:kern w:val="0"/>
                <w:sz w:val="18"/>
                <w:szCs w:val="18"/>
                <w:highlight w:val="yellow"/>
                <w14:textFill>
                  <w14:solidFill>
                    <w14:schemeClr w14:val="tx1"/>
                  </w14:solidFill>
                </w14:textFill>
              </w:rPr>
              <w:t>x86架构，</w:t>
            </w:r>
            <w:r>
              <w:rPr>
                <w:color w:val="000000" w:themeColor="text1"/>
                <w:kern w:val="0"/>
                <w:sz w:val="18"/>
                <w:szCs w:val="18"/>
                <w:highlight w:val="yellow"/>
                <w14:textFill>
                  <w14:solidFill>
                    <w14:schemeClr w14:val="tx1"/>
                  </w14:solidFill>
                </w14:textFill>
              </w:rPr>
              <w:t>总核数≥</w:t>
            </w:r>
            <w:r>
              <w:rPr>
                <w:rFonts w:hint="eastAsia"/>
                <w:color w:val="000000" w:themeColor="text1"/>
                <w:kern w:val="0"/>
                <w:sz w:val="18"/>
                <w:szCs w:val="18"/>
                <w:highlight w:val="yellow"/>
                <w14:textFill>
                  <w14:solidFill>
                    <w14:schemeClr w14:val="tx1"/>
                  </w14:solidFill>
                </w14:textFill>
              </w:rPr>
              <w:t>64</w:t>
            </w:r>
            <w:r>
              <w:rPr>
                <w:color w:val="000000" w:themeColor="text1"/>
                <w:kern w:val="0"/>
                <w:sz w:val="18"/>
                <w:szCs w:val="18"/>
                <w:highlight w:val="yellow"/>
                <w14:textFill>
                  <w14:solidFill>
                    <w14:schemeClr w14:val="tx1"/>
                  </w14:solidFill>
                </w14:textFill>
              </w:rPr>
              <w:t>核，支持超线程，原始主频≥</w:t>
            </w:r>
            <w:r>
              <w:rPr>
                <w:color w:val="FF0000"/>
                <w:kern w:val="0"/>
                <w:sz w:val="18"/>
                <w:szCs w:val="18"/>
                <w:highlight w:val="yellow"/>
              </w:rPr>
              <w:t>2.</w:t>
            </w:r>
            <w:r>
              <w:rPr>
                <w:rFonts w:hint="eastAsia"/>
                <w:color w:val="FF0000"/>
                <w:kern w:val="0"/>
                <w:sz w:val="18"/>
                <w:szCs w:val="18"/>
                <w:highlight w:val="yellow"/>
              </w:rPr>
              <w:t>1</w:t>
            </w:r>
            <w:r>
              <w:rPr>
                <w:color w:val="FF0000"/>
                <w:kern w:val="0"/>
                <w:sz w:val="18"/>
                <w:szCs w:val="18"/>
                <w:highlight w:val="yellow"/>
              </w:rPr>
              <w:t>GHz</w:t>
            </w:r>
            <w:r>
              <w:rPr>
                <w:color w:val="000000" w:themeColor="text1"/>
                <w:kern w:val="0"/>
                <w:sz w:val="18"/>
                <w:szCs w:val="18"/>
                <w:highlight w:val="yellow"/>
                <w14:textFill>
                  <w14:solidFill>
                    <w14:schemeClr w14:val="tx1"/>
                  </w14:solidFill>
                </w14:textFill>
              </w:rPr>
              <w:t>，CPU芯片需通过安全可靠测评，其安全可靠测评等级不得低于I级，详情可从中国信息安全测评中心（www.itsec.gov.cn）和国家保密科技测评中心（www.nsstec.org.cn）网站查询。</w:t>
            </w:r>
          </w:p>
          <w:p w14:paraId="77C93E85">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内存：当前配置≥</w:t>
            </w:r>
            <w:r>
              <w:rPr>
                <w:rFonts w:hint="eastAsia"/>
                <w:color w:val="000000" w:themeColor="text1"/>
                <w:kern w:val="0"/>
                <w:sz w:val="18"/>
                <w:szCs w:val="18"/>
                <w:highlight w:val="yellow"/>
                <w14:textFill>
                  <w14:solidFill>
                    <w14:schemeClr w14:val="tx1"/>
                  </w14:solidFill>
                </w14:textFill>
              </w:rPr>
              <w:t>512</w:t>
            </w:r>
            <w:r>
              <w:rPr>
                <w:color w:val="000000" w:themeColor="text1"/>
                <w:kern w:val="0"/>
                <w:sz w:val="18"/>
                <w:szCs w:val="18"/>
                <w:highlight w:val="yellow"/>
                <w14:textFill>
                  <w14:solidFill>
                    <w14:schemeClr w14:val="tx1"/>
                  </w14:solidFill>
                </w14:textFill>
              </w:rPr>
              <w:t>GB DDR</w:t>
            </w:r>
            <w:r>
              <w:rPr>
                <w:rFonts w:hint="eastAsia"/>
                <w:color w:val="000000" w:themeColor="text1"/>
                <w:kern w:val="0"/>
                <w:sz w:val="18"/>
                <w:szCs w:val="18"/>
                <w:highlight w:val="yellow"/>
                <w14:textFill>
                  <w14:solidFill>
                    <w14:schemeClr w14:val="tx1"/>
                  </w14:solidFill>
                </w14:textFill>
              </w:rPr>
              <w:t>5</w:t>
            </w:r>
            <w:r>
              <w:rPr>
                <w:strike/>
                <w:dstrike w:val="0"/>
                <w:color w:val="000000" w:themeColor="text1"/>
                <w:kern w:val="0"/>
                <w:sz w:val="18"/>
                <w:szCs w:val="18"/>
                <w:highlight w:val="yellow"/>
                <w14:textFill>
                  <w14:solidFill>
                    <w14:schemeClr w14:val="tx1"/>
                  </w14:solidFill>
                </w14:textFill>
              </w:rPr>
              <w:t>,</w:t>
            </w:r>
            <w:r>
              <w:rPr>
                <w:color w:val="000000" w:themeColor="text1"/>
                <w:kern w:val="0"/>
                <w:sz w:val="18"/>
                <w:szCs w:val="18"/>
                <w:highlight w:val="yellow"/>
                <w14:textFill>
                  <w14:solidFill>
                    <w14:schemeClr w14:val="tx1"/>
                  </w14:solidFill>
                </w14:textFill>
              </w:rPr>
              <w:t>单条内存≥32GB；</w:t>
            </w:r>
          </w:p>
          <w:p w14:paraId="7E706C33">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硬盘：配置≥6块960GB（或以上）SSD或配置≥6块1200GB（或以上）容量、转速10KRPM（或以上）2.5英寸SAS热插拔硬盘，SAS热交换硬盘托架≥12个；支持热插拔SAS 、SSD等；</w:t>
            </w:r>
          </w:p>
          <w:p w14:paraId="39F3D25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阵列卡：双通道阵列卡，支持RAID0、1、5、6、10，cache≥2GB，带掉电保护功能；</w:t>
            </w:r>
          </w:p>
          <w:p w14:paraId="59D95082">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网卡：</w:t>
            </w:r>
            <w:r>
              <w:rPr>
                <w:color w:val="000000" w:themeColor="text1"/>
                <w:sz w:val="18"/>
                <w:szCs w:val="18"/>
                <w:highlight w:val="yellow"/>
                <w:lang w:bidi="ar"/>
                <w14:textFill>
                  <w14:solidFill>
                    <w14:schemeClr w14:val="tx1"/>
                  </w14:solidFill>
                </w14:textFill>
              </w:rPr>
              <w:t>配置</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2*GE电口及</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2*10GE光口</w:t>
            </w:r>
            <w:r>
              <w:rPr>
                <w:color w:val="000000" w:themeColor="text1"/>
                <w:kern w:val="0"/>
                <w:sz w:val="18"/>
                <w:szCs w:val="18"/>
                <w:highlight w:val="yellow"/>
                <w14:textFill>
                  <w14:solidFill>
                    <w14:schemeClr w14:val="tx1"/>
                  </w14:solidFill>
                </w14:textFill>
              </w:rPr>
              <w:t>，另配置≥2块独立的2端口万兆光网卡，满配多模光模块；≥</w:t>
            </w:r>
            <w:r>
              <w:rPr>
                <w:rFonts w:hint="eastAsia"/>
                <w:color w:val="000000" w:themeColor="text1"/>
                <w:kern w:val="0"/>
                <w:sz w:val="18"/>
                <w:szCs w:val="18"/>
                <w:highlight w:val="yellow"/>
                <w14:textFill>
                  <w14:solidFill>
                    <w14:schemeClr w14:val="tx1"/>
                  </w14:solidFill>
                </w14:textFill>
              </w:rPr>
              <w:t>2</w:t>
            </w:r>
            <w:r>
              <w:rPr>
                <w:color w:val="000000" w:themeColor="text1"/>
                <w:kern w:val="0"/>
                <w:sz w:val="18"/>
                <w:szCs w:val="18"/>
                <w:highlight w:val="yellow"/>
                <w14:textFill>
                  <w14:solidFill>
                    <w14:schemeClr w14:val="tx1"/>
                  </w14:solidFill>
                </w14:textFill>
              </w:rPr>
              <w:t>块独立的4端口10/100/1000M-BaseT以太网卡</w:t>
            </w:r>
            <w:r>
              <w:rPr>
                <w:rFonts w:hint="eastAsia"/>
                <w:color w:val="000000" w:themeColor="text1"/>
                <w:kern w:val="0"/>
                <w:sz w:val="18"/>
                <w:szCs w:val="18"/>
                <w:highlight w:val="yellow"/>
                <w14:textFill>
                  <w14:solidFill>
                    <w14:schemeClr w14:val="tx1"/>
                  </w14:solidFill>
                </w14:textFill>
              </w:rPr>
              <w:t>；1块独立2端口</w:t>
            </w:r>
            <w:r>
              <w:rPr>
                <w:color w:val="000000" w:themeColor="text1"/>
                <w:kern w:val="0"/>
                <w:sz w:val="18"/>
                <w:szCs w:val="18"/>
                <w:highlight w:val="yellow"/>
                <w14:textFill>
                  <w14:solidFill>
                    <w14:schemeClr w14:val="tx1"/>
                  </w14:solidFill>
                </w14:textFill>
              </w:rPr>
              <w:t>10/100/1000M-BaseT以太网卡</w:t>
            </w:r>
            <w:r>
              <w:rPr>
                <w:rFonts w:hint="eastAsia"/>
                <w:color w:val="000000" w:themeColor="text1"/>
                <w:kern w:val="0"/>
                <w:sz w:val="18"/>
                <w:szCs w:val="18"/>
                <w:highlight w:val="yellow"/>
                <w14:textFill>
                  <w14:solidFill>
                    <w14:schemeClr w14:val="tx1"/>
                  </w14:solidFill>
                </w14:textFill>
              </w:rPr>
              <w:t>；</w:t>
            </w:r>
          </w:p>
          <w:p w14:paraId="00F28391">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PCI插槽：≥</w:t>
            </w:r>
            <w:r>
              <w:rPr>
                <w:rFonts w:hint="eastAsia"/>
                <w:color w:val="000000" w:themeColor="text1"/>
                <w:kern w:val="0"/>
                <w:sz w:val="18"/>
                <w:szCs w:val="18"/>
                <w:highlight w:val="yellow"/>
                <w14:textFill>
                  <w14:solidFill>
                    <w14:schemeClr w14:val="tx1"/>
                  </w14:solidFill>
                </w14:textFill>
              </w:rPr>
              <w:t>8</w:t>
            </w:r>
            <w:r>
              <w:rPr>
                <w:color w:val="000000" w:themeColor="text1"/>
                <w:kern w:val="0"/>
                <w:sz w:val="18"/>
                <w:szCs w:val="18"/>
                <w:highlight w:val="yellow"/>
                <w14:textFill>
                  <w14:solidFill>
                    <w14:schemeClr w14:val="tx1"/>
                  </w14:solidFill>
                </w14:textFill>
              </w:rPr>
              <w:t>个PCI-E 插槽；</w:t>
            </w:r>
          </w:p>
          <w:p w14:paraId="72ADFA36">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电源和风扇：支持热插拔冗余电源，单电源供电可正常运行，支持热插拔冗余散热风扇，电源和风扇模块要求满配；</w:t>
            </w:r>
          </w:p>
          <w:p w14:paraId="11350B00">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配件：原厂电源线以及其它保证设备正常运行必须的软硬件（电源线插头类型及长度应根据现场实际需要提供）；</w:t>
            </w:r>
          </w:p>
          <w:p w14:paraId="3AF3BBD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337A13D4">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6D5774FE">
            <w:pPr>
              <w:spacing w:before="0" w:after="0" w:line="240" w:lineRule="auto"/>
              <w:ind w:firstLine="0"/>
              <w:jc w:val="left"/>
              <w:rPr>
                <w:rFonts w:hint="eastAsia" w:ascii="宋体" w:hAnsi="宋体" w:cs="宋体"/>
                <w:color w:val="EE0000"/>
                <w:sz w:val="18"/>
                <w:szCs w:val="18"/>
                <w:lang w:bidi="ar"/>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248C049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06E14381">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2</w:t>
            </w:r>
          </w:p>
        </w:tc>
        <w:tc>
          <w:tcPr>
            <w:tcW w:w="1438" w:type="dxa"/>
            <w:shd w:val="clear" w:color="000000" w:fill="FFFFFF"/>
            <w:vAlign w:val="center"/>
          </w:tcPr>
          <w:p w14:paraId="0AE75321">
            <w:pPr>
              <w:spacing w:before="0" w:after="0" w:line="240" w:lineRule="auto"/>
              <w:ind w:firstLine="0"/>
              <w:jc w:val="left"/>
              <w:rPr>
                <w:rFonts w:hint="eastAsia" w:ascii="宋体" w:hAnsi="宋体" w:cs="宋体"/>
                <w:kern w:val="0"/>
                <w:sz w:val="18"/>
                <w:szCs w:val="18"/>
                <w:highlight w:val="yellow"/>
              </w:rPr>
            </w:pPr>
            <w:r>
              <w:rPr>
                <w:rFonts w:ascii="宋体" w:hAnsi="宋体" w:cs="宋体"/>
                <w:sz w:val="18"/>
                <w:szCs w:val="18"/>
                <w:highlight w:val="yellow"/>
                <w:lang w:bidi="ar"/>
              </w:rPr>
              <w:t>PC服务器(</w:t>
            </w:r>
            <w:r>
              <w:rPr>
                <w:rFonts w:hint="eastAsia"/>
                <w:kern w:val="0"/>
                <w:sz w:val="18"/>
                <w:szCs w:val="18"/>
                <w:highlight w:val="yellow"/>
              </w:rPr>
              <w:t>ARM架构，</w:t>
            </w:r>
            <w:r>
              <w:rPr>
                <w:rFonts w:hint="eastAsia" w:ascii="宋体" w:hAnsi="宋体" w:cs="宋体"/>
                <w:sz w:val="18"/>
                <w:szCs w:val="18"/>
                <w:highlight w:val="yellow"/>
                <w:lang w:bidi="ar"/>
              </w:rPr>
              <w:t>一档</w:t>
            </w:r>
            <w:r>
              <w:rPr>
                <w:rFonts w:ascii="宋体" w:hAnsi="宋体" w:cs="宋体"/>
                <w:sz w:val="18"/>
                <w:szCs w:val="18"/>
                <w:highlight w:val="yellow"/>
                <w:lang w:bidi="ar"/>
              </w:rPr>
              <w:t>1类)</w:t>
            </w:r>
          </w:p>
        </w:tc>
        <w:tc>
          <w:tcPr>
            <w:tcW w:w="6251" w:type="dxa"/>
            <w:shd w:val="clear" w:color="000000" w:fill="FFFFFF"/>
            <w:vAlign w:val="center"/>
          </w:tcPr>
          <w:p w14:paraId="676CD35B">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★安全可靠：</w:t>
            </w:r>
          </w:p>
          <w:p w14:paraId="54F53701">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5E4BFF3F">
            <w:pPr>
              <w:spacing w:before="0" w:after="0" w:line="240" w:lineRule="auto"/>
              <w:ind w:firstLine="0"/>
              <w:jc w:val="left"/>
              <w:rPr>
                <w:color w:val="EE0000"/>
                <w:kern w:val="0"/>
                <w:sz w:val="18"/>
                <w:szCs w:val="18"/>
              </w:rPr>
            </w:pPr>
            <w:r>
              <w:rPr>
                <w:rFonts w:hint="eastAsia" w:ascii="宋体" w:hAnsi="宋体" w:cs="宋体"/>
                <w:sz w:val="18"/>
                <w:szCs w:val="18"/>
                <w:lang w:bidi="ar"/>
              </w:rPr>
              <w:t>2）CPU、硬盘颗粒、DRAM颗粒、BMC、网卡芯片、电源模块控制芯片、raid卡等配置信息需要同时提供安全可靠芯片证明材料及承诺函（格式见附件四）。</w:t>
            </w:r>
          </w:p>
        </w:tc>
      </w:tr>
      <w:tr w14:paraId="77BA195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2A9882CD">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2</w:t>
            </w:r>
          </w:p>
        </w:tc>
        <w:tc>
          <w:tcPr>
            <w:tcW w:w="1438" w:type="dxa"/>
            <w:shd w:val="clear" w:color="000000" w:fill="FFFFFF"/>
            <w:vAlign w:val="center"/>
          </w:tcPr>
          <w:p w14:paraId="37DEAE91">
            <w:pPr>
              <w:spacing w:before="0" w:after="0" w:line="240" w:lineRule="auto"/>
              <w:ind w:firstLine="0"/>
              <w:jc w:val="left"/>
              <w:rPr>
                <w:rFonts w:hint="eastAsia" w:ascii="宋体" w:hAnsi="宋体" w:cs="宋体"/>
                <w:color w:val="EE0000"/>
                <w:kern w:val="0"/>
                <w:sz w:val="18"/>
                <w:szCs w:val="18"/>
                <w:highlight w:val="yellow"/>
              </w:rPr>
            </w:pPr>
            <w:r>
              <w:rPr>
                <w:rFonts w:ascii="宋体" w:hAnsi="宋体" w:cs="宋体"/>
                <w:color w:val="EE0000"/>
                <w:kern w:val="0"/>
                <w:sz w:val="18"/>
                <w:szCs w:val="18"/>
                <w:highlight w:val="yellow"/>
              </w:rPr>
              <w:t>PC服务器(</w:t>
            </w:r>
            <w:r>
              <w:rPr>
                <w:rFonts w:hint="eastAsia"/>
                <w:color w:val="EE0000"/>
                <w:kern w:val="0"/>
                <w:sz w:val="18"/>
                <w:szCs w:val="18"/>
                <w:highlight w:val="yellow"/>
              </w:rPr>
              <w:t>ARM架构，</w:t>
            </w:r>
            <w:r>
              <w:rPr>
                <w:rFonts w:hint="eastAsia" w:ascii="宋体" w:hAnsi="宋体" w:cs="宋体"/>
                <w:color w:val="EE0000"/>
                <w:kern w:val="0"/>
                <w:sz w:val="18"/>
                <w:szCs w:val="18"/>
                <w:highlight w:val="yellow"/>
              </w:rPr>
              <w:t>一档</w:t>
            </w:r>
            <w:r>
              <w:rPr>
                <w:rFonts w:ascii="宋体" w:hAnsi="宋体" w:cs="宋体"/>
                <w:color w:val="EE0000"/>
                <w:kern w:val="0"/>
                <w:sz w:val="18"/>
                <w:szCs w:val="18"/>
                <w:highlight w:val="yellow"/>
              </w:rPr>
              <w:t>1类)</w:t>
            </w:r>
          </w:p>
        </w:tc>
        <w:tc>
          <w:tcPr>
            <w:tcW w:w="6251" w:type="dxa"/>
            <w:shd w:val="clear" w:color="000000" w:fill="FFFFFF"/>
            <w:vAlign w:val="center"/>
          </w:tcPr>
          <w:p w14:paraId="74DBBE13">
            <w:pPr>
              <w:spacing w:before="0" w:after="0" w:line="240" w:lineRule="auto"/>
              <w:ind w:firstLine="0"/>
              <w:jc w:val="left"/>
              <w:rPr>
                <w:kern w:val="0"/>
                <w:sz w:val="18"/>
                <w:szCs w:val="18"/>
                <w:highlight w:val="yellow"/>
              </w:rPr>
            </w:pPr>
            <w:r>
              <w:rPr>
                <w:kern w:val="0"/>
                <w:sz w:val="18"/>
                <w:szCs w:val="18"/>
                <w:highlight w:val="yellow"/>
              </w:rPr>
              <w:t>原厂商产品（非OEM），性能不低于以下要求：</w:t>
            </w:r>
          </w:p>
          <w:p w14:paraId="2D17D118">
            <w:pPr>
              <w:spacing w:before="0" w:after="0" w:line="240" w:lineRule="auto"/>
              <w:ind w:firstLine="0"/>
              <w:jc w:val="left"/>
              <w:rPr>
                <w:kern w:val="0"/>
                <w:sz w:val="18"/>
                <w:szCs w:val="18"/>
                <w:highlight w:val="yellow"/>
              </w:rPr>
            </w:pPr>
            <w:r>
              <w:rPr>
                <w:kern w:val="0"/>
                <w:sz w:val="18"/>
                <w:szCs w:val="18"/>
                <w:highlight w:val="yellow"/>
              </w:rPr>
              <w:t>高度≤</w:t>
            </w:r>
            <w:r>
              <w:rPr>
                <w:rFonts w:hint="eastAsia"/>
                <w:kern w:val="0"/>
                <w:sz w:val="18"/>
                <w:szCs w:val="18"/>
                <w:highlight w:val="yellow"/>
              </w:rPr>
              <w:t>2</w:t>
            </w:r>
            <w:r>
              <w:rPr>
                <w:kern w:val="0"/>
                <w:sz w:val="18"/>
                <w:szCs w:val="18"/>
                <w:highlight w:val="yellow"/>
              </w:rPr>
              <w:t>U，标准机柜安装，含机架安装套件，带安装导轨等；</w:t>
            </w:r>
          </w:p>
          <w:p w14:paraId="05BD58AB">
            <w:pPr>
              <w:spacing w:before="0" w:after="0" w:line="240" w:lineRule="auto"/>
              <w:ind w:firstLine="0"/>
              <w:jc w:val="left"/>
              <w:rPr>
                <w:kern w:val="0"/>
                <w:sz w:val="18"/>
                <w:szCs w:val="18"/>
                <w:highlight w:val="yellow"/>
              </w:rPr>
            </w:pPr>
            <w:r>
              <w:rPr>
                <w:kern w:val="0"/>
                <w:sz w:val="18"/>
                <w:szCs w:val="18"/>
                <w:highlight w:val="yellow"/>
              </w:rPr>
              <w:t>CPU：≥2颗服务器处理器，</w:t>
            </w:r>
            <w:r>
              <w:rPr>
                <w:rFonts w:hint="eastAsia"/>
                <w:kern w:val="0"/>
                <w:sz w:val="18"/>
                <w:szCs w:val="18"/>
                <w:highlight w:val="yellow"/>
              </w:rPr>
              <w:t>ARM架构，</w:t>
            </w:r>
            <w:r>
              <w:rPr>
                <w:kern w:val="0"/>
                <w:sz w:val="18"/>
                <w:szCs w:val="18"/>
                <w:highlight w:val="yellow"/>
              </w:rPr>
              <w:t>总核数≥</w:t>
            </w:r>
            <w:r>
              <w:rPr>
                <w:rFonts w:hint="eastAsia"/>
                <w:kern w:val="0"/>
                <w:sz w:val="18"/>
                <w:szCs w:val="18"/>
                <w:highlight w:val="yellow"/>
              </w:rPr>
              <w:t>64</w:t>
            </w:r>
            <w:r>
              <w:rPr>
                <w:kern w:val="0"/>
                <w:sz w:val="18"/>
                <w:szCs w:val="18"/>
                <w:highlight w:val="yellow"/>
              </w:rPr>
              <w:t>核，支持超线程，原始主频≥</w:t>
            </w:r>
            <w:r>
              <w:rPr>
                <w:color w:val="FF0000"/>
                <w:kern w:val="0"/>
                <w:sz w:val="18"/>
                <w:szCs w:val="18"/>
                <w:highlight w:val="yellow"/>
              </w:rPr>
              <w:t>2.</w:t>
            </w:r>
            <w:r>
              <w:rPr>
                <w:rFonts w:hint="eastAsia"/>
                <w:color w:val="FF0000"/>
                <w:kern w:val="0"/>
                <w:sz w:val="18"/>
                <w:szCs w:val="18"/>
                <w:highlight w:val="yellow"/>
              </w:rPr>
              <w:t>1</w:t>
            </w:r>
            <w:r>
              <w:rPr>
                <w:color w:val="FF0000"/>
                <w:kern w:val="0"/>
                <w:sz w:val="18"/>
                <w:szCs w:val="18"/>
                <w:highlight w:val="yellow"/>
              </w:rPr>
              <w:t>GHz</w:t>
            </w:r>
            <w:r>
              <w:rPr>
                <w:kern w:val="0"/>
                <w:sz w:val="18"/>
                <w:szCs w:val="18"/>
                <w:highlight w:val="yellow"/>
              </w:rPr>
              <w:t>，CPU芯片需通过安全可靠测评，其安全可靠测评等级不得低于I级，详情可从中国信息安全测评中心（www.itsec.gov.cn）和国家保密科技测评中心（www.nsstec.org.cn）网站查询。</w:t>
            </w:r>
          </w:p>
          <w:p w14:paraId="4BFF4E85">
            <w:pPr>
              <w:spacing w:before="0" w:after="0" w:line="240" w:lineRule="auto"/>
              <w:ind w:firstLine="0"/>
              <w:jc w:val="left"/>
              <w:rPr>
                <w:kern w:val="0"/>
                <w:sz w:val="18"/>
                <w:szCs w:val="18"/>
                <w:highlight w:val="yellow"/>
              </w:rPr>
            </w:pPr>
            <w:r>
              <w:rPr>
                <w:kern w:val="0"/>
                <w:sz w:val="18"/>
                <w:szCs w:val="18"/>
                <w:highlight w:val="yellow"/>
              </w:rPr>
              <w:t>内存：当前配置≥</w:t>
            </w:r>
            <w:r>
              <w:rPr>
                <w:rFonts w:hint="eastAsia"/>
                <w:kern w:val="0"/>
                <w:sz w:val="18"/>
                <w:szCs w:val="18"/>
                <w:highlight w:val="yellow"/>
              </w:rPr>
              <w:t>512</w:t>
            </w:r>
            <w:r>
              <w:rPr>
                <w:kern w:val="0"/>
                <w:sz w:val="18"/>
                <w:szCs w:val="18"/>
                <w:highlight w:val="yellow"/>
              </w:rPr>
              <w:t>GB DDR</w:t>
            </w:r>
            <w:r>
              <w:rPr>
                <w:rFonts w:hint="eastAsia"/>
                <w:kern w:val="0"/>
                <w:sz w:val="18"/>
                <w:szCs w:val="18"/>
                <w:highlight w:val="yellow"/>
              </w:rPr>
              <w:t>5</w:t>
            </w:r>
            <w:r>
              <w:rPr>
                <w:kern w:val="0"/>
                <w:sz w:val="18"/>
                <w:szCs w:val="18"/>
                <w:highlight w:val="yellow"/>
              </w:rPr>
              <w:t>单条内存≥32GB；</w:t>
            </w:r>
          </w:p>
          <w:p w14:paraId="1C741936">
            <w:pPr>
              <w:spacing w:before="0" w:after="0" w:line="240" w:lineRule="auto"/>
              <w:ind w:firstLine="0"/>
              <w:jc w:val="left"/>
              <w:rPr>
                <w:kern w:val="0"/>
                <w:sz w:val="18"/>
                <w:szCs w:val="18"/>
                <w:highlight w:val="yellow"/>
              </w:rPr>
            </w:pPr>
            <w:r>
              <w:rPr>
                <w:kern w:val="0"/>
                <w:sz w:val="18"/>
                <w:szCs w:val="18"/>
                <w:highlight w:val="yellow"/>
              </w:rPr>
              <w:t>硬盘：配置≥6块960GB（或以上）SSD或配置≥6块1200GB（或以上）容量、转速10KRPM（或以上）2.5英寸SAS热插拔硬盘，SAS热交换硬盘托架≥12个；支持热插拔SAS 、SSD等；</w:t>
            </w:r>
          </w:p>
          <w:p w14:paraId="2CF7FEBD">
            <w:pPr>
              <w:spacing w:before="0" w:after="0" w:line="240" w:lineRule="auto"/>
              <w:ind w:firstLine="0"/>
              <w:jc w:val="left"/>
              <w:rPr>
                <w:kern w:val="0"/>
                <w:sz w:val="18"/>
                <w:szCs w:val="18"/>
                <w:highlight w:val="yellow"/>
              </w:rPr>
            </w:pPr>
            <w:r>
              <w:rPr>
                <w:kern w:val="0"/>
                <w:sz w:val="18"/>
                <w:szCs w:val="18"/>
                <w:highlight w:val="yellow"/>
              </w:rPr>
              <w:t>阵列卡：双通道阵列卡，支持RAID0、1、5、6、10，cache≥2GB，带掉电保护功能；</w:t>
            </w:r>
          </w:p>
          <w:p w14:paraId="40F4757F">
            <w:pPr>
              <w:spacing w:before="0" w:after="0" w:line="240" w:lineRule="auto"/>
              <w:ind w:firstLine="0"/>
              <w:jc w:val="left"/>
              <w:rPr>
                <w:kern w:val="0"/>
                <w:sz w:val="18"/>
                <w:szCs w:val="18"/>
                <w:highlight w:val="yellow"/>
              </w:rPr>
            </w:pPr>
            <w:r>
              <w:rPr>
                <w:kern w:val="0"/>
                <w:sz w:val="18"/>
                <w:szCs w:val="18"/>
                <w:highlight w:val="yellow"/>
              </w:rPr>
              <w:t>网卡：</w:t>
            </w:r>
            <w:r>
              <w:rPr>
                <w:sz w:val="18"/>
                <w:szCs w:val="18"/>
                <w:highlight w:val="yellow"/>
                <w:lang w:bidi="ar"/>
              </w:rPr>
              <w:t>配置</w:t>
            </w:r>
            <w:r>
              <w:rPr>
                <w:kern w:val="0"/>
                <w:sz w:val="18"/>
                <w:szCs w:val="18"/>
                <w:highlight w:val="yellow"/>
              </w:rPr>
              <w:t>≥</w:t>
            </w:r>
            <w:r>
              <w:rPr>
                <w:sz w:val="18"/>
                <w:szCs w:val="18"/>
                <w:highlight w:val="yellow"/>
                <w:lang w:bidi="ar"/>
              </w:rPr>
              <w:t>2*GE电口及</w:t>
            </w:r>
            <w:r>
              <w:rPr>
                <w:kern w:val="0"/>
                <w:sz w:val="18"/>
                <w:szCs w:val="18"/>
                <w:highlight w:val="yellow"/>
              </w:rPr>
              <w:t>≥</w:t>
            </w:r>
            <w:r>
              <w:rPr>
                <w:sz w:val="18"/>
                <w:szCs w:val="18"/>
                <w:highlight w:val="yellow"/>
                <w:lang w:bidi="ar"/>
              </w:rPr>
              <w:t>2*10GE光口</w:t>
            </w:r>
            <w:r>
              <w:rPr>
                <w:kern w:val="0"/>
                <w:sz w:val="18"/>
                <w:szCs w:val="18"/>
                <w:highlight w:val="yellow"/>
              </w:rPr>
              <w:t>，另配置≥2块独立的2端口万兆光网卡，满配多模光模块；≥</w:t>
            </w:r>
            <w:r>
              <w:rPr>
                <w:rFonts w:hint="eastAsia"/>
                <w:kern w:val="0"/>
                <w:sz w:val="18"/>
                <w:szCs w:val="18"/>
                <w:highlight w:val="yellow"/>
              </w:rPr>
              <w:t>2</w:t>
            </w:r>
            <w:r>
              <w:rPr>
                <w:kern w:val="0"/>
                <w:sz w:val="18"/>
                <w:szCs w:val="18"/>
                <w:highlight w:val="yellow"/>
              </w:rPr>
              <w:t>块独立的4端口10/100/1000M-BaseT以太网卡</w:t>
            </w:r>
            <w:r>
              <w:rPr>
                <w:rFonts w:hint="eastAsia"/>
                <w:kern w:val="0"/>
                <w:sz w:val="18"/>
                <w:szCs w:val="18"/>
                <w:highlight w:val="yellow"/>
              </w:rPr>
              <w:t>；1块独立2端口</w:t>
            </w:r>
            <w:r>
              <w:rPr>
                <w:kern w:val="0"/>
                <w:sz w:val="18"/>
                <w:szCs w:val="18"/>
                <w:highlight w:val="yellow"/>
              </w:rPr>
              <w:t>10/100/1000M-BaseT以太网卡</w:t>
            </w:r>
            <w:r>
              <w:rPr>
                <w:rFonts w:hint="eastAsia"/>
                <w:kern w:val="0"/>
                <w:sz w:val="18"/>
                <w:szCs w:val="18"/>
                <w:highlight w:val="yellow"/>
              </w:rPr>
              <w:t>；</w:t>
            </w:r>
          </w:p>
          <w:p w14:paraId="7D4C64FF">
            <w:pPr>
              <w:spacing w:before="0" w:after="0" w:line="240" w:lineRule="auto"/>
              <w:ind w:firstLine="0"/>
              <w:jc w:val="left"/>
              <w:rPr>
                <w:kern w:val="0"/>
                <w:sz w:val="18"/>
                <w:szCs w:val="18"/>
                <w:highlight w:val="yellow"/>
              </w:rPr>
            </w:pPr>
            <w:r>
              <w:rPr>
                <w:kern w:val="0"/>
                <w:sz w:val="18"/>
                <w:szCs w:val="18"/>
                <w:highlight w:val="yellow"/>
              </w:rPr>
              <w:t>PCI插槽：≥</w:t>
            </w:r>
            <w:r>
              <w:rPr>
                <w:rFonts w:hint="eastAsia"/>
                <w:kern w:val="0"/>
                <w:sz w:val="18"/>
                <w:szCs w:val="18"/>
                <w:highlight w:val="yellow"/>
              </w:rPr>
              <w:t>8</w:t>
            </w:r>
            <w:r>
              <w:rPr>
                <w:kern w:val="0"/>
                <w:sz w:val="18"/>
                <w:szCs w:val="18"/>
                <w:highlight w:val="yellow"/>
              </w:rPr>
              <w:t>个PCI-E 插槽；</w:t>
            </w:r>
          </w:p>
          <w:p w14:paraId="76CB7EFF">
            <w:pPr>
              <w:spacing w:before="0" w:after="0" w:line="240" w:lineRule="auto"/>
              <w:ind w:firstLine="0"/>
              <w:jc w:val="left"/>
              <w:rPr>
                <w:kern w:val="0"/>
                <w:sz w:val="18"/>
                <w:szCs w:val="18"/>
                <w:highlight w:val="yellow"/>
              </w:rPr>
            </w:pPr>
            <w:r>
              <w:rPr>
                <w:kern w:val="0"/>
                <w:sz w:val="18"/>
                <w:szCs w:val="18"/>
                <w:highlight w:val="yellow"/>
              </w:rPr>
              <w:t>电源和风扇：支持热插拔冗余电源，单电源供电可正常运行，支持热插拔冗余散热风扇，电源和风扇模块要求满配；</w:t>
            </w:r>
          </w:p>
          <w:p w14:paraId="1B1BCFE8">
            <w:pPr>
              <w:spacing w:before="0" w:after="0" w:line="240" w:lineRule="auto"/>
              <w:ind w:firstLine="0"/>
              <w:jc w:val="left"/>
              <w:rPr>
                <w:kern w:val="0"/>
                <w:sz w:val="18"/>
                <w:szCs w:val="18"/>
                <w:highlight w:val="yellow"/>
              </w:rPr>
            </w:pPr>
            <w:r>
              <w:rPr>
                <w:kern w:val="0"/>
                <w:sz w:val="18"/>
                <w:szCs w:val="18"/>
                <w:highlight w:val="yellow"/>
              </w:rPr>
              <w:t>配件：原厂电源线以及其它保证设备正常运行必须的软硬件（电源线插头类型及长度应根据现场实际需要提供）；</w:t>
            </w:r>
          </w:p>
          <w:p w14:paraId="1503B39A">
            <w:pPr>
              <w:spacing w:before="0" w:after="0" w:line="240" w:lineRule="auto"/>
              <w:ind w:firstLine="0"/>
              <w:jc w:val="left"/>
              <w:rPr>
                <w:kern w:val="0"/>
                <w:sz w:val="18"/>
                <w:szCs w:val="18"/>
                <w:highlight w:val="yellow"/>
              </w:rPr>
            </w:pPr>
            <w:r>
              <w:rPr>
                <w:kern w:val="0"/>
                <w:sz w:val="18"/>
                <w:szCs w:val="18"/>
                <w:highlight w:val="yellow"/>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4A0DD6E3">
            <w:pPr>
              <w:spacing w:before="0" w:after="0" w:line="240" w:lineRule="auto"/>
              <w:ind w:firstLine="0"/>
              <w:jc w:val="left"/>
              <w:rPr>
                <w:kern w:val="0"/>
                <w:sz w:val="18"/>
                <w:szCs w:val="18"/>
                <w:highlight w:val="yellow"/>
              </w:rPr>
            </w:pPr>
            <w:r>
              <w:rPr>
                <w:kern w:val="0"/>
                <w:sz w:val="18"/>
                <w:szCs w:val="18"/>
                <w:highlight w:val="yellow"/>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0FF9A84C">
            <w:pPr>
              <w:spacing w:before="0" w:after="0" w:line="240" w:lineRule="auto"/>
              <w:ind w:firstLine="0"/>
              <w:jc w:val="left"/>
              <w:rPr>
                <w:color w:val="EE0000"/>
                <w:kern w:val="0"/>
                <w:sz w:val="18"/>
                <w:szCs w:val="18"/>
              </w:rPr>
            </w:pPr>
            <w:r>
              <w:rPr>
                <w:kern w:val="0"/>
                <w:sz w:val="18"/>
                <w:szCs w:val="18"/>
                <w:highlight w:val="yellow"/>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4612FCD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44" w:hRule="atLeast"/>
        </w:trPr>
        <w:tc>
          <w:tcPr>
            <w:tcW w:w="834" w:type="dxa"/>
            <w:shd w:val="clear" w:color="000000" w:fill="FFFFFF"/>
            <w:vAlign w:val="center"/>
          </w:tcPr>
          <w:p w14:paraId="396A0A9F">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3</w:t>
            </w:r>
          </w:p>
        </w:tc>
        <w:tc>
          <w:tcPr>
            <w:tcW w:w="1438" w:type="dxa"/>
            <w:shd w:val="clear" w:color="000000" w:fill="FFFFFF"/>
            <w:vAlign w:val="center"/>
          </w:tcPr>
          <w:p w14:paraId="342659A4">
            <w:pPr>
              <w:spacing w:before="0" w:after="0" w:line="240" w:lineRule="auto"/>
              <w:ind w:firstLine="0"/>
              <w:jc w:val="center"/>
              <w:rPr>
                <w:rFonts w:hint="eastAsia" w:ascii="宋体" w:hAnsi="宋体" w:cs="宋体"/>
                <w:kern w:val="0"/>
                <w:sz w:val="18"/>
                <w:szCs w:val="18"/>
                <w:highlight w:val="yellow"/>
              </w:rPr>
            </w:pPr>
            <w:r>
              <w:rPr>
                <w:rFonts w:ascii="宋体" w:hAnsi="宋体" w:cs="宋体"/>
                <w:kern w:val="0"/>
                <w:sz w:val="18"/>
                <w:szCs w:val="18"/>
                <w:highlight w:val="yellow"/>
              </w:rPr>
              <w:t>PC服务器(</w:t>
            </w:r>
            <w:r>
              <w:rPr>
                <w:rFonts w:hint="eastAsia"/>
                <w:color w:val="000000" w:themeColor="text1"/>
                <w:kern w:val="0"/>
                <w:sz w:val="18"/>
                <w:szCs w:val="18"/>
                <w:highlight w:val="yellow"/>
                <w14:textFill>
                  <w14:solidFill>
                    <w14:schemeClr w14:val="tx1"/>
                  </w14:solidFill>
                </w14:textFill>
              </w:rPr>
              <w:t>x86架构，</w:t>
            </w:r>
            <w:r>
              <w:rPr>
                <w:rFonts w:hint="eastAsia" w:ascii="宋体" w:hAnsi="宋体" w:cs="宋体"/>
                <w:kern w:val="0"/>
                <w:sz w:val="18"/>
                <w:szCs w:val="18"/>
                <w:highlight w:val="yellow"/>
              </w:rPr>
              <w:t>一档</w:t>
            </w:r>
            <w:r>
              <w:rPr>
                <w:rFonts w:ascii="宋体" w:hAnsi="宋体" w:cs="宋体"/>
                <w:kern w:val="0"/>
                <w:sz w:val="18"/>
                <w:szCs w:val="18"/>
                <w:highlight w:val="yellow"/>
              </w:rPr>
              <w:t>2类)</w:t>
            </w:r>
          </w:p>
        </w:tc>
        <w:tc>
          <w:tcPr>
            <w:tcW w:w="6251" w:type="dxa"/>
            <w:shd w:val="clear" w:color="000000" w:fill="FFFFFF"/>
            <w:vAlign w:val="center"/>
          </w:tcPr>
          <w:p w14:paraId="3E49C74A">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★安全可靠：</w:t>
            </w:r>
          </w:p>
          <w:p w14:paraId="2F6F2C23">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56FD14C7">
            <w:pPr>
              <w:spacing w:before="0" w:after="0" w:line="240" w:lineRule="auto"/>
              <w:ind w:firstLine="0"/>
              <w:jc w:val="left"/>
              <w:rPr>
                <w:rFonts w:hint="eastAsia" w:ascii="宋体" w:hAnsi="宋体" w:cs="宋体"/>
                <w:kern w:val="0"/>
                <w:sz w:val="18"/>
                <w:szCs w:val="18"/>
              </w:rPr>
            </w:pPr>
            <w:r>
              <w:rPr>
                <w:rFonts w:hint="eastAsia" w:ascii="宋体" w:hAnsi="宋体" w:cs="宋体"/>
                <w:sz w:val="18"/>
                <w:szCs w:val="18"/>
                <w:lang w:bidi="ar"/>
              </w:rPr>
              <w:t>2）CPU、硬盘颗粒、DRAM颗粒、BMC、网卡芯片、电源模块控制芯片、raid卡等配置信息需要同时提供安全可靠芯片证明材料及承诺函（格式见附件四）。</w:t>
            </w:r>
          </w:p>
        </w:tc>
      </w:tr>
      <w:tr w14:paraId="0F46451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44" w:hRule="atLeast"/>
        </w:trPr>
        <w:tc>
          <w:tcPr>
            <w:tcW w:w="834" w:type="dxa"/>
            <w:shd w:val="clear" w:color="000000" w:fill="FFFFFF"/>
            <w:vAlign w:val="center"/>
          </w:tcPr>
          <w:p w14:paraId="617BC409">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3</w:t>
            </w:r>
          </w:p>
        </w:tc>
        <w:tc>
          <w:tcPr>
            <w:tcW w:w="1438" w:type="dxa"/>
            <w:shd w:val="clear" w:color="000000" w:fill="FFFFFF"/>
            <w:vAlign w:val="center"/>
          </w:tcPr>
          <w:p w14:paraId="641C82FB">
            <w:pPr>
              <w:spacing w:before="0" w:after="0" w:line="240" w:lineRule="auto"/>
              <w:ind w:firstLine="0"/>
              <w:jc w:val="center"/>
              <w:rPr>
                <w:rFonts w:hint="eastAsia" w:ascii="宋体" w:hAnsi="宋体" w:cs="宋体"/>
                <w:kern w:val="0"/>
                <w:sz w:val="18"/>
                <w:szCs w:val="18"/>
                <w:highlight w:val="yellow"/>
              </w:rPr>
            </w:pPr>
            <w:r>
              <w:rPr>
                <w:rFonts w:ascii="宋体" w:hAnsi="宋体" w:cs="宋体"/>
                <w:kern w:val="0"/>
                <w:sz w:val="18"/>
                <w:szCs w:val="18"/>
                <w:highlight w:val="yellow"/>
              </w:rPr>
              <w:t>PC服务器(</w:t>
            </w:r>
            <w:r>
              <w:rPr>
                <w:rFonts w:hint="eastAsia"/>
                <w:color w:val="000000" w:themeColor="text1"/>
                <w:kern w:val="0"/>
                <w:sz w:val="18"/>
                <w:szCs w:val="18"/>
                <w:highlight w:val="yellow"/>
                <w14:textFill>
                  <w14:solidFill>
                    <w14:schemeClr w14:val="tx1"/>
                  </w14:solidFill>
                </w14:textFill>
              </w:rPr>
              <w:t>x86架构，</w:t>
            </w:r>
            <w:r>
              <w:rPr>
                <w:rFonts w:hint="eastAsia" w:ascii="宋体" w:hAnsi="宋体" w:cs="宋体"/>
                <w:kern w:val="0"/>
                <w:sz w:val="18"/>
                <w:szCs w:val="18"/>
                <w:highlight w:val="yellow"/>
              </w:rPr>
              <w:t>一档</w:t>
            </w:r>
            <w:r>
              <w:rPr>
                <w:rFonts w:ascii="宋体" w:hAnsi="宋体" w:cs="宋体"/>
                <w:kern w:val="0"/>
                <w:sz w:val="18"/>
                <w:szCs w:val="18"/>
                <w:highlight w:val="yellow"/>
              </w:rPr>
              <w:t>2类)</w:t>
            </w:r>
          </w:p>
        </w:tc>
        <w:tc>
          <w:tcPr>
            <w:tcW w:w="6251" w:type="dxa"/>
            <w:shd w:val="clear" w:color="000000" w:fill="FFFFFF"/>
            <w:vAlign w:val="center"/>
          </w:tcPr>
          <w:p w14:paraId="34D9BEBC">
            <w:pPr>
              <w:spacing w:before="0" w:after="0" w:line="240" w:lineRule="auto"/>
              <w:ind w:firstLine="0"/>
              <w:jc w:val="left"/>
              <w:rPr>
                <w:kern w:val="0"/>
                <w:sz w:val="18"/>
                <w:szCs w:val="18"/>
                <w:highlight w:val="yellow"/>
              </w:rPr>
            </w:pPr>
            <w:r>
              <w:rPr>
                <w:kern w:val="0"/>
                <w:sz w:val="18"/>
                <w:szCs w:val="18"/>
                <w:highlight w:val="yellow"/>
              </w:rPr>
              <w:t>原厂商产品（非OEM），性能不低于以下要求：</w:t>
            </w:r>
          </w:p>
          <w:p w14:paraId="20770D30">
            <w:pPr>
              <w:spacing w:before="0" w:after="0" w:line="240" w:lineRule="auto"/>
              <w:ind w:firstLine="0"/>
              <w:jc w:val="left"/>
              <w:rPr>
                <w:kern w:val="0"/>
                <w:sz w:val="18"/>
                <w:szCs w:val="18"/>
                <w:highlight w:val="yellow"/>
              </w:rPr>
            </w:pPr>
            <w:r>
              <w:rPr>
                <w:kern w:val="0"/>
                <w:sz w:val="18"/>
                <w:szCs w:val="18"/>
                <w:highlight w:val="yellow"/>
              </w:rPr>
              <w:t>高度≤</w:t>
            </w:r>
            <w:r>
              <w:rPr>
                <w:rFonts w:hint="eastAsia"/>
                <w:kern w:val="0"/>
                <w:sz w:val="18"/>
                <w:szCs w:val="18"/>
                <w:highlight w:val="yellow"/>
              </w:rPr>
              <w:t>2</w:t>
            </w:r>
            <w:r>
              <w:rPr>
                <w:kern w:val="0"/>
                <w:sz w:val="18"/>
                <w:szCs w:val="18"/>
                <w:highlight w:val="yellow"/>
              </w:rPr>
              <w:t>U，标准机柜安装，含机架安装套件，带安装导轨等；</w:t>
            </w:r>
          </w:p>
          <w:p w14:paraId="1241AA94">
            <w:pPr>
              <w:spacing w:before="0" w:after="0" w:line="240" w:lineRule="auto"/>
              <w:ind w:firstLine="0"/>
              <w:jc w:val="left"/>
              <w:rPr>
                <w:kern w:val="0"/>
                <w:sz w:val="18"/>
                <w:szCs w:val="18"/>
                <w:highlight w:val="yellow"/>
              </w:rPr>
            </w:pPr>
            <w:r>
              <w:rPr>
                <w:kern w:val="0"/>
                <w:sz w:val="18"/>
                <w:szCs w:val="18"/>
                <w:highlight w:val="yellow"/>
              </w:rPr>
              <w:t>CPU：≥2颗服务器处理器，</w:t>
            </w:r>
            <w:r>
              <w:rPr>
                <w:rFonts w:hint="eastAsia"/>
                <w:kern w:val="0"/>
                <w:sz w:val="18"/>
                <w:szCs w:val="18"/>
                <w:highlight w:val="yellow"/>
              </w:rPr>
              <w:t>x86架构，</w:t>
            </w:r>
            <w:r>
              <w:rPr>
                <w:kern w:val="0"/>
                <w:sz w:val="18"/>
                <w:szCs w:val="18"/>
                <w:highlight w:val="yellow"/>
              </w:rPr>
              <w:t>总核数≥</w:t>
            </w:r>
            <w:r>
              <w:rPr>
                <w:rFonts w:hint="eastAsia"/>
                <w:kern w:val="0"/>
                <w:sz w:val="18"/>
                <w:szCs w:val="18"/>
                <w:highlight w:val="yellow"/>
              </w:rPr>
              <w:t>64</w:t>
            </w:r>
            <w:r>
              <w:rPr>
                <w:kern w:val="0"/>
                <w:sz w:val="18"/>
                <w:szCs w:val="18"/>
                <w:highlight w:val="yellow"/>
              </w:rPr>
              <w:t>核，支持超线程，原始主频≥</w:t>
            </w:r>
            <w:r>
              <w:rPr>
                <w:color w:val="FF0000"/>
                <w:kern w:val="0"/>
                <w:sz w:val="18"/>
                <w:szCs w:val="18"/>
                <w:highlight w:val="yellow"/>
              </w:rPr>
              <w:t>2.</w:t>
            </w:r>
            <w:r>
              <w:rPr>
                <w:rFonts w:hint="eastAsia"/>
                <w:color w:val="FF0000"/>
                <w:kern w:val="0"/>
                <w:sz w:val="18"/>
                <w:szCs w:val="18"/>
                <w:highlight w:val="yellow"/>
              </w:rPr>
              <w:t>1</w:t>
            </w:r>
            <w:r>
              <w:rPr>
                <w:color w:val="FF0000"/>
                <w:kern w:val="0"/>
                <w:sz w:val="18"/>
                <w:szCs w:val="18"/>
                <w:highlight w:val="yellow"/>
              </w:rPr>
              <w:t>GHz</w:t>
            </w:r>
            <w:r>
              <w:rPr>
                <w:kern w:val="0"/>
                <w:sz w:val="18"/>
                <w:szCs w:val="18"/>
                <w:highlight w:val="yellow"/>
              </w:rPr>
              <w:t>，CPU芯片需通过安全可靠测评，其安全可靠测评等级不得低于I级，详情可从中国信息安全测评中心（www.itsec.gov.cn）和国家保密科技测评中心（www.nsstec.org.cn）网站查询。</w:t>
            </w:r>
          </w:p>
          <w:p w14:paraId="7C39B5D2">
            <w:pPr>
              <w:spacing w:before="0" w:after="0" w:line="240" w:lineRule="auto"/>
              <w:ind w:firstLine="0"/>
              <w:jc w:val="left"/>
              <w:rPr>
                <w:kern w:val="0"/>
                <w:sz w:val="18"/>
                <w:szCs w:val="18"/>
                <w:highlight w:val="yellow"/>
              </w:rPr>
            </w:pPr>
            <w:r>
              <w:rPr>
                <w:kern w:val="0"/>
                <w:sz w:val="18"/>
                <w:szCs w:val="18"/>
                <w:highlight w:val="yellow"/>
              </w:rPr>
              <w:t>内存：当前配置≥256GB DDR</w:t>
            </w:r>
            <w:r>
              <w:rPr>
                <w:rFonts w:hint="eastAsia"/>
                <w:kern w:val="0"/>
                <w:sz w:val="18"/>
                <w:szCs w:val="18"/>
                <w:highlight w:val="yellow"/>
              </w:rPr>
              <w:t>5</w:t>
            </w:r>
            <w:r>
              <w:rPr>
                <w:kern w:val="0"/>
                <w:sz w:val="18"/>
                <w:szCs w:val="18"/>
                <w:highlight w:val="yellow"/>
              </w:rPr>
              <w:t>单条内存≥32GB；</w:t>
            </w:r>
          </w:p>
          <w:p w14:paraId="4D01331F">
            <w:pPr>
              <w:spacing w:before="0" w:after="0" w:line="240" w:lineRule="auto"/>
              <w:ind w:firstLine="0"/>
              <w:jc w:val="left"/>
              <w:rPr>
                <w:kern w:val="0"/>
                <w:sz w:val="18"/>
                <w:szCs w:val="18"/>
                <w:highlight w:val="yellow"/>
              </w:rPr>
            </w:pPr>
            <w:r>
              <w:rPr>
                <w:kern w:val="0"/>
                <w:sz w:val="18"/>
                <w:szCs w:val="18"/>
                <w:highlight w:val="yellow"/>
              </w:rPr>
              <w:t>硬盘：配置≥</w:t>
            </w:r>
            <w:r>
              <w:rPr>
                <w:rFonts w:hint="eastAsia"/>
                <w:kern w:val="0"/>
                <w:sz w:val="18"/>
                <w:szCs w:val="18"/>
                <w:highlight w:val="yellow"/>
              </w:rPr>
              <w:t>4</w:t>
            </w:r>
            <w:r>
              <w:rPr>
                <w:kern w:val="0"/>
                <w:sz w:val="18"/>
                <w:szCs w:val="18"/>
                <w:highlight w:val="yellow"/>
              </w:rPr>
              <w:t>块960GB（或以上）SSD或配置≥</w:t>
            </w:r>
            <w:r>
              <w:rPr>
                <w:rFonts w:hint="eastAsia"/>
                <w:kern w:val="0"/>
                <w:sz w:val="18"/>
                <w:szCs w:val="18"/>
                <w:highlight w:val="yellow"/>
              </w:rPr>
              <w:t>4</w:t>
            </w:r>
            <w:r>
              <w:rPr>
                <w:kern w:val="0"/>
                <w:sz w:val="18"/>
                <w:szCs w:val="18"/>
                <w:highlight w:val="yellow"/>
              </w:rPr>
              <w:t>块1200GB（或以上）容量、转速10KRPM（或以上）2.5英寸SAS热插拔硬盘，SAS热交换硬盘托架≥12个；支持热插拔SAS 、SSD等；</w:t>
            </w:r>
          </w:p>
          <w:p w14:paraId="42131397">
            <w:pPr>
              <w:spacing w:before="0" w:after="0" w:line="240" w:lineRule="auto"/>
              <w:ind w:firstLine="0"/>
              <w:jc w:val="left"/>
              <w:rPr>
                <w:kern w:val="0"/>
                <w:sz w:val="18"/>
                <w:szCs w:val="18"/>
                <w:highlight w:val="yellow"/>
              </w:rPr>
            </w:pPr>
            <w:r>
              <w:rPr>
                <w:kern w:val="0"/>
                <w:sz w:val="18"/>
                <w:szCs w:val="18"/>
                <w:highlight w:val="yellow"/>
              </w:rPr>
              <w:t>阵列卡：双通道阵列卡，支持RAID0、1、5、6、10，cache≥2GB，带掉电保护功能；</w:t>
            </w:r>
          </w:p>
          <w:p w14:paraId="70E34DD6">
            <w:pPr>
              <w:spacing w:before="0" w:after="0" w:line="240" w:lineRule="auto"/>
              <w:ind w:firstLine="0"/>
              <w:jc w:val="left"/>
              <w:rPr>
                <w:kern w:val="0"/>
                <w:sz w:val="18"/>
                <w:szCs w:val="18"/>
                <w:highlight w:val="yellow"/>
              </w:rPr>
            </w:pPr>
            <w:r>
              <w:rPr>
                <w:kern w:val="0"/>
                <w:sz w:val="18"/>
                <w:szCs w:val="18"/>
                <w:highlight w:val="yellow"/>
              </w:rPr>
              <w:t>网卡：</w:t>
            </w:r>
            <w:r>
              <w:rPr>
                <w:sz w:val="18"/>
                <w:szCs w:val="18"/>
                <w:highlight w:val="yellow"/>
                <w:lang w:bidi="ar"/>
              </w:rPr>
              <w:t>配置</w:t>
            </w:r>
            <w:r>
              <w:rPr>
                <w:kern w:val="0"/>
                <w:sz w:val="18"/>
                <w:szCs w:val="18"/>
                <w:highlight w:val="yellow"/>
              </w:rPr>
              <w:t>≥</w:t>
            </w:r>
            <w:r>
              <w:rPr>
                <w:sz w:val="18"/>
                <w:szCs w:val="18"/>
                <w:highlight w:val="yellow"/>
                <w:lang w:bidi="ar"/>
              </w:rPr>
              <w:t>2*GE电口及</w:t>
            </w:r>
            <w:r>
              <w:rPr>
                <w:kern w:val="0"/>
                <w:sz w:val="18"/>
                <w:szCs w:val="18"/>
                <w:highlight w:val="yellow"/>
              </w:rPr>
              <w:t>≥</w:t>
            </w:r>
            <w:r>
              <w:rPr>
                <w:sz w:val="18"/>
                <w:szCs w:val="18"/>
                <w:highlight w:val="yellow"/>
                <w:lang w:bidi="ar"/>
              </w:rPr>
              <w:t>2*10GE光口</w:t>
            </w:r>
            <w:r>
              <w:rPr>
                <w:kern w:val="0"/>
                <w:sz w:val="18"/>
                <w:szCs w:val="18"/>
                <w:highlight w:val="yellow"/>
              </w:rPr>
              <w:t>，另配置≥2块独立的2端口万兆光网卡，满配多模光模块；</w:t>
            </w:r>
            <w:r>
              <w:rPr>
                <w:rFonts w:hint="eastAsia"/>
                <w:kern w:val="0"/>
                <w:sz w:val="18"/>
                <w:szCs w:val="18"/>
                <w:highlight w:val="yellow"/>
              </w:rPr>
              <w:t>≥2块独立的4端口10/100/1000M-BaseT以太网卡；</w:t>
            </w:r>
          </w:p>
          <w:p w14:paraId="5B2DFD9B">
            <w:pPr>
              <w:spacing w:before="0" w:after="0" w:line="240" w:lineRule="auto"/>
              <w:ind w:firstLine="0"/>
              <w:jc w:val="left"/>
              <w:rPr>
                <w:kern w:val="0"/>
                <w:sz w:val="18"/>
                <w:szCs w:val="18"/>
                <w:highlight w:val="yellow"/>
              </w:rPr>
            </w:pPr>
            <w:r>
              <w:rPr>
                <w:kern w:val="0"/>
                <w:sz w:val="18"/>
                <w:szCs w:val="18"/>
                <w:highlight w:val="yellow"/>
              </w:rPr>
              <w:t>PCI插槽：≥</w:t>
            </w:r>
            <w:r>
              <w:rPr>
                <w:rFonts w:hint="eastAsia"/>
                <w:kern w:val="0"/>
                <w:sz w:val="18"/>
                <w:szCs w:val="18"/>
                <w:highlight w:val="yellow"/>
              </w:rPr>
              <w:t>8</w:t>
            </w:r>
            <w:r>
              <w:rPr>
                <w:kern w:val="0"/>
                <w:sz w:val="18"/>
                <w:szCs w:val="18"/>
                <w:highlight w:val="yellow"/>
              </w:rPr>
              <w:t>个PCI-E 插槽；</w:t>
            </w:r>
          </w:p>
          <w:p w14:paraId="0E670EAF">
            <w:pPr>
              <w:spacing w:before="0" w:after="0" w:line="240" w:lineRule="auto"/>
              <w:ind w:firstLine="0"/>
              <w:jc w:val="left"/>
              <w:rPr>
                <w:kern w:val="0"/>
                <w:sz w:val="18"/>
                <w:szCs w:val="18"/>
                <w:highlight w:val="yellow"/>
              </w:rPr>
            </w:pPr>
            <w:r>
              <w:rPr>
                <w:kern w:val="0"/>
                <w:sz w:val="18"/>
                <w:szCs w:val="18"/>
                <w:highlight w:val="yellow"/>
              </w:rPr>
              <w:t>电源和风扇：支持热插拔冗余电源，单电源供电可正常运行，支持热插拔冗余散热风扇，电源和风扇模块要求满配；</w:t>
            </w:r>
          </w:p>
          <w:p w14:paraId="174D2821">
            <w:pPr>
              <w:spacing w:before="0" w:after="0" w:line="240" w:lineRule="auto"/>
              <w:ind w:firstLine="0"/>
              <w:jc w:val="left"/>
              <w:rPr>
                <w:kern w:val="0"/>
                <w:sz w:val="18"/>
                <w:szCs w:val="18"/>
                <w:highlight w:val="yellow"/>
              </w:rPr>
            </w:pPr>
            <w:r>
              <w:rPr>
                <w:kern w:val="0"/>
                <w:sz w:val="18"/>
                <w:szCs w:val="18"/>
                <w:highlight w:val="yellow"/>
              </w:rPr>
              <w:t>配件：原厂电源线以及其它保证设备正常运行必须的软硬件（电源线插头类型及长度应根据现场实际需要提供）。</w:t>
            </w:r>
          </w:p>
          <w:p w14:paraId="06092CCB">
            <w:pPr>
              <w:spacing w:before="0" w:after="0" w:line="240" w:lineRule="auto"/>
              <w:ind w:firstLine="0"/>
              <w:jc w:val="left"/>
              <w:rPr>
                <w:kern w:val="0"/>
                <w:sz w:val="18"/>
                <w:szCs w:val="18"/>
                <w:highlight w:val="yellow"/>
              </w:rPr>
            </w:pPr>
            <w:r>
              <w:rPr>
                <w:kern w:val="0"/>
                <w:sz w:val="18"/>
                <w:szCs w:val="18"/>
                <w:highlight w:val="yellow"/>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29082111">
            <w:pPr>
              <w:spacing w:before="0" w:after="0" w:line="240" w:lineRule="auto"/>
              <w:ind w:firstLine="0"/>
              <w:jc w:val="left"/>
              <w:rPr>
                <w:kern w:val="0"/>
                <w:sz w:val="18"/>
                <w:szCs w:val="18"/>
                <w:highlight w:val="yellow"/>
              </w:rPr>
            </w:pPr>
            <w:r>
              <w:rPr>
                <w:kern w:val="0"/>
                <w:sz w:val="18"/>
                <w:szCs w:val="18"/>
                <w:highlight w:val="yellow"/>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37E9614B">
            <w:pPr>
              <w:spacing w:before="0" w:after="0" w:line="240" w:lineRule="auto"/>
              <w:ind w:firstLine="0"/>
              <w:jc w:val="left"/>
              <w:rPr>
                <w:rFonts w:hint="eastAsia" w:ascii="宋体" w:hAnsi="宋体" w:cs="宋体"/>
                <w:kern w:val="0"/>
                <w:sz w:val="18"/>
                <w:szCs w:val="18"/>
              </w:rPr>
            </w:pPr>
            <w:r>
              <w:rPr>
                <w:kern w:val="0"/>
                <w:sz w:val="18"/>
                <w:szCs w:val="18"/>
                <w:highlight w:val="yellow"/>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5D3AFF8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44" w:hRule="atLeast"/>
        </w:trPr>
        <w:tc>
          <w:tcPr>
            <w:tcW w:w="834" w:type="dxa"/>
            <w:shd w:val="clear" w:color="000000" w:fill="FFFFFF"/>
            <w:vAlign w:val="center"/>
          </w:tcPr>
          <w:p w14:paraId="15D5BB88">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4</w:t>
            </w:r>
          </w:p>
        </w:tc>
        <w:tc>
          <w:tcPr>
            <w:tcW w:w="1438" w:type="dxa"/>
            <w:shd w:val="clear" w:color="000000" w:fill="FFFFFF"/>
            <w:vAlign w:val="center"/>
          </w:tcPr>
          <w:p w14:paraId="43881604">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highlight w:val="yellow"/>
              </w:rPr>
              <w:t>PC服务器(</w:t>
            </w:r>
            <w:r>
              <w:rPr>
                <w:rFonts w:hint="eastAsia"/>
                <w:color w:val="000000" w:themeColor="text1"/>
                <w:kern w:val="0"/>
                <w:sz w:val="18"/>
                <w:szCs w:val="18"/>
                <w:highlight w:val="yellow"/>
                <w14:textFill>
                  <w14:solidFill>
                    <w14:schemeClr w14:val="tx1"/>
                  </w14:solidFill>
                </w14:textFill>
              </w:rPr>
              <w:t>ARM架构，</w:t>
            </w:r>
            <w:r>
              <w:rPr>
                <w:rFonts w:hint="eastAsia" w:ascii="宋体" w:hAnsi="宋体" w:cs="宋体"/>
                <w:kern w:val="0"/>
                <w:sz w:val="18"/>
                <w:szCs w:val="18"/>
                <w:highlight w:val="yellow"/>
              </w:rPr>
              <w:t>一档</w:t>
            </w:r>
            <w:r>
              <w:rPr>
                <w:rFonts w:ascii="宋体" w:hAnsi="宋体" w:cs="宋体"/>
                <w:kern w:val="0"/>
                <w:sz w:val="18"/>
                <w:szCs w:val="18"/>
                <w:highlight w:val="yellow"/>
              </w:rPr>
              <w:t>2类)</w:t>
            </w:r>
          </w:p>
        </w:tc>
        <w:tc>
          <w:tcPr>
            <w:tcW w:w="6251" w:type="dxa"/>
            <w:shd w:val="clear" w:color="000000" w:fill="FFFFFF"/>
            <w:vAlign w:val="center"/>
          </w:tcPr>
          <w:p w14:paraId="56C1677A">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★安全可靠：</w:t>
            </w:r>
          </w:p>
          <w:p w14:paraId="54AB8CDC">
            <w:pPr>
              <w:spacing w:before="0" w:after="0" w:line="240" w:lineRule="auto"/>
              <w:ind w:firstLine="0"/>
              <w:jc w:val="left"/>
              <w:rPr>
                <w:rFonts w:hint="eastAsia" w:ascii="宋体" w:hAnsi="宋体" w:cs="宋体"/>
                <w:sz w:val="18"/>
                <w:szCs w:val="18"/>
                <w:lang w:bidi="ar"/>
              </w:rPr>
            </w:pPr>
            <w:r>
              <w:rPr>
                <w:rFonts w:hint="eastAsia" w:ascii="宋体" w:hAnsi="宋体" w:cs="宋体"/>
                <w:sz w:val="18"/>
                <w:szCs w:val="18"/>
                <w:lang w:bidi="ar"/>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5447B015">
            <w:pPr>
              <w:spacing w:before="0" w:after="0" w:line="240" w:lineRule="auto"/>
              <w:ind w:firstLine="0"/>
              <w:jc w:val="left"/>
              <w:rPr>
                <w:rFonts w:hint="eastAsia" w:ascii="宋体" w:hAnsi="宋体" w:cs="宋体"/>
                <w:kern w:val="0"/>
                <w:sz w:val="18"/>
                <w:szCs w:val="18"/>
              </w:rPr>
            </w:pPr>
            <w:r>
              <w:rPr>
                <w:rFonts w:hint="eastAsia" w:ascii="宋体" w:hAnsi="宋体" w:cs="宋体"/>
                <w:sz w:val="18"/>
                <w:szCs w:val="18"/>
                <w:lang w:bidi="ar"/>
              </w:rPr>
              <w:t>2）CPU、硬盘颗粒、DRAM颗粒、BMC、网卡芯片、电源模块控制芯片、raid卡等配置信息需要同时提供安全可靠芯片证明材料及承诺函（格式见附件四）。。</w:t>
            </w:r>
          </w:p>
        </w:tc>
      </w:tr>
      <w:tr w14:paraId="4C7C386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44" w:hRule="atLeast"/>
        </w:trPr>
        <w:tc>
          <w:tcPr>
            <w:tcW w:w="834" w:type="dxa"/>
            <w:shd w:val="clear" w:color="000000" w:fill="FFFFFF"/>
            <w:vAlign w:val="center"/>
          </w:tcPr>
          <w:p w14:paraId="3B68C497">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4</w:t>
            </w:r>
          </w:p>
        </w:tc>
        <w:tc>
          <w:tcPr>
            <w:tcW w:w="1438" w:type="dxa"/>
            <w:shd w:val="clear" w:color="000000" w:fill="FFFFFF"/>
            <w:vAlign w:val="center"/>
          </w:tcPr>
          <w:p w14:paraId="3D4AAEB2">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highlight w:val="yellow"/>
              </w:rPr>
              <w:t>PC服务器(</w:t>
            </w:r>
            <w:r>
              <w:rPr>
                <w:rFonts w:hint="eastAsia"/>
                <w:color w:val="000000" w:themeColor="text1"/>
                <w:kern w:val="0"/>
                <w:sz w:val="18"/>
                <w:szCs w:val="18"/>
                <w:highlight w:val="yellow"/>
                <w14:textFill>
                  <w14:solidFill>
                    <w14:schemeClr w14:val="tx1"/>
                  </w14:solidFill>
                </w14:textFill>
              </w:rPr>
              <w:t>ARM架构，</w:t>
            </w:r>
            <w:r>
              <w:rPr>
                <w:rFonts w:hint="eastAsia" w:ascii="宋体" w:hAnsi="宋体" w:cs="宋体"/>
                <w:kern w:val="0"/>
                <w:sz w:val="18"/>
                <w:szCs w:val="18"/>
                <w:highlight w:val="yellow"/>
              </w:rPr>
              <w:t>一档</w:t>
            </w:r>
            <w:r>
              <w:rPr>
                <w:rFonts w:ascii="宋体" w:hAnsi="宋体" w:cs="宋体"/>
                <w:kern w:val="0"/>
                <w:sz w:val="18"/>
                <w:szCs w:val="18"/>
                <w:highlight w:val="yellow"/>
              </w:rPr>
              <w:t>2类)</w:t>
            </w:r>
          </w:p>
        </w:tc>
        <w:tc>
          <w:tcPr>
            <w:tcW w:w="6251" w:type="dxa"/>
            <w:shd w:val="clear" w:color="000000" w:fill="FFFFFF"/>
            <w:vAlign w:val="center"/>
          </w:tcPr>
          <w:p w14:paraId="751CB455">
            <w:pPr>
              <w:spacing w:before="0" w:after="0" w:line="240" w:lineRule="auto"/>
              <w:ind w:firstLine="0"/>
              <w:jc w:val="left"/>
              <w:rPr>
                <w:kern w:val="0"/>
                <w:sz w:val="18"/>
                <w:szCs w:val="18"/>
                <w:highlight w:val="yellow"/>
              </w:rPr>
            </w:pPr>
            <w:r>
              <w:rPr>
                <w:kern w:val="0"/>
                <w:sz w:val="18"/>
                <w:szCs w:val="18"/>
                <w:highlight w:val="yellow"/>
              </w:rPr>
              <w:t>原厂商产品（非OEM），性能不低于以下要求：</w:t>
            </w:r>
          </w:p>
          <w:p w14:paraId="693F20A1">
            <w:pPr>
              <w:spacing w:before="0" w:after="0" w:line="240" w:lineRule="auto"/>
              <w:ind w:firstLine="0"/>
              <w:jc w:val="left"/>
              <w:rPr>
                <w:kern w:val="0"/>
                <w:sz w:val="18"/>
                <w:szCs w:val="18"/>
                <w:highlight w:val="yellow"/>
              </w:rPr>
            </w:pPr>
            <w:r>
              <w:rPr>
                <w:kern w:val="0"/>
                <w:sz w:val="18"/>
                <w:szCs w:val="18"/>
                <w:highlight w:val="yellow"/>
              </w:rPr>
              <w:t>高度≤</w:t>
            </w:r>
            <w:r>
              <w:rPr>
                <w:rFonts w:hint="eastAsia"/>
                <w:kern w:val="0"/>
                <w:sz w:val="18"/>
                <w:szCs w:val="18"/>
                <w:highlight w:val="yellow"/>
              </w:rPr>
              <w:t>2</w:t>
            </w:r>
            <w:r>
              <w:rPr>
                <w:kern w:val="0"/>
                <w:sz w:val="18"/>
                <w:szCs w:val="18"/>
                <w:highlight w:val="yellow"/>
              </w:rPr>
              <w:t>U，标准机柜安装，含机架安装套件，带安装导轨等；</w:t>
            </w:r>
          </w:p>
          <w:p w14:paraId="35D3B527">
            <w:pPr>
              <w:spacing w:before="0" w:after="0" w:line="240" w:lineRule="auto"/>
              <w:ind w:firstLine="0"/>
              <w:jc w:val="left"/>
              <w:rPr>
                <w:kern w:val="0"/>
                <w:sz w:val="18"/>
                <w:szCs w:val="18"/>
                <w:highlight w:val="yellow"/>
              </w:rPr>
            </w:pPr>
            <w:r>
              <w:rPr>
                <w:kern w:val="0"/>
                <w:sz w:val="18"/>
                <w:szCs w:val="18"/>
                <w:highlight w:val="yellow"/>
              </w:rPr>
              <w:t>CPU：≥2颗服务器处理器，</w:t>
            </w:r>
            <w:r>
              <w:rPr>
                <w:rFonts w:hint="eastAsia"/>
                <w:kern w:val="0"/>
                <w:sz w:val="18"/>
                <w:szCs w:val="18"/>
                <w:highlight w:val="yellow"/>
              </w:rPr>
              <w:t>ARM架构，</w:t>
            </w:r>
            <w:r>
              <w:rPr>
                <w:kern w:val="0"/>
                <w:sz w:val="18"/>
                <w:szCs w:val="18"/>
                <w:highlight w:val="yellow"/>
              </w:rPr>
              <w:t>总核数≥</w:t>
            </w:r>
            <w:r>
              <w:rPr>
                <w:rFonts w:hint="eastAsia"/>
                <w:kern w:val="0"/>
                <w:sz w:val="18"/>
                <w:szCs w:val="18"/>
                <w:highlight w:val="yellow"/>
              </w:rPr>
              <w:t>64</w:t>
            </w:r>
            <w:r>
              <w:rPr>
                <w:kern w:val="0"/>
                <w:sz w:val="18"/>
                <w:szCs w:val="18"/>
                <w:highlight w:val="yellow"/>
              </w:rPr>
              <w:t>核，支持超线程，原始主频≥</w:t>
            </w:r>
            <w:r>
              <w:rPr>
                <w:color w:val="FF0000"/>
                <w:kern w:val="0"/>
                <w:sz w:val="18"/>
                <w:szCs w:val="18"/>
                <w:highlight w:val="yellow"/>
              </w:rPr>
              <w:t>2.</w:t>
            </w:r>
            <w:r>
              <w:rPr>
                <w:rFonts w:hint="eastAsia"/>
                <w:color w:val="FF0000"/>
                <w:kern w:val="0"/>
                <w:sz w:val="18"/>
                <w:szCs w:val="18"/>
                <w:highlight w:val="yellow"/>
              </w:rPr>
              <w:t>1</w:t>
            </w:r>
            <w:r>
              <w:rPr>
                <w:color w:val="FF0000"/>
                <w:kern w:val="0"/>
                <w:sz w:val="18"/>
                <w:szCs w:val="18"/>
                <w:highlight w:val="yellow"/>
              </w:rPr>
              <w:t>GHz</w:t>
            </w:r>
            <w:r>
              <w:rPr>
                <w:kern w:val="0"/>
                <w:sz w:val="18"/>
                <w:szCs w:val="18"/>
                <w:highlight w:val="yellow"/>
              </w:rPr>
              <w:t>，CPU芯片需通过安全可靠测评，其安全可靠测评等级不得低于I级，详情可从中国信息安全测评中心（www.itsec.gov.cn）和国家保密科技测评中心（www.nsstec.org.cn）网站查询。</w:t>
            </w:r>
          </w:p>
          <w:p w14:paraId="15D96BE4">
            <w:pPr>
              <w:spacing w:before="0" w:after="0" w:line="240" w:lineRule="auto"/>
              <w:ind w:firstLine="0"/>
              <w:jc w:val="left"/>
              <w:rPr>
                <w:kern w:val="0"/>
                <w:sz w:val="18"/>
                <w:szCs w:val="18"/>
                <w:highlight w:val="yellow"/>
              </w:rPr>
            </w:pPr>
            <w:r>
              <w:rPr>
                <w:kern w:val="0"/>
                <w:sz w:val="18"/>
                <w:szCs w:val="18"/>
                <w:highlight w:val="yellow"/>
              </w:rPr>
              <w:t>内存：当前配置≥256GB DDR</w:t>
            </w:r>
            <w:r>
              <w:rPr>
                <w:rFonts w:hint="eastAsia"/>
                <w:kern w:val="0"/>
                <w:sz w:val="18"/>
                <w:szCs w:val="18"/>
                <w:highlight w:val="yellow"/>
              </w:rPr>
              <w:t>5</w:t>
            </w:r>
            <w:r>
              <w:rPr>
                <w:rFonts w:hint="eastAsia"/>
                <w:kern w:val="0"/>
                <w:sz w:val="18"/>
                <w:szCs w:val="18"/>
                <w:highlight w:val="yellow"/>
                <w:lang w:eastAsia="zh-CN"/>
              </w:rPr>
              <w:t>，</w:t>
            </w:r>
            <w:r>
              <w:rPr>
                <w:kern w:val="0"/>
                <w:sz w:val="18"/>
                <w:szCs w:val="18"/>
                <w:highlight w:val="yellow"/>
              </w:rPr>
              <w:t>单条内存≥32GB；</w:t>
            </w:r>
          </w:p>
          <w:p w14:paraId="510CD1AF">
            <w:pPr>
              <w:spacing w:before="0" w:after="0" w:line="240" w:lineRule="auto"/>
              <w:ind w:firstLine="0"/>
              <w:jc w:val="left"/>
              <w:rPr>
                <w:kern w:val="0"/>
                <w:sz w:val="18"/>
                <w:szCs w:val="18"/>
                <w:highlight w:val="yellow"/>
              </w:rPr>
            </w:pPr>
            <w:r>
              <w:rPr>
                <w:kern w:val="0"/>
                <w:sz w:val="18"/>
                <w:szCs w:val="18"/>
                <w:highlight w:val="yellow"/>
              </w:rPr>
              <w:t>硬盘：配置≥</w:t>
            </w:r>
            <w:r>
              <w:rPr>
                <w:rFonts w:hint="eastAsia"/>
                <w:kern w:val="0"/>
                <w:sz w:val="18"/>
                <w:szCs w:val="18"/>
                <w:highlight w:val="yellow"/>
              </w:rPr>
              <w:t>4</w:t>
            </w:r>
            <w:r>
              <w:rPr>
                <w:kern w:val="0"/>
                <w:sz w:val="18"/>
                <w:szCs w:val="18"/>
                <w:highlight w:val="yellow"/>
              </w:rPr>
              <w:t>块960GB（或以上）SSD或配置≥</w:t>
            </w:r>
            <w:r>
              <w:rPr>
                <w:rFonts w:hint="eastAsia"/>
                <w:kern w:val="0"/>
                <w:sz w:val="18"/>
                <w:szCs w:val="18"/>
                <w:highlight w:val="yellow"/>
              </w:rPr>
              <w:t>4</w:t>
            </w:r>
            <w:r>
              <w:rPr>
                <w:kern w:val="0"/>
                <w:sz w:val="18"/>
                <w:szCs w:val="18"/>
                <w:highlight w:val="yellow"/>
              </w:rPr>
              <w:t>块1200GB（或以上）容量、转速10KRPM（或以上）2.5英寸SAS热插拔硬盘，SAS热交换硬盘托架≥12个；支持热插拔SAS 、SSD等；</w:t>
            </w:r>
          </w:p>
          <w:p w14:paraId="73D507D4">
            <w:pPr>
              <w:spacing w:before="0" w:after="0" w:line="240" w:lineRule="auto"/>
              <w:ind w:firstLine="0"/>
              <w:jc w:val="left"/>
              <w:rPr>
                <w:kern w:val="0"/>
                <w:sz w:val="18"/>
                <w:szCs w:val="18"/>
                <w:highlight w:val="yellow"/>
              </w:rPr>
            </w:pPr>
            <w:r>
              <w:rPr>
                <w:kern w:val="0"/>
                <w:sz w:val="18"/>
                <w:szCs w:val="18"/>
                <w:highlight w:val="yellow"/>
              </w:rPr>
              <w:t>阵列卡：双通道阵列卡，支持RAID0、1、5、6、10，cache≥2GB，带掉电保护功能；</w:t>
            </w:r>
          </w:p>
          <w:p w14:paraId="4E9A4760">
            <w:pPr>
              <w:spacing w:before="0" w:after="0" w:line="240" w:lineRule="auto"/>
              <w:ind w:firstLine="0"/>
              <w:jc w:val="left"/>
              <w:rPr>
                <w:kern w:val="0"/>
                <w:sz w:val="18"/>
                <w:szCs w:val="18"/>
                <w:highlight w:val="yellow"/>
              </w:rPr>
            </w:pPr>
            <w:r>
              <w:rPr>
                <w:kern w:val="0"/>
                <w:sz w:val="18"/>
                <w:szCs w:val="18"/>
                <w:highlight w:val="yellow"/>
              </w:rPr>
              <w:t>网卡：</w:t>
            </w:r>
            <w:r>
              <w:rPr>
                <w:sz w:val="18"/>
                <w:szCs w:val="18"/>
                <w:highlight w:val="yellow"/>
                <w:lang w:bidi="ar"/>
              </w:rPr>
              <w:t>配置</w:t>
            </w:r>
            <w:r>
              <w:rPr>
                <w:kern w:val="0"/>
                <w:sz w:val="18"/>
                <w:szCs w:val="18"/>
                <w:highlight w:val="yellow"/>
              </w:rPr>
              <w:t>≥</w:t>
            </w:r>
            <w:r>
              <w:rPr>
                <w:sz w:val="18"/>
                <w:szCs w:val="18"/>
                <w:highlight w:val="yellow"/>
                <w:lang w:bidi="ar"/>
              </w:rPr>
              <w:t>2*GE电口及</w:t>
            </w:r>
            <w:r>
              <w:rPr>
                <w:kern w:val="0"/>
                <w:sz w:val="18"/>
                <w:szCs w:val="18"/>
                <w:highlight w:val="yellow"/>
              </w:rPr>
              <w:t>≥</w:t>
            </w:r>
            <w:r>
              <w:rPr>
                <w:sz w:val="18"/>
                <w:szCs w:val="18"/>
                <w:highlight w:val="yellow"/>
                <w:lang w:bidi="ar"/>
              </w:rPr>
              <w:t>2*10GE光口</w:t>
            </w:r>
            <w:r>
              <w:rPr>
                <w:kern w:val="0"/>
                <w:sz w:val="18"/>
                <w:szCs w:val="18"/>
                <w:highlight w:val="yellow"/>
              </w:rPr>
              <w:t>，另配置≥2块独立的2端口万兆光网卡，满配多模光模块；</w:t>
            </w:r>
            <w:r>
              <w:rPr>
                <w:rFonts w:hint="eastAsia"/>
                <w:kern w:val="0"/>
                <w:sz w:val="18"/>
                <w:szCs w:val="18"/>
                <w:highlight w:val="yellow"/>
              </w:rPr>
              <w:t>≥2块独立的4端口10/100/1000M-BaseT以太网卡；</w:t>
            </w:r>
          </w:p>
          <w:p w14:paraId="0FB1155B">
            <w:pPr>
              <w:spacing w:before="0" w:after="0" w:line="240" w:lineRule="auto"/>
              <w:ind w:firstLine="0"/>
              <w:jc w:val="left"/>
              <w:rPr>
                <w:kern w:val="0"/>
                <w:sz w:val="18"/>
                <w:szCs w:val="18"/>
                <w:highlight w:val="yellow"/>
              </w:rPr>
            </w:pPr>
            <w:r>
              <w:rPr>
                <w:kern w:val="0"/>
                <w:sz w:val="18"/>
                <w:szCs w:val="18"/>
                <w:highlight w:val="yellow"/>
              </w:rPr>
              <w:t>PCI插槽：≥</w:t>
            </w:r>
            <w:r>
              <w:rPr>
                <w:rFonts w:hint="eastAsia"/>
                <w:kern w:val="0"/>
                <w:sz w:val="18"/>
                <w:szCs w:val="18"/>
                <w:highlight w:val="yellow"/>
              </w:rPr>
              <w:t>8</w:t>
            </w:r>
            <w:r>
              <w:rPr>
                <w:kern w:val="0"/>
                <w:sz w:val="18"/>
                <w:szCs w:val="18"/>
                <w:highlight w:val="yellow"/>
              </w:rPr>
              <w:t>个PCI-E 插槽；</w:t>
            </w:r>
          </w:p>
          <w:p w14:paraId="178CF19E">
            <w:pPr>
              <w:spacing w:before="0" w:after="0" w:line="240" w:lineRule="auto"/>
              <w:ind w:firstLine="0"/>
              <w:jc w:val="left"/>
              <w:rPr>
                <w:kern w:val="0"/>
                <w:sz w:val="18"/>
                <w:szCs w:val="18"/>
                <w:highlight w:val="yellow"/>
              </w:rPr>
            </w:pPr>
            <w:r>
              <w:rPr>
                <w:kern w:val="0"/>
                <w:sz w:val="18"/>
                <w:szCs w:val="18"/>
                <w:highlight w:val="yellow"/>
              </w:rPr>
              <w:t>电源和风扇：支持热插拔冗余电源，单电源供电可正常运行，支持热插拔冗余散热风扇，电源和风扇模块要求满配；</w:t>
            </w:r>
          </w:p>
          <w:p w14:paraId="3ABF5F14">
            <w:pPr>
              <w:spacing w:before="0" w:after="0" w:line="240" w:lineRule="auto"/>
              <w:ind w:firstLine="0"/>
              <w:jc w:val="left"/>
              <w:rPr>
                <w:kern w:val="0"/>
                <w:sz w:val="18"/>
                <w:szCs w:val="18"/>
                <w:highlight w:val="yellow"/>
              </w:rPr>
            </w:pPr>
            <w:r>
              <w:rPr>
                <w:kern w:val="0"/>
                <w:sz w:val="18"/>
                <w:szCs w:val="18"/>
                <w:highlight w:val="yellow"/>
              </w:rPr>
              <w:t>配件：原厂电源线以及其它保证设备正常运行必须的软硬件（电源线插头类型及长度应根据现场实际需要提供）。</w:t>
            </w:r>
          </w:p>
          <w:p w14:paraId="5AAF5942">
            <w:pPr>
              <w:spacing w:before="0" w:after="0" w:line="240" w:lineRule="auto"/>
              <w:ind w:firstLine="0"/>
              <w:jc w:val="left"/>
              <w:rPr>
                <w:kern w:val="0"/>
                <w:sz w:val="18"/>
                <w:szCs w:val="18"/>
                <w:highlight w:val="yellow"/>
              </w:rPr>
            </w:pPr>
            <w:r>
              <w:rPr>
                <w:kern w:val="0"/>
                <w:sz w:val="18"/>
                <w:szCs w:val="18"/>
                <w:highlight w:val="yellow"/>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14000E66">
            <w:pPr>
              <w:spacing w:before="0" w:after="0" w:line="240" w:lineRule="auto"/>
              <w:ind w:firstLine="0"/>
              <w:jc w:val="left"/>
              <w:rPr>
                <w:kern w:val="0"/>
                <w:sz w:val="18"/>
                <w:szCs w:val="18"/>
                <w:highlight w:val="yellow"/>
              </w:rPr>
            </w:pPr>
            <w:r>
              <w:rPr>
                <w:kern w:val="0"/>
                <w:sz w:val="18"/>
                <w:szCs w:val="18"/>
                <w:highlight w:val="yellow"/>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6135153A">
            <w:pPr>
              <w:spacing w:before="0" w:after="0" w:line="240" w:lineRule="auto"/>
              <w:ind w:firstLine="0"/>
              <w:jc w:val="left"/>
              <w:rPr>
                <w:rFonts w:hint="eastAsia" w:ascii="宋体" w:hAnsi="宋体" w:cs="宋体"/>
                <w:kern w:val="0"/>
                <w:sz w:val="18"/>
                <w:szCs w:val="18"/>
              </w:rPr>
            </w:pPr>
            <w:r>
              <w:rPr>
                <w:kern w:val="0"/>
                <w:sz w:val="18"/>
                <w:szCs w:val="18"/>
                <w:highlight w:val="yellow"/>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4E36FBC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15" w:hRule="atLeast"/>
        </w:trPr>
        <w:tc>
          <w:tcPr>
            <w:tcW w:w="834" w:type="dxa"/>
            <w:shd w:val="clear" w:color="000000" w:fill="FFFFFF"/>
            <w:vAlign w:val="center"/>
          </w:tcPr>
          <w:p w14:paraId="548D65B8">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5</w:t>
            </w:r>
          </w:p>
        </w:tc>
        <w:tc>
          <w:tcPr>
            <w:tcW w:w="1438" w:type="dxa"/>
            <w:shd w:val="clear" w:color="000000" w:fill="FFFFFF"/>
            <w:vAlign w:val="center"/>
          </w:tcPr>
          <w:p w14:paraId="4F841F8E">
            <w:pPr>
              <w:spacing w:before="0" w:after="0" w:line="240" w:lineRule="auto"/>
              <w:ind w:firstLine="0"/>
              <w:jc w:val="center"/>
              <w:rPr>
                <w:rFonts w:hint="eastAsia" w:ascii="宋体" w:hAnsi="宋体" w:cs="宋体"/>
                <w:kern w:val="0"/>
                <w:sz w:val="18"/>
                <w:szCs w:val="18"/>
                <w:highlight w:val="yellow"/>
              </w:rPr>
            </w:pPr>
            <w:r>
              <w:rPr>
                <w:rFonts w:ascii="宋体" w:hAnsi="宋体" w:cs="宋体"/>
                <w:kern w:val="0"/>
                <w:sz w:val="18"/>
                <w:szCs w:val="18"/>
                <w:highlight w:val="yellow"/>
              </w:rPr>
              <w:t>PC服务器(</w:t>
            </w:r>
            <w:r>
              <w:rPr>
                <w:rFonts w:hint="eastAsia"/>
                <w:kern w:val="0"/>
                <w:sz w:val="18"/>
                <w:szCs w:val="18"/>
                <w:highlight w:val="yellow"/>
              </w:rPr>
              <w:t>x86架构，</w:t>
            </w:r>
            <w:r>
              <w:rPr>
                <w:rFonts w:hint="eastAsia" w:ascii="宋体" w:hAnsi="宋体" w:cs="宋体"/>
                <w:kern w:val="0"/>
                <w:sz w:val="18"/>
                <w:szCs w:val="18"/>
                <w:highlight w:val="yellow"/>
              </w:rPr>
              <w:t>二档</w:t>
            </w:r>
            <w:r>
              <w:rPr>
                <w:rFonts w:ascii="宋体" w:hAnsi="宋体" w:cs="宋体"/>
                <w:kern w:val="0"/>
                <w:sz w:val="18"/>
                <w:szCs w:val="18"/>
                <w:highlight w:val="yellow"/>
              </w:rPr>
              <w:t>)</w:t>
            </w:r>
          </w:p>
        </w:tc>
        <w:tc>
          <w:tcPr>
            <w:tcW w:w="6251" w:type="dxa"/>
            <w:shd w:val="clear" w:color="000000" w:fill="FFFFFF"/>
            <w:vAlign w:val="center"/>
          </w:tcPr>
          <w:p w14:paraId="1ABB7104">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23EB658B">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18A35D17">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7728B9F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15" w:hRule="atLeast"/>
        </w:trPr>
        <w:tc>
          <w:tcPr>
            <w:tcW w:w="834" w:type="dxa"/>
            <w:shd w:val="clear" w:color="000000" w:fill="FFFFFF"/>
            <w:vAlign w:val="center"/>
          </w:tcPr>
          <w:p w14:paraId="2E667CAE">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5</w:t>
            </w:r>
          </w:p>
        </w:tc>
        <w:tc>
          <w:tcPr>
            <w:tcW w:w="1438" w:type="dxa"/>
            <w:shd w:val="clear" w:color="000000" w:fill="FFFFFF"/>
            <w:vAlign w:val="center"/>
          </w:tcPr>
          <w:p w14:paraId="2CC9E233">
            <w:pPr>
              <w:spacing w:before="0" w:after="0" w:line="240" w:lineRule="auto"/>
              <w:ind w:firstLine="0"/>
              <w:jc w:val="center"/>
              <w:rPr>
                <w:rFonts w:hint="eastAsia" w:ascii="宋体" w:hAnsi="宋体" w:cs="宋体"/>
                <w:color w:val="EE0000"/>
                <w:kern w:val="0"/>
                <w:sz w:val="18"/>
                <w:szCs w:val="18"/>
                <w:highlight w:val="yellow"/>
              </w:rPr>
            </w:pPr>
            <w:r>
              <w:rPr>
                <w:rFonts w:ascii="宋体" w:hAnsi="宋体" w:cs="宋体"/>
                <w:color w:val="EE0000"/>
                <w:kern w:val="0"/>
                <w:sz w:val="18"/>
                <w:szCs w:val="18"/>
                <w:highlight w:val="yellow"/>
              </w:rPr>
              <w:t>PC服务器(</w:t>
            </w:r>
            <w:r>
              <w:rPr>
                <w:rFonts w:hint="eastAsia"/>
                <w:color w:val="EE0000"/>
                <w:kern w:val="0"/>
                <w:sz w:val="18"/>
                <w:szCs w:val="18"/>
                <w:highlight w:val="yellow"/>
              </w:rPr>
              <w:t>x86架构，</w:t>
            </w:r>
            <w:r>
              <w:rPr>
                <w:rFonts w:hint="eastAsia" w:ascii="宋体" w:hAnsi="宋体" w:cs="宋体"/>
                <w:color w:val="EE0000"/>
                <w:kern w:val="0"/>
                <w:sz w:val="18"/>
                <w:szCs w:val="18"/>
                <w:highlight w:val="yellow"/>
              </w:rPr>
              <w:t>二档</w:t>
            </w:r>
            <w:r>
              <w:rPr>
                <w:rFonts w:ascii="宋体" w:hAnsi="宋体" w:cs="宋体"/>
                <w:color w:val="EE0000"/>
                <w:kern w:val="0"/>
                <w:sz w:val="18"/>
                <w:szCs w:val="18"/>
                <w:highlight w:val="yellow"/>
              </w:rPr>
              <w:t>)</w:t>
            </w:r>
          </w:p>
        </w:tc>
        <w:tc>
          <w:tcPr>
            <w:tcW w:w="6251" w:type="dxa"/>
            <w:shd w:val="clear" w:color="000000" w:fill="FFFFFF"/>
            <w:vAlign w:val="center"/>
          </w:tcPr>
          <w:p w14:paraId="57F780D6">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原厂商产品（非OEM），性能不低于以下要求：</w:t>
            </w:r>
          </w:p>
          <w:p w14:paraId="4D16886E">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高度≤2U，标准机柜安装，含机架安装套件，带安装导轨等；</w:t>
            </w:r>
          </w:p>
          <w:p w14:paraId="747CB302">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CPU：≥2颗服务器处理器，</w:t>
            </w:r>
            <w:r>
              <w:rPr>
                <w:rFonts w:hint="eastAsia"/>
                <w:color w:val="000000" w:themeColor="text1"/>
                <w:kern w:val="0"/>
                <w:sz w:val="18"/>
                <w:szCs w:val="18"/>
                <w:highlight w:val="yellow"/>
                <w14:textFill>
                  <w14:solidFill>
                    <w14:schemeClr w14:val="tx1"/>
                  </w14:solidFill>
                </w14:textFill>
              </w:rPr>
              <w:t>x86架构，</w:t>
            </w:r>
            <w:r>
              <w:rPr>
                <w:color w:val="000000" w:themeColor="text1"/>
                <w:kern w:val="0"/>
                <w:sz w:val="18"/>
                <w:szCs w:val="18"/>
                <w:highlight w:val="yellow"/>
                <w14:textFill>
                  <w14:solidFill>
                    <w14:schemeClr w14:val="tx1"/>
                  </w14:solidFill>
                </w14:textFill>
              </w:rPr>
              <w:t>总核数≥</w:t>
            </w:r>
            <w:r>
              <w:rPr>
                <w:rFonts w:hint="eastAsia"/>
                <w:color w:val="000000" w:themeColor="text1"/>
                <w:kern w:val="0"/>
                <w:sz w:val="18"/>
                <w:szCs w:val="18"/>
                <w:highlight w:val="yellow"/>
                <w14:textFill>
                  <w14:solidFill>
                    <w14:schemeClr w14:val="tx1"/>
                  </w14:solidFill>
                </w14:textFill>
              </w:rPr>
              <w:t>48</w:t>
            </w:r>
            <w:r>
              <w:rPr>
                <w:color w:val="000000" w:themeColor="text1"/>
                <w:kern w:val="0"/>
                <w:sz w:val="18"/>
                <w:szCs w:val="18"/>
                <w:highlight w:val="yellow"/>
                <w14:textFill>
                  <w14:solidFill>
                    <w14:schemeClr w14:val="tx1"/>
                  </w14:solidFill>
                </w14:textFill>
              </w:rPr>
              <w:t>核，支持超线程，原始主频</w:t>
            </w:r>
            <w:r>
              <w:rPr>
                <w:color w:val="FF0000"/>
                <w:kern w:val="0"/>
                <w:sz w:val="18"/>
                <w:szCs w:val="18"/>
                <w:highlight w:val="yellow"/>
              </w:rPr>
              <w:t>≥2.</w:t>
            </w:r>
            <w:r>
              <w:rPr>
                <w:rFonts w:hint="eastAsia"/>
                <w:color w:val="FF0000"/>
                <w:kern w:val="0"/>
                <w:sz w:val="18"/>
                <w:szCs w:val="18"/>
                <w:highlight w:val="yellow"/>
              </w:rPr>
              <w:t>3</w:t>
            </w:r>
            <w:r>
              <w:rPr>
                <w:color w:val="FF0000"/>
                <w:kern w:val="0"/>
                <w:sz w:val="18"/>
                <w:szCs w:val="18"/>
                <w:highlight w:val="yellow"/>
              </w:rPr>
              <w:t>GHz</w:t>
            </w:r>
            <w:r>
              <w:rPr>
                <w:color w:val="000000" w:themeColor="text1"/>
                <w:kern w:val="0"/>
                <w:sz w:val="18"/>
                <w:szCs w:val="18"/>
                <w:highlight w:val="yellow"/>
                <w14:textFill>
                  <w14:solidFill>
                    <w14:schemeClr w14:val="tx1"/>
                  </w14:solidFill>
                </w14:textFill>
              </w:rPr>
              <w:t>，CPU芯片需通过安全可靠测评，其安全可靠测评等级不得低于I级，详情可从中国信息安全测评中心（www.itsec.gov.cn）和国家保密科技测评中心（www.nsstec.org.cn）网站查询。</w:t>
            </w:r>
          </w:p>
          <w:p w14:paraId="6EEC45C4">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内存：当前配置≥256GB DDR</w:t>
            </w:r>
            <w:r>
              <w:rPr>
                <w:rFonts w:hint="eastAsia"/>
                <w:color w:val="000000" w:themeColor="text1"/>
                <w:kern w:val="0"/>
                <w:sz w:val="18"/>
                <w:szCs w:val="18"/>
                <w:highlight w:val="yellow"/>
                <w14:textFill>
                  <w14:solidFill>
                    <w14:schemeClr w14:val="tx1"/>
                  </w14:solidFill>
                </w14:textFill>
              </w:rPr>
              <w:t>5</w:t>
            </w:r>
            <w:r>
              <w:rPr>
                <w:rFonts w:hint="eastAsia"/>
                <w:color w:val="000000" w:themeColor="text1"/>
                <w:kern w:val="0"/>
                <w:sz w:val="18"/>
                <w:szCs w:val="18"/>
                <w:highlight w:val="yellow"/>
                <w:lang w:eastAsia="zh-CN"/>
                <w14:textFill>
                  <w14:solidFill>
                    <w14:schemeClr w14:val="tx1"/>
                  </w14:solidFill>
                </w14:textFill>
              </w:rPr>
              <w:t>，</w:t>
            </w:r>
            <w:r>
              <w:rPr>
                <w:color w:val="000000" w:themeColor="text1"/>
                <w:kern w:val="0"/>
                <w:sz w:val="18"/>
                <w:szCs w:val="18"/>
                <w:highlight w:val="yellow"/>
                <w14:textFill>
                  <w14:solidFill>
                    <w14:schemeClr w14:val="tx1"/>
                  </w14:solidFill>
                </w14:textFill>
              </w:rPr>
              <w:t>单条内存≥32GB</w:t>
            </w:r>
            <w:r>
              <w:rPr>
                <w:rFonts w:hint="eastAsia"/>
                <w:color w:val="000000" w:themeColor="text1"/>
                <w:kern w:val="0"/>
                <w:sz w:val="18"/>
                <w:szCs w:val="18"/>
                <w:highlight w:val="yellow"/>
                <w:lang w:eastAsia="zh-CN"/>
                <w14:textFill>
                  <w14:solidFill>
                    <w14:schemeClr w14:val="tx1"/>
                  </w14:solidFill>
                </w14:textFill>
              </w:rPr>
              <w:t>，</w:t>
            </w:r>
            <w:r>
              <w:rPr>
                <w:color w:val="000000" w:themeColor="text1"/>
                <w:kern w:val="0"/>
                <w:sz w:val="18"/>
                <w:szCs w:val="18"/>
                <w:highlight w:val="none"/>
                <w14:textFill>
                  <w14:solidFill>
                    <w14:schemeClr w14:val="tx1"/>
                  </w14:solidFill>
                </w14:textFill>
              </w:rPr>
              <w:t>最大可配置≥2TB</w:t>
            </w:r>
            <w:r>
              <w:rPr>
                <w:color w:val="000000" w:themeColor="text1"/>
                <w:kern w:val="0"/>
                <w:sz w:val="18"/>
                <w:szCs w:val="18"/>
                <w:highlight w:val="yellow"/>
                <w14:textFill>
                  <w14:solidFill>
                    <w14:schemeClr w14:val="tx1"/>
                  </w14:solidFill>
                </w14:textFill>
              </w:rPr>
              <w:t>；</w:t>
            </w:r>
          </w:p>
          <w:p w14:paraId="793D5BB9">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硬盘：配置≥</w:t>
            </w:r>
            <w:r>
              <w:rPr>
                <w:rFonts w:hint="eastAsia"/>
                <w:color w:val="000000" w:themeColor="text1"/>
                <w:kern w:val="0"/>
                <w:sz w:val="18"/>
                <w:szCs w:val="18"/>
                <w:highlight w:val="yellow"/>
                <w14:textFill>
                  <w14:solidFill>
                    <w14:schemeClr w14:val="tx1"/>
                  </w14:solidFill>
                </w14:textFill>
              </w:rPr>
              <w:t>4</w:t>
            </w:r>
            <w:r>
              <w:rPr>
                <w:color w:val="000000" w:themeColor="text1"/>
                <w:kern w:val="0"/>
                <w:sz w:val="18"/>
                <w:szCs w:val="18"/>
                <w:highlight w:val="yellow"/>
                <w14:textFill>
                  <w14:solidFill>
                    <w14:schemeClr w14:val="tx1"/>
                  </w14:solidFill>
                </w14:textFill>
              </w:rPr>
              <w:t>块960GB（或以上）SSD或配置≥</w:t>
            </w:r>
            <w:r>
              <w:rPr>
                <w:rFonts w:hint="eastAsia"/>
                <w:color w:val="000000" w:themeColor="text1"/>
                <w:kern w:val="0"/>
                <w:sz w:val="18"/>
                <w:szCs w:val="18"/>
                <w:highlight w:val="yellow"/>
                <w14:textFill>
                  <w14:solidFill>
                    <w14:schemeClr w14:val="tx1"/>
                  </w14:solidFill>
                </w14:textFill>
              </w:rPr>
              <w:t>4</w:t>
            </w:r>
            <w:r>
              <w:rPr>
                <w:color w:val="000000" w:themeColor="text1"/>
                <w:kern w:val="0"/>
                <w:sz w:val="18"/>
                <w:szCs w:val="18"/>
                <w:highlight w:val="yellow"/>
                <w14:textFill>
                  <w14:solidFill>
                    <w14:schemeClr w14:val="tx1"/>
                  </w14:solidFill>
                </w14:textFill>
              </w:rPr>
              <w:t>块1200GB（或以上）容量、转速10KRPM（或以上）2.5英寸SAS热插拔硬盘，SAS热交换硬盘托架≥12个；支持热插拔SAS 、NLSAS、NLSATA硬盘、SSD；</w:t>
            </w:r>
          </w:p>
          <w:p w14:paraId="41F4BB39">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阵列卡：双通道阵列卡，支持RAID0、1、5、6、10，cache≥2GB，带掉电保护功能；</w:t>
            </w:r>
          </w:p>
          <w:p w14:paraId="64BF4CA7">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网卡：</w:t>
            </w:r>
            <w:r>
              <w:rPr>
                <w:color w:val="000000" w:themeColor="text1"/>
                <w:sz w:val="18"/>
                <w:szCs w:val="18"/>
                <w:highlight w:val="yellow"/>
                <w:lang w:bidi="ar"/>
                <w14:textFill>
                  <w14:solidFill>
                    <w14:schemeClr w14:val="tx1"/>
                  </w14:solidFill>
                </w14:textFill>
              </w:rPr>
              <w:t>配置</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2*GE电口及</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2*10GE光口</w:t>
            </w:r>
            <w:r>
              <w:rPr>
                <w:color w:val="000000" w:themeColor="text1"/>
                <w:kern w:val="0"/>
                <w:sz w:val="18"/>
                <w:szCs w:val="18"/>
                <w:highlight w:val="yellow"/>
                <w14:textFill>
                  <w14:solidFill>
                    <w14:schemeClr w14:val="tx1"/>
                  </w14:solidFill>
                </w14:textFill>
              </w:rPr>
              <w:t>，另配置≥2块独立的2端口万兆光网卡，满配多模光模块；</w:t>
            </w:r>
            <w:r>
              <w:rPr>
                <w:rFonts w:hint="eastAsia"/>
                <w:color w:val="000000" w:themeColor="text1"/>
                <w:kern w:val="0"/>
                <w:sz w:val="18"/>
                <w:szCs w:val="18"/>
                <w:highlight w:val="yellow"/>
                <w14:textFill>
                  <w14:solidFill>
                    <w14:schemeClr w14:val="tx1"/>
                  </w14:solidFill>
                </w14:textFill>
              </w:rPr>
              <w:t>≥2块独立的4端口10/100/1000M-BaseT以太网卡；</w:t>
            </w:r>
          </w:p>
          <w:p w14:paraId="19EC7F6F">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PCI插槽：≥</w:t>
            </w:r>
            <w:r>
              <w:rPr>
                <w:rFonts w:hint="eastAsia"/>
                <w:color w:val="000000" w:themeColor="text1"/>
                <w:kern w:val="0"/>
                <w:sz w:val="18"/>
                <w:szCs w:val="18"/>
                <w:highlight w:val="yellow"/>
                <w14:textFill>
                  <w14:solidFill>
                    <w14:schemeClr w14:val="tx1"/>
                  </w14:solidFill>
                </w14:textFill>
              </w:rPr>
              <w:t>8</w:t>
            </w:r>
            <w:r>
              <w:rPr>
                <w:color w:val="000000" w:themeColor="text1"/>
                <w:kern w:val="0"/>
                <w:sz w:val="18"/>
                <w:szCs w:val="18"/>
                <w:highlight w:val="yellow"/>
                <w14:textFill>
                  <w14:solidFill>
                    <w14:schemeClr w14:val="tx1"/>
                  </w14:solidFill>
                </w14:textFill>
              </w:rPr>
              <w:t>个PCI-E 插槽；</w:t>
            </w:r>
          </w:p>
          <w:p w14:paraId="20E173D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电源和风扇：支持热插拔冗余电源，单电源供电可正常运行，支持热插拔冗余散热风扇，电源和风扇模块要求满配；</w:t>
            </w:r>
          </w:p>
          <w:p w14:paraId="50D7720C">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配件：原厂电源线以及其它保证设备正常运行必须的软硬件（电源线插头类型及长度应根据现场实际需要提供）；</w:t>
            </w:r>
          </w:p>
          <w:p w14:paraId="743F123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32AAE2B5">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60C8170A">
            <w:pPr>
              <w:spacing w:before="0" w:after="0" w:line="240" w:lineRule="auto"/>
              <w:ind w:firstLine="0"/>
              <w:jc w:val="left"/>
              <w:rPr>
                <w:rFonts w:hint="eastAsia" w:ascii="宋体" w:hAnsi="宋体" w:cs="宋体"/>
                <w:color w:val="EE0000"/>
                <w:kern w:val="0"/>
                <w:sz w:val="18"/>
                <w:szCs w:val="18"/>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3323EAE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15" w:hRule="atLeast"/>
        </w:trPr>
        <w:tc>
          <w:tcPr>
            <w:tcW w:w="834" w:type="dxa"/>
            <w:shd w:val="clear" w:color="000000" w:fill="FFFFFF"/>
            <w:vAlign w:val="center"/>
          </w:tcPr>
          <w:p w14:paraId="70722E2F">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6</w:t>
            </w:r>
          </w:p>
        </w:tc>
        <w:tc>
          <w:tcPr>
            <w:tcW w:w="1438" w:type="dxa"/>
            <w:shd w:val="clear" w:color="000000" w:fill="FFFFFF"/>
            <w:vAlign w:val="center"/>
          </w:tcPr>
          <w:p w14:paraId="6762C6F8">
            <w:pPr>
              <w:spacing w:before="0" w:after="0" w:line="240" w:lineRule="auto"/>
              <w:ind w:firstLine="0"/>
              <w:jc w:val="center"/>
              <w:rPr>
                <w:rFonts w:hint="eastAsia" w:ascii="宋体" w:hAnsi="宋体" w:cs="宋体"/>
                <w:color w:val="EE0000"/>
                <w:kern w:val="0"/>
                <w:sz w:val="18"/>
                <w:szCs w:val="18"/>
                <w:highlight w:val="yellow"/>
              </w:rPr>
            </w:pPr>
            <w:r>
              <w:rPr>
                <w:rFonts w:ascii="宋体" w:hAnsi="宋体" w:cs="宋体"/>
                <w:kern w:val="0"/>
                <w:sz w:val="18"/>
                <w:szCs w:val="18"/>
                <w:highlight w:val="yellow"/>
              </w:rPr>
              <w:t>PC服务器(</w:t>
            </w:r>
            <w:r>
              <w:rPr>
                <w:rFonts w:hint="eastAsia"/>
                <w:kern w:val="0"/>
                <w:sz w:val="18"/>
                <w:szCs w:val="18"/>
                <w:highlight w:val="yellow"/>
              </w:rPr>
              <w:t>ARM架构，</w:t>
            </w:r>
            <w:r>
              <w:rPr>
                <w:rFonts w:hint="eastAsia" w:ascii="宋体" w:hAnsi="宋体" w:cs="宋体"/>
                <w:kern w:val="0"/>
                <w:sz w:val="18"/>
                <w:szCs w:val="18"/>
                <w:highlight w:val="yellow"/>
              </w:rPr>
              <w:t>二档</w:t>
            </w:r>
            <w:r>
              <w:rPr>
                <w:rFonts w:ascii="宋体" w:hAnsi="宋体" w:cs="宋体"/>
                <w:kern w:val="0"/>
                <w:sz w:val="18"/>
                <w:szCs w:val="18"/>
                <w:highlight w:val="yellow"/>
              </w:rPr>
              <w:t>)</w:t>
            </w:r>
          </w:p>
        </w:tc>
        <w:tc>
          <w:tcPr>
            <w:tcW w:w="6251" w:type="dxa"/>
            <w:shd w:val="clear" w:color="000000" w:fill="FFFFFF"/>
            <w:vAlign w:val="center"/>
          </w:tcPr>
          <w:p w14:paraId="537808B6">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3EF3082E">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0C8DB34B">
            <w:pPr>
              <w:spacing w:before="0" w:after="0" w:line="240" w:lineRule="auto"/>
              <w:ind w:firstLine="0"/>
              <w:jc w:val="left"/>
              <w:rPr>
                <w:color w:val="EE0000"/>
                <w:kern w:val="0"/>
                <w:sz w:val="18"/>
                <w:szCs w:val="18"/>
              </w:rPr>
            </w:pPr>
            <w:r>
              <w:rPr>
                <w:rFonts w:hint="eastAsia" w:ascii="宋体" w:hAnsi="宋体" w:cs="宋体"/>
                <w:kern w:val="0"/>
                <w:sz w:val="18"/>
                <w:szCs w:val="18"/>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407C155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15" w:hRule="atLeast"/>
        </w:trPr>
        <w:tc>
          <w:tcPr>
            <w:tcW w:w="834" w:type="dxa"/>
            <w:shd w:val="clear" w:color="000000" w:fill="FFFFFF"/>
            <w:vAlign w:val="center"/>
          </w:tcPr>
          <w:p w14:paraId="03F7BBFF">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6</w:t>
            </w:r>
          </w:p>
        </w:tc>
        <w:tc>
          <w:tcPr>
            <w:tcW w:w="1438" w:type="dxa"/>
            <w:shd w:val="clear" w:color="000000" w:fill="FFFFFF"/>
            <w:vAlign w:val="center"/>
          </w:tcPr>
          <w:p w14:paraId="51F3E6D3">
            <w:pPr>
              <w:spacing w:before="0" w:after="0" w:line="240" w:lineRule="auto"/>
              <w:ind w:firstLine="0"/>
              <w:jc w:val="center"/>
              <w:rPr>
                <w:rFonts w:hint="eastAsia" w:ascii="宋体" w:hAnsi="宋体" w:cs="宋体"/>
                <w:color w:val="EE0000"/>
                <w:kern w:val="0"/>
                <w:sz w:val="18"/>
                <w:szCs w:val="18"/>
                <w:highlight w:val="yellow"/>
              </w:rPr>
            </w:pPr>
            <w:r>
              <w:rPr>
                <w:rFonts w:ascii="宋体" w:hAnsi="宋体" w:cs="宋体"/>
                <w:color w:val="EE0000"/>
                <w:kern w:val="0"/>
                <w:sz w:val="18"/>
                <w:szCs w:val="18"/>
                <w:highlight w:val="yellow"/>
              </w:rPr>
              <w:t>PC服务器(</w:t>
            </w:r>
            <w:r>
              <w:rPr>
                <w:rFonts w:hint="eastAsia"/>
                <w:color w:val="EE0000"/>
                <w:kern w:val="0"/>
                <w:sz w:val="18"/>
                <w:szCs w:val="18"/>
                <w:highlight w:val="yellow"/>
              </w:rPr>
              <w:t>ARM架构，</w:t>
            </w:r>
            <w:r>
              <w:rPr>
                <w:rFonts w:hint="eastAsia" w:ascii="宋体" w:hAnsi="宋体" w:cs="宋体"/>
                <w:color w:val="EE0000"/>
                <w:kern w:val="0"/>
                <w:sz w:val="18"/>
                <w:szCs w:val="18"/>
                <w:highlight w:val="yellow"/>
              </w:rPr>
              <w:t>二档</w:t>
            </w:r>
            <w:r>
              <w:rPr>
                <w:rFonts w:ascii="宋体" w:hAnsi="宋体" w:cs="宋体"/>
                <w:color w:val="EE0000"/>
                <w:kern w:val="0"/>
                <w:sz w:val="18"/>
                <w:szCs w:val="18"/>
                <w:highlight w:val="yellow"/>
              </w:rPr>
              <w:t>)</w:t>
            </w:r>
          </w:p>
        </w:tc>
        <w:tc>
          <w:tcPr>
            <w:tcW w:w="6251" w:type="dxa"/>
            <w:shd w:val="clear" w:color="000000" w:fill="FFFFFF"/>
            <w:vAlign w:val="center"/>
          </w:tcPr>
          <w:p w14:paraId="14EB078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原厂商产品（非OEM），性能不低于以下要求：</w:t>
            </w:r>
          </w:p>
          <w:p w14:paraId="178D1FA3">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高度≤2U，标准机柜安装，含机架安装套件，带安装导轨等；</w:t>
            </w:r>
          </w:p>
          <w:p w14:paraId="1C037646">
            <w:pPr>
              <w:spacing w:before="0" w:after="0" w:line="240" w:lineRule="auto"/>
              <w:ind w:firstLine="0"/>
              <w:jc w:val="left"/>
              <w:rPr>
                <w:color w:val="FF0000"/>
                <w:kern w:val="0"/>
                <w:sz w:val="18"/>
                <w:szCs w:val="18"/>
                <w:highlight w:val="yellow"/>
              </w:rPr>
            </w:pPr>
            <w:r>
              <w:rPr>
                <w:color w:val="000000" w:themeColor="text1"/>
                <w:kern w:val="0"/>
                <w:sz w:val="18"/>
                <w:szCs w:val="18"/>
                <w:highlight w:val="yellow"/>
                <w14:textFill>
                  <w14:solidFill>
                    <w14:schemeClr w14:val="tx1"/>
                  </w14:solidFill>
                </w14:textFill>
              </w:rPr>
              <w:t>CPU：≥2颗服务器处理器，</w:t>
            </w:r>
            <w:r>
              <w:rPr>
                <w:rFonts w:hint="eastAsia"/>
                <w:color w:val="000000" w:themeColor="text1"/>
                <w:kern w:val="0"/>
                <w:sz w:val="18"/>
                <w:szCs w:val="18"/>
                <w:highlight w:val="yellow"/>
                <w14:textFill>
                  <w14:solidFill>
                    <w14:schemeClr w14:val="tx1"/>
                  </w14:solidFill>
                </w14:textFill>
              </w:rPr>
              <w:t>ARM架构，</w:t>
            </w:r>
            <w:r>
              <w:rPr>
                <w:color w:val="000000" w:themeColor="text1"/>
                <w:kern w:val="0"/>
                <w:sz w:val="18"/>
                <w:szCs w:val="18"/>
                <w:highlight w:val="yellow"/>
                <w14:textFill>
                  <w14:solidFill>
                    <w14:schemeClr w14:val="tx1"/>
                  </w14:solidFill>
                </w14:textFill>
              </w:rPr>
              <w:t>总核数≥</w:t>
            </w:r>
            <w:r>
              <w:rPr>
                <w:rFonts w:hint="eastAsia"/>
                <w:color w:val="000000" w:themeColor="text1"/>
                <w:kern w:val="0"/>
                <w:sz w:val="18"/>
                <w:szCs w:val="18"/>
                <w:highlight w:val="yellow"/>
                <w14:textFill>
                  <w14:solidFill>
                    <w14:schemeClr w14:val="tx1"/>
                  </w14:solidFill>
                </w14:textFill>
              </w:rPr>
              <w:t>48</w:t>
            </w:r>
            <w:r>
              <w:rPr>
                <w:color w:val="000000" w:themeColor="text1"/>
                <w:kern w:val="0"/>
                <w:sz w:val="18"/>
                <w:szCs w:val="18"/>
                <w:highlight w:val="yellow"/>
                <w14:textFill>
                  <w14:solidFill>
                    <w14:schemeClr w14:val="tx1"/>
                  </w14:solidFill>
                </w14:textFill>
              </w:rPr>
              <w:t>核，支持超线程，原始主频</w:t>
            </w:r>
            <w:r>
              <w:rPr>
                <w:color w:val="FF0000"/>
                <w:kern w:val="0"/>
                <w:sz w:val="18"/>
                <w:szCs w:val="18"/>
                <w:highlight w:val="yellow"/>
              </w:rPr>
              <w:t>≥2.</w:t>
            </w:r>
            <w:r>
              <w:rPr>
                <w:rFonts w:hint="eastAsia"/>
                <w:color w:val="FF0000"/>
                <w:kern w:val="0"/>
                <w:sz w:val="18"/>
                <w:szCs w:val="18"/>
                <w:highlight w:val="yellow"/>
              </w:rPr>
              <w:t>3</w:t>
            </w:r>
            <w:r>
              <w:rPr>
                <w:color w:val="FF0000"/>
                <w:kern w:val="0"/>
                <w:sz w:val="18"/>
                <w:szCs w:val="18"/>
                <w:highlight w:val="yellow"/>
              </w:rPr>
              <w:t>GHz</w:t>
            </w:r>
            <w:r>
              <w:rPr>
                <w:color w:val="000000" w:themeColor="text1"/>
                <w:kern w:val="0"/>
                <w:sz w:val="18"/>
                <w:szCs w:val="18"/>
                <w:highlight w:val="yellow"/>
                <w14:textFill>
                  <w14:solidFill>
                    <w14:schemeClr w14:val="tx1"/>
                  </w14:solidFill>
                </w14:textFill>
              </w:rPr>
              <w:t>，CPU芯片需通过安全可靠测评，其安全可靠测评等级不得低于I级，详情可从中国信息安全测评中心（www.itsec.gov.cn）和国家保密科技测评中心（www.nsstec.org.cn）网站</w:t>
            </w:r>
            <w:r>
              <w:rPr>
                <w:color w:val="FF0000"/>
                <w:kern w:val="0"/>
                <w:sz w:val="18"/>
                <w:szCs w:val="18"/>
                <w:highlight w:val="yellow"/>
              </w:rPr>
              <w:t>查询。</w:t>
            </w:r>
          </w:p>
          <w:p w14:paraId="4BDD2EE6">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FF0000"/>
                <w:kern w:val="0"/>
                <w:sz w:val="18"/>
                <w:szCs w:val="18"/>
                <w:highlight w:val="yellow"/>
              </w:rPr>
              <w:t>内存：当前配置≥256GB DDR</w:t>
            </w:r>
            <w:r>
              <w:rPr>
                <w:rFonts w:hint="eastAsia"/>
                <w:color w:val="FF0000"/>
                <w:kern w:val="0"/>
                <w:sz w:val="18"/>
                <w:szCs w:val="18"/>
                <w:highlight w:val="yellow"/>
              </w:rPr>
              <w:t>5</w:t>
            </w:r>
            <w:r>
              <w:rPr>
                <w:color w:val="000000" w:themeColor="text1"/>
                <w:kern w:val="0"/>
                <w:sz w:val="18"/>
                <w:szCs w:val="18"/>
                <w:highlight w:val="yellow"/>
                <w14:textFill>
                  <w14:solidFill>
                    <w14:schemeClr w14:val="tx1"/>
                  </w14:solidFill>
                </w14:textFill>
              </w:rPr>
              <w:t>,单条内存≥32GB</w:t>
            </w:r>
            <w:r>
              <w:rPr>
                <w:rFonts w:hint="eastAsia"/>
                <w:color w:val="000000" w:themeColor="text1"/>
                <w:kern w:val="0"/>
                <w:sz w:val="18"/>
                <w:szCs w:val="18"/>
                <w:highlight w:val="yellow"/>
                <w:lang w:eastAsia="zh-CN"/>
                <w14:textFill>
                  <w14:solidFill>
                    <w14:schemeClr w14:val="tx1"/>
                  </w14:solidFill>
                </w14:textFill>
              </w:rPr>
              <w:t>，</w:t>
            </w:r>
            <w:r>
              <w:rPr>
                <w:color w:val="000000" w:themeColor="text1"/>
                <w:kern w:val="0"/>
                <w:sz w:val="18"/>
                <w:szCs w:val="18"/>
                <w:highlight w:val="none"/>
                <w14:textFill>
                  <w14:solidFill>
                    <w14:schemeClr w14:val="tx1"/>
                  </w14:solidFill>
                </w14:textFill>
              </w:rPr>
              <w:t>最大可配置≥2TB</w:t>
            </w:r>
            <w:r>
              <w:rPr>
                <w:color w:val="000000" w:themeColor="text1"/>
                <w:kern w:val="0"/>
                <w:sz w:val="18"/>
                <w:szCs w:val="18"/>
                <w:highlight w:val="yellow"/>
                <w14:textFill>
                  <w14:solidFill>
                    <w14:schemeClr w14:val="tx1"/>
                  </w14:solidFill>
                </w14:textFill>
              </w:rPr>
              <w:t>；</w:t>
            </w:r>
          </w:p>
          <w:p w14:paraId="7F5D14BA">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硬盘：配置≥</w:t>
            </w:r>
            <w:r>
              <w:rPr>
                <w:rFonts w:hint="eastAsia"/>
                <w:color w:val="000000" w:themeColor="text1"/>
                <w:kern w:val="0"/>
                <w:sz w:val="18"/>
                <w:szCs w:val="18"/>
                <w:highlight w:val="yellow"/>
                <w14:textFill>
                  <w14:solidFill>
                    <w14:schemeClr w14:val="tx1"/>
                  </w14:solidFill>
                </w14:textFill>
              </w:rPr>
              <w:t>4</w:t>
            </w:r>
            <w:r>
              <w:rPr>
                <w:color w:val="000000" w:themeColor="text1"/>
                <w:kern w:val="0"/>
                <w:sz w:val="18"/>
                <w:szCs w:val="18"/>
                <w:highlight w:val="yellow"/>
                <w14:textFill>
                  <w14:solidFill>
                    <w14:schemeClr w14:val="tx1"/>
                  </w14:solidFill>
                </w14:textFill>
              </w:rPr>
              <w:t>块960GB（或以上）SSD或配置≥</w:t>
            </w:r>
            <w:r>
              <w:rPr>
                <w:rFonts w:hint="eastAsia"/>
                <w:color w:val="000000" w:themeColor="text1"/>
                <w:kern w:val="0"/>
                <w:sz w:val="18"/>
                <w:szCs w:val="18"/>
                <w:highlight w:val="yellow"/>
                <w14:textFill>
                  <w14:solidFill>
                    <w14:schemeClr w14:val="tx1"/>
                  </w14:solidFill>
                </w14:textFill>
              </w:rPr>
              <w:t>4</w:t>
            </w:r>
            <w:r>
              <w:rPr>
                <w:color w:val="000000" w:themeColor="text1"/>
                <w:kern w:val="0"/>
                <w:sz w:val="18"/>
                <w:szCs w:val="18"/>
                <w:highlight w:val="yellow"/>
                <w14:textFill>
                  <w14:solidFill>
                    <w14:schemeClr w14:val="tx1"/>
                  </w14:solidFill>
                </w14:textFill>
              </w:rPr>
              <w:t>块1200GB（或以上）容量、转速10KRPM（或以上）2.5英寸SAS热插拔硬盘，SAS热交换硬盘托架≥12个；支持热插拔SAS 、NLSAS、NLSATA硬盘、SSD；</w:t>
            </w:r>
          </w:p>
          <w:p w14:paraId="30F1285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阵列卡：双通道阵列卡，支持RAID0、1、5、6、10，cache≥2GB，带掉电保护功能；</w:t>
            </w:r>
          </w:p>
          <w:p w14:paraId="2EA58CB7">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网卡：</w:t>
            </w:r>
            <w:r>
              <w:rPr>
                <w:color w:val="000000" w:themeColor="text1"/>
                <w:sz w:val="18"/>
                <w:szCs w:val="18"/>
                <w:highlight w:val="yellow"/>
                <w:lang w:bidi="ar"/>
                <w14:textFill>
                  <w14:solidFill>
                    <w14:schemeClr w14:val="tx1"/>
                  </w14:solidFill>
                </w14:textFill>
              </w:rPr>
              <w:t>配置</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2*GE电口及</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2*10GE光口</w:t>
            </w:r>
            <w:r>
              <w:rPr>
                <w:color w:val="000000" w:themeColor="text1"/>
                <w:kern w:val="0"/>
                <w:sz w:val="18"/>
                <w:szCs w:val="18"/>
                <w:highlight w:val="yellow"/>
                <w14:textFill>
                  <w14:solidFill>
                    <w14:schemeClr w14:val="tx1"/>
                  </w14:solidFill>
                </w14:textFill>
              </w:rPr>
              <w:t>，另配置≥2块独立的2端口万兆光网卡，满配多模光模块；</w:t>
            </w:r>
            <w:r>
              <w:rPr>
                <w:rFonts w:hint="eastAsia"/>
                <w:color w:val="000000" w:themeColor="text1"/>
                <w:kern w:val="0"/>
                <w:sz w:val="18"/>
                <w:szCs w:val="18"/>
                <w:highlight w:val="yellow"/>
                <w14:textFill>
                  <w14:solidFill>
                    <w14:schemeClr w14:val="tx1"/>
                  </w14:solidFill>
                </w14:textFill>
              </w:rPr>
              <w:t>≥2块独立的4端口10/100/1000M-BaseT以太网卡；</w:t>
            </w:r>
          </w:p>
          <w:p w14:paraId="20140CA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PCI插槽：≥</w:t>
            </w:r>
            <w:r>
              <w:rPr>
                <w:rFonts w:hint="eastAsia"/>
                <w:color w:val="000000" w:themeColor="text1"/>
                <w:kern w:val="0"/>
                <w:sz w:val="18"/>
                <w:szCs w:val="18"/>
                <w:highlight w:val="yellow"/>
                <w14:textFill>
                  <w14:solidFill>
                    <w14:schemeClr w14:val="tx1"/>
                  </w14:solidFill>
                </w14:textFill>
              </w:rPr>
              <w:t>8</w:t>
            </w:r>
            <w:r>
              <w:rPr>
                <w:color w:val="000000" w:themeColor="text1"/>
                <w:kern w:val="0"/>
                <w:sz w:val="18"/>
                <w:szCs w:val="18"/>
                <w:highlight w:val="yellow"/>
                <w14:textFill>
                  <w14:solidFill>
                    <w14:schemeClr w14:val="tx1"/>
                  </w14:solidFill>
                </w14:textFill>
              </w:rPr>
              <w:t>个PCI-E 插槽；</w:t>
            </w:r>
          </w:p>
          <w:p w14:paraId="3C36BAD6">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电源和风扇：支持热插拔冗余电源，单电源供电可正常运行，支持热插拔冗余散热风扇，电源和风扇模块要求满配；</w:t>
            </w:r>
          </w:p>
          <w:p w14:paraId="19D16C9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配件：原厂电源线以及其它保证设备正常运行必须的软硬件（电源线插头类型及长度应根据现场实际需要提供）；</w:t>
            </w:r>
          </w:p>
          <w:p w14:paraId="12403002">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437E6AF5">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63DA159D">
            <w:pPr>
              <w:spacing w:before="0" w:after="0" w:line="240" w:lineRule="auto"/>
              <w:ind w:firstLine="0"/>
              <w:jc w:val="left"/>
              <w:rPr>
                <w:color w:val="EE0000"/>
                <w:kern w:val="0"/>
                <w:sz w:val="18"/>
                <w:szCs w:val="18"/>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3734AF7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628" w:hRule="atLeast"/>
        </w:trPr>
        <w:tc>
          <w:tcPr>
            <w:tcW w:w="834" w:type="dxa"/>
            <w:shd w:val="clear" w:color="000000" w:fill="FFFFFF"/>
            <w:vAlign w:val="center"/>
          </w:tcPr>
          <w:p w14:paraId="734C1E6B">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7</w:t>
            </w:r>
          </w:p>
        </w:tc>
        <w:tc>
          <w:tcPr>
            <w:tcW w:w="1438" w:type="dxa"/>
            <w:shd w:val="clear" w:color="000000" w:fill="FFFFFF"/>
            <w:vAlign w:val="center"/>
          </w:tcPr>
          <w:p w14:paraId="4A37F152">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PC服务器(</w:t>
            </w:r>
            <w:r>
              <w:rPr>
                <w:rFonts w:hint="eastAsia"/>
                <w:kern w:val="0"/>
                <w:sz w:val="18"/>
                <w:szCs w:val="18"/>
              </w:rPr>
              <w:t>x86架构，</w:t>
            </w:r>
            <w:r>
              <w:rPr>
                <w:rFonts w:hint="eastAsia" w:ascii="宋体" w:hAnsi="宋体" w:cs="宋体"/>
                <w:kern w:val="0"/>
                <w:sz w:val="18"/>
                <w:szCs w:val="18"/>
              </w:rPr>
              <w:t>三档</w:t>
            </w:r>
            <w:r>
              <w:rPr>
                <w:rFonts w:ascii="宋体" w:hAnsi="宋体" w:cs="宋体"/>
                <w:kern w:val="0"/>
                <w:sz w:val="18"/>
                <w:szCs w:val="18"/>
              </w:rPr>
              <w:t>)</w:t>
            </w:r>
          </w:p>
        </w:tc>
        <w:tc>
          <w:tcPr>
            <w:tcW w:w="6251" w:type="dxa"/>
            <w:shd w:val="clear" w:color="000000" w:fill="FFFFFF"/>
            <w:vAlign w:val="center"/>
          </w:tcPr>
          <w:p w14:paraId="5F31B9C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11B09263">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3DEC8EF2">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68CD35C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628" w:hRule="atLeast"/>
        </w:trPr>
        <w:tc>
          <w:tcPr>
            <w:tcW w:w="834" w:type="dxa"/>
            <w:shd w:val="clear" w:color="000000" w:fill="FFFFFF"/>
            <w:vAlign w:val="center"/>
          </w:tcPr>
          <w:p w14:paraId="7B3CEC27">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7</w:t>
            </w:r>
          </w:p>
        </w:tc>
        <w:tc>
          <w:tcPr>
            <w:tcW w:w="1438" w:type="dxa"/>
            <w:shd w:val="clear" w:color="000000" w:fill="FFFFFF"/>
            <w:vAlign w:val="center"/>
          </w:tcPr>
          <w:p w14:paraId="6B3C98A4">
            <w:pPr>
              <w:spacing w:before="0" w:after="0" w:line="240" w:lineRule="auto"/>
              <w:ind w:firstLine="0"/>
              <w:jc w:val="center"/>
              <w:rPr>
                <w:rFonts w:hint="eastAsia" w:ascii="宋体" w:hAnsi="宋体" w:cs="宋体"/>
                <w:color w:val="EE0000"/>
                <w:kern w:val="0"/>
                <w:sz w:val="18"/>
                <w:szCs w:val="18"/>
              </w:rPr>
            </w:pPr>
            <w:r>
              <w:rPr>
                <w:rFonts w:ascii="宋体" w:hAnsi="宋体" w:cs="宋体"/>
                <w:color w:val="EE0000"/>
                <w:kern w:val="0"/>
                <w:sz w:val="18"/>
                <w:szCs w:val="18"/>
              </w:rPr>
              <w:t>PC服务器(</w:t>
            </w:r>
            <w:r>
              <w:rPr>
                <w:rFonts w:hint="eastAsia"/>
                <w:color w:val="EE0000"/>
                <w:kern w:val="0"/>
                <w:sz w:val="18"/>
                <w:szCs w:val="18"/>
              </w:rPr>
              <w:t>x86架构，</w:t>
            </w:r>
            <w:r>
              <w:rPr>
                <w:rFonts w:hint="eastAsia" w:ascii="宋体" w:hAnsi="宋体" w:cs="宋体"/>
                <w:color w:val="EE0000"/>
                <w:kern w:val="0"/>
                <w:sz w:val="18"/>
                <w:szCs w:val="18"/>
              </w:rPr>
              <w:t>三档</w:t>
            </w:r>
            <w:r>
              <w:rPr>
                <w:rFonts w:ascii="宋体" w:hAnsi="宋体" w:cs="宋体"/>
                <w:color w:val="EE0000"/>
                <w:kern w:val="0"/>
                <w:sz w:val="18"/>
                <w:szCs w:val="18"/>
              </w:rPr>
              <w:t>)</w:t>
            </w:r>
          </w:p>
        </w:tc>
        <w:tc>
          <w:tcPr>
            <w:tcW w:w="6251" w:type="dxa"/>
            <w:shd w:val="clear" w:color="000000" w:fill="FFFFFF"/>
            <w:vAlign w:val="center"/>
          </w:tcPr>
          <w:p w14:paraId="0EB8AAD1">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原厂商产品（非OEM），性能不低于以下要求：</w:t>
            </w:r>
          </w:p>
          <w:p w14:paraId="5D7DC24E">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高度≤2U，标准机柜安装，含机架安装套件，带安装导轨等；</w:t>
            </w:r>
          </w:p>
          <w:p w14:paraId="3C9414E2">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CPU：≥2颗服务器处理器，</w:t>
            </w:r>
            <w:r>
              <w:rPr>
                <w:rFonts w:hint="eastAsia"/>
                <w:color w:val="000000" w:themeColor="text1"/>
                <w:kern w:val="0"/>
                <w:sz w:val="18"/>
                <w:szCs w:val="18"/>
                <w:highlight w:val="yellow"/>
                <w14:textFill>
                  <w14:solidFill>
                    <w14:schemeClr w14:val="tx1"/>
                  </w14:solidFill>
                </w14:textFill>
              </w:rPr>
              <w:t>x86架构，</w:t>
            </w:r>
            <w:r>
              <w:rPr>
                <w:color w:val="000000" w:themeColor="text1"/>
                <w:kern w:val="0"/>
                <w:sz w:val="18"/>
                <w:szCs w:val="18"/>
                <w:highlight w:val="yellow"/>
                <w14:textFill>
                  <w14:solidFill>
                    <w14:schemeClr w14:val="tx1"/>
                  </w14:solidFill>
                </w14:textFill>
              </w:rPr>
              <w:t>总核数≥32核，支持超线程，原始主频</w:t>
            </w:r>
            <w:r>
              <w:rPr>
                <w:color w:val="FF0000"/>
                <w:kern w:val="0"/>
                <w:sz w:val="18"/>
                <w:szCs w:val="18"/>
                <w:highlight w:val="yellow"/>
              </w:rPr>
              <w:t>≥2.</w:t>
            </w:r>
            <w:r>
              <w:rPr>
                <w:rFonts w:hint="eastAsia"/>
                <w:color w:val="FF0000"/>
                <w:kern w:val="0"/>
                <w:sz w:val="18"/>
                <w:szCs w:val="18"/>
                <w:highlight w:val="yellow"/>
              </w:rPr>
              <w:t>4</w:t>
            </w:r>
            <w:r>
              <w:rPr>
                <w:color w:val="FF0000"/>
                <w:kern w:val="0"/>
                <w:sz w:val="18"/>
                <w:szCs w:val="18"/>
                <w:highlight w:val="yellow"/>
              </w:rPr>
              <w:t>GH</w:t>
            </w:r>
            <w:r>
              <w:rPr>
                <w:color w:val="000000" w:themeColor="text1"/>
                <w:kern w:val="0"/>
                <w:sz w:val="18"/>
                <w:szCs w:val="18"/>
                <w:highlight w:val="yellow"/>
                <w14:textFill>
                  <w14:solidFill>
                    <w14:schemeClr w14:val="tx1"/>
                  </w14:solidFill>
                </w14:textFill>
              </w:rPr>
              <w:t>z，CPU芯片需通过安全可靠测评，其安全可靠测评等级不得低于I级，详情可从中国信息安全测评中心（www.itsec.gov.cn）和国家保密科技测评中心（www.nsstec.org.cn）网站查询。</w:t>
            </w:r>
          </w:p>
          <w:p w14:paraId="17F2072F">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内存：当前配置≥128GB DDR</w:t>
            </w:r>
            <w:r>
              <w:rPr>
                <w:rFonts w:hint="eastAsia"/>
                <w:color w:val="000000" w:themeColor="text1"/>
                <w:kern w:val="0"/>
                <w:sz w:val="18"/>
                <w:szCs w:val="18"/>
                <w:highlight w:val="yellow"/>
                <w14:textFill>
                  <w14:solidFill>
                    <w14:schemeClr w14:val="tx1"/>
                  </w14:solidFill>
                </w14:textFill>
              </w:rPr>
              <w:t>5</w:t>
            </w:r>
            <w:r>
              <w:rPr>
                <w:color w:val="000000" w:themeColor="text1"/>
                <w:kern w:val="0"/>
                <w:sz w:val="18"/>
                <w:szCs w:val="18"/>
                <w:highlight w:val="yellow"/>
                <w14:textFill>
                  <w14:solidFill>
                    <w14:schemeClr w14:val="tx1"/>
                  </w14:solidFill>
                </w14:textFill>
              </w:rPr>
              <w:t>,单条内存≥32GB</w:t>
            </w:r>
            <w:r>
              <w:rPr>
                <w:color w:val="000000" w:themeColor="text1"/>
                <w:kern w:val="0"/>
                <w:sz w:val="18"/>
                <w:szCs w:val="18"/>
                <w:highlight w:val="none"/>
                <w14:textFill>
                  <w14:solidFill>
                    <w14:schemeClr w14:val="tx1"/>
                  </w14:solidFill>
                </w14:textFill>
              </w:rPr>
              <w:t>，最大可配置≥1TB</w:t>
            </w:r>
            <w:r>
              <w:rPr>
                <w:color w:val="000000" w:themeColor="text1"/>
                <w:kern w:val="0"/>
                <w:sz w:val="18"/>
                <w:szCs w:val="18"/>
                <w:highlight w:val="yellow"/>
                <w14:textFill>
                  <w14:solidFill>
                    <w14:schemeClr w14:val="tx1"/>
                  </w14:solidFill>
                </w14:textFill>
              </w:rPr>
              <w:t>；</w:t>
            </w:r>
          </w:p>
          <w:p w14:paraId="3B0A4AD3">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硬盘：配置≥4块960GB（或以上）SSD或配置≥4块1200GB （或以上）容量、转速10KRPM（或以上）2.5英寸SAS热插拔硬盘，SAS热交换硬盘托架≥12个；支持热插拔SAS 、SSD等；</w:t>
            </w:r>
          </w:p>
          <w:p w14:paraId="14E555B3">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阵列卡：双通道阵列卡，支持RAID0、1、5、6、10，cache≥2GB，带掉电保护功能；</w:t>
            </w:r>
          </w:p>
          <w:p w14:paraId="3D156DB9">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网卡：</w:t>
            </w:r>
            <w:r>
              <w:rPr>
                <w:color w:val="000000" w:themeColor="text1"/>
                <w:sz w:val="18"/>
                <w:szCs w:val="18"/>
                <w:highlight w:val="yellow"/>
                <w:lang w:bidi="ar"/>
                <w14:textFill>
                  <w14:solidFill>
                    <w14:schemeClr w14:val="tx1"/>
                  </w14:solidFill>
                </w14:textFill>
              </w:rPr>
              <w:t>配置</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2*GE电口及</w:t>
            </w:r>
            <w:r>
              <w:rPr>
                <w:color w:val="000000" w:themeColor="text1"/>
                <w:kern w:val="0"/>
                <w:sz w:val="18"/>
                <w:szCs w:val="18"/>
                <w:highlight w:val="yellow"/>
                <w14:textFill>
                  <w14:solidFill>
                    <w14:schemeClr w14:val="tx1"/>
                  </w14:solidFill>
                </w14:textFill>
              </w:rPr>
              <w:t>≥2</w:t>
            </w:r>
            <w:r>
              <w:rPr>
                <w:color w:val="000000" w:themeColor="text1"/>
                <w:sz w:val="18"/>
                <w:szCs w:val="18"/>
                <w:highlight w:val="yellow"/>
                <w:lang w:bidi="ar"/>
                <w14:textFill>
                  <w14:solidFill>
                    <w14:schemeClr w14:val="tx1"/>
                  </w14:solidFill>
                </w14:textFill>
              </w:rPr>
              <w:t>*10GE光口</w:t>
            </w:r>
            <w:r>
              <w:rPr>
                <w:color w:val="000000" w:themeColor="text1"/>
                <w:kern w:val="0"/>
                <w:sz w:val="18"/>
                <w:szCs w:val="18"/>
                <w:highlight w:val="yellow"/>
                <w14:textFill>
                  <w14:solidFill>
                    <w14:schemeClr w14:val="tx1"/>
                  </w14:solidFill>
                </w14:textFill>
              </w:rPr>
              <w:t>，另配置≥2块独立的2端口万兆光网卡，满配多模光模块；</w:t>
            </w:r>
            <w:r>
              <w:rPr>
                <w:rFonts w:hint="eastAsia"/>
                <w:color w:val="000000" w:themeColor="text1"/>
                <w:kern w:val="0"/>
                <w:sz w:val="18"/>
                <w:szCs w:val="18"/>
                <w:highlight w:val="yellow"/>
                <w14:textFill>
                  <w14:solidFill>
                    <w14:schemeClr w14:val="tx1"/>
                  </w14:solidFill>
                </w14:textFill>
              </w:rPr>
              <w:t>≥2块独立的4端口10/100/1000M-BaseT以太网卡；</w:t>
            </w:r>
          </w:p>
          <w:p w14:paraId="7A1F26CC">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PCI插槽：≥</w:t>
            </w:r>
            <w:r>
              <w:rPr>
                <w:rFonts w:hint="eastAsia"/>
                <w:color w:val="000000" w:themeColor="text1"/>
                <w:kern w:val="0"/>
                <w:sz w:val="18"/>
                <w:szCs w:val="18"/>
                <w:highlight w:val="yellow"/>
                <w14:textFill>
                  <w14:solidFill>
                    <w14:schemeClr w14:val="tx1"/>
                  </w14:solidFill>
                </w14:textFill>
              </w:rPr>
              <w:t>8</w:t>
            </w:r>
            <w:r>
              <w:rPr>
                <w:color w:val="000000" w:themeColor="text1"/>
                <w:kern w:val="0"/>
                <w:sz w:val="18"/>
                <w:szCs w:val="18"/>
                <w:highlight w:val="yellow"/>
                <w14:textFill>
                  <w14:solidFill>
                    <w14:schemeClr w14:val="tx1"/>
                  </w14:solidFill>
                </w14:textFill>
              </w:rPr>
              <w:t>个PCI-E 插槽；</w:t>
            </w:r>
          </w:p>
          <w:p w14:paraId="18206316">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电源和风扇：支持热插拔冗余电源，单电源供电可正常运行，支持热插拔冗余散热风扇，电源和风扇模块要求满配；</w:t>
            </w:r>
          </w:p>
          <w:p w14:paraId="0A3889A5">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配件：原厂电源线以及其它保证设备正常运行必须的软硬件（电源线插头类型及长度应根据现场实际需要提供）；</w:t>
            </w:r>
          </w:p>
          <w:p w14:paraId="360534AA">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00C240A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37378A9B">
            <w:pPr>
              <w:spacing w:before="0" w:after="0" w:line="240" w:lineRule="auto"/>
              <w:ind w:firstLine="0"/>
              <w:jc w:val="left"/>
              <w:rPr>
                <w:rFonts w:hint="eastAsia" w:ascii="宋体" w:hAnsi="宋体" w:cs="宋体"/>
                <w:color w:val="EE0000"/>
                <w:kern w:val="0"/>
                <w:sz w:val="18"/>
                <w:szCs w:val="18"/>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6B534D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628" w:hRule="atLeast"/>
        </w:trPr>
        <w:tc>
          <w:tcPr>
            <w:tcW w:w="834" w:type="dxa"/>
            <w:shd w:val="clear" w:color="000000" w:fill="FFFFFF"/>
            <w:vAlign w:val="center"/>
          </w:tcPr>
          <w:p w14:paraId="2394CD97">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8</w:t>
            </w:r>
          </w:p>
        </w:tc>
        <w:tc>
          <w:tcPr>
            <w:tcW w:w="1438" w:type="dxa"/>
            <w:shd w:val="clear" w:color="000000" w:fill="FFFFFF"/>
            <w:vAlign w:val="center"/>
          </w:tcPr>
          <w:p w14:paraId="1E9FD979">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PC服务器(</w:t>
            </w:r>
            <w:r>
              <w:rPr>
                <w:rFonts w:hint="eastAsia"/>
                <w:kern w:val="0"/>
                <w:sz w:val="18"/>
                <w:szCs w:val="18"/>
              </w:rPr>
              <w:t>ARM架构，</w:t>
            </w:r>
            <w:r>
              <w:rPr>
                <w:rFonts w:hint="eastAsia" w:ascii="宋体" w:hAnsi="宋体" w:cs="宋体"/>
                <w:kern w:val="0"/>
                <w:sz w:val="18"/>
                <w:szCs w:val="18"/>
              </w:rPr>
              <w:t>三档</w:t>
            </w:r>
            <w:r>
              <w:rPr>
                <w:rFonts w:ascii="宋体" w:hAnsi="宋体" w:cs="宋体"/>
                <w:kern w:val="0"/>
                <w:sz w:val="18"/>
                <w:szCs w:val="18"/>
              </w:rPr>
              <w:t>)</w:t>
            </w:r>
          </w:p>
        </w:tc>
        <w:tc>
          <w:tcPr>
            <w:tcW w:w="6251" w:type="dxa"/>
            <w:shd w:val="clear" w:color="000000" w:fill="FFFFFF"/>
            <w:vAlign w:val="center"/>
          </w:tcPr>
          <w:p w14:paraId="7566B299">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7FDE87E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17106730">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1C1454A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628" w:hRule="atLeast"/>
        </w:trPr>
        <w:tc>
          <w:tcPr>
            <w:tcW w:w="834" w:type="dxa"/>
            <w:shd w:val="clear" w:color="000000" w:fill="FFFFFF"/>
            <w:vAlign w:val="center"/>
          </w:tcPr>
          <w:p w14:paraId="75DD194C">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8</w:t>
            </w:r>
          </w:p>
        </w:tc>
        <w:tc>
          <w:tcPr>
            <w:tcW w:w="1438" w:type="dxa"/>
            <w:shd w:val="clear" w:color="000000" w:fill="FFFFFF"/>
            <w:vAlign w:val="center"/>
          </w:tcPr>
          <w:p w14:paraId="3E2078D0">
            <w:pPr>
              <w:spacing w:before="0" w:after="0" w:line="240" w:lineRule="auto"/>
              <w:ind w:firstLine="0"/>
              <w:jc w:val="center"/>
              <w:rPr>
                <w:rFonts w:hint="eastAsia" w:ascii="宋体" w:hAnsi="宋体" w:cs="宋体"/>
                <w:color w:val="EE0000"/>
                <w:kern w:val="0"/>
                <w:sz w:val="18"/>
                <w:szCs w:val="18"/>
              </w:rPr>
            </w:pPr>
            <w:r>
              <w:rPr>
                <w:rFonts w:ascii="宋体" w:hAnsi="宋体" w:cs="宋体"/>
                <w:color w:val="EE0000"/>
                <w:kern w:val="0"/>
                <w:sz w:val="18"/>
                <w:szCs w:val="18"/>
              </w:rPr>
              <w:t>PC服务器(</w:t>
            </w:r>
            <w:r>
              <w:rPr>
                <w:rFonts w:hint="eastAsia"/>
                <w:color w:val="EE0000"/>
                <w:kern w:val="0"/>
                <w:sz w:val="18"/>
                <w:szCs w:val="18"/>
              </w:rPr>
              <w:t>ARM架构，</w:t>
            </w:r>
            <w:r>
              <w:rPr>
                <w:rFonts w:hint="eastAsia" w:ascii="宋体" w:hAnsi="宋体" w:cs="宋体"/>
                <w:color w:val="EE0000"/>
                <w:kern w:val="0"/>
                <w:sz w:val="18"/>
                <w:szCs w:val="18"/>
              </w:rPr>
              <w:t>三档</w:t>
            </w:r>
            <w:r>
              <w:rPr>
                <w:rFonts w:ascii="宋体" w:hAnsi="宋体" w:cs="宋体"/>
                <w:color w:val="EE0000"/>
                <w:kern w:val="0"/>
                <w:sz w:val="18"/>
                <w:szCs w:val="18"/>
              </w:rPr>
              <w:t>)</w:t>
            </w:r>
          </w:p>
        </w:tc>
        <w:tc>
          <w:tcPr>
            <w:tcW w:w="6251" w:type="dxa"/>
            <w:shd w:val="clear" w:color="000000" w:fill="FFFFFF"/>
            <w:vAlign w:val="center"/>
          </w:tcPr>
          <w:p w14:paraId="7EC7954E">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原厂商产品（非OEM），性能不低于以下要求：</w:t>
            </w:r>
          </w:p>
          <w:p w14:paraId="49B7D80F">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高度≤2U，标准机柜安装，含机架安装套件，带安装导轨等；</w:t>
            </w:r>
          </w:p>
          <w:p w14:paraId="2CE881B4">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CPU：≥2颗服务器处理器，</w:t>
            </w:r>
            <w:r>
              <w:rPr>
                <w:rFonts w:hint="eastAsia"/>
                <w:color w:val="000000" w:themeColor="text1"/>
                <w:kern w:val="0"/>
                <w:sz w:val="18"/>
                <w:szCs w:val="18"/>
                <w:highlight w:val="yellow"/>
                <w14:textFill>
                  <w14:solidFill>
                    <w14:schemeClr w14:val="tx1"/>
                  </w14:solidFill>
                </w14:textFill>
              </w:rPr>
              <w:t>ARM架构，</w:t>
            </w:r>
            <w:r>
              <w:rPr>
                <w:color w:val="000000" w:themeColor="text1"/>
                <w:kern w:val="0"/>
                <w:sz w:val="18"/>
                <w:szCs w:val="18"/>
                <w:highlight w:val="yellow"/>
                <w14:textFill>
                  <w14:solidFill>
                    <w14:schemeClr w14:val="tx1"/>
                  </w14:solidFill>
                </w14:textFill>
              </w:rPr>
              <w:t>总核数≥32核，支持超线程，原始主频</w:t>
            </w:r>
            <w:r>
              <w:rPr>
                <w:color w:val="FF0000"/>
                <w:kern w:val="0"/>
                <w:sz w:val="18"/>
                <w:szCs w:val="18"/>
                <w:highlight w:val="yellow"/>
              </w:rPr>
              <w:t>≥2.</w:t>
            </w:r>
            <w:r>
              <w:rPr>
                <w:rFonts w:hint="eastAsia"/>
                <w:color w:val="FF0000"/>
                <w:kern w:val="0"/>
                <w:sz w:val="18"/>
                <w:szCs w:val="18"/>
                <w:highlight w:val="yellow"/>
              </w:rPr>
              <w:t>4</w:t>
            </w:r>
            <w:r>
              <w:rPr>
                <w:color w:val="FF0000"/>
                <w:kern w:val="0"/>
                <w:sz w:val="18"/>
                <w:szCs w:val="18"/>
                <w:highlight w:val="yellow"/>
              </w:rPr>
              <w:t>GH</w:t>
            </w:r>
            <w:r>
              <w:rPr>
                <w:color w:val="000000" w:themeColor="text1"/>
                <w:kern w:val="0"/>
                <w:sz w:val="18"/>
                <w:szCs w:val="18"/>
                <w:highlight w:val="yellow"/>
                <w14:textFill>
                  <w14:solidFill>
                    <w14:schemeClr w14:val="tx1"/>
                  </w14:solidFill>
                </w14:textFill>
              </w:rPr>
              <w:t>z，CPU芯片需通过安全可靠测评，其安全可靠测评等级不得低于I级，详情可从中国信息安全测评中心（www.itsec.gov.cn）和国家保密科技测评中心（www.nsstec.org.cn）网站查询。</w:t>
            </w:r>
          </w:p>
          <w:p w14:paraId="6EC4B074">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内存：当前配置≥128GB DDR</w:t>
            </w:r>
            <w:r>
              <w:rPr>
                <w:rFonts w:hint="eastAsia"/>
                <w:color w:val="000000" w:themeColor="text1"/>
                <w:kern w:val="0"/>
                <w:sz w:val="18"/>
                <w:szCs w:val="18"/>
                <w:highlight w:val="yellow"/>
                <w14:textFill>
                  <w14:solidFill>
                    <w14:schemeClr w14:val="tx1"/>
                  </w14:solidFill>
                </w14:textFill>
              </w:rPr>
              <w:t>5</w:t>
            </w:r>
            <w:r>
              <w:rPr>
                <w:color w:val="000000" w:themeColor="text1"/>
                <w:kern w:val="0"/>
                <w:sz w:val="18"/>
                <w:szCs w:val="18"/>
                <w:highlight w:val="yellow"/>
                <w14:textFill>
                  <w14:solidFill>
                    <w14:schemeClr w14:val="tx1"/>
                  </w14:solidFill>
                </w14:textFill>
              </w:rPr>
              <w:t>,单条内存≥32GB</w:t>
            </w:r>
            <w:r>
              <w:rPr>
                <w:color w:val="000000" w:themeColor="text1"/>
                <w:kern w:val="0"/>
                <w:sz w:val="18"/>
                <w:szCs w:val="18"/>
                <w:highlight w:val="none"/>
                <w14:textFill>
                  <w14:solidFill>
                    <w14:schemeClr w14:val="tx1"/>
                  </w14:solidFill>
                </w14:textFill>
              </w:rPr>
              <w:t>，最大可配置≥1TB</w:t>
            </w:r>
            <w:r>
              <w:rPr>
                <w:color w:val="000000" w:themeColor="text1"/>
                <w:kern w:val="0"/>
                <w:sz w:val="18"/>
                <w:szCs w:val="18"/>
                <w:highlight w:val="yellow"/>
                <w14:textFill>
                  <w14:solidFill>
                    <w14:schemeClr w14:val="tx1"/>
                  </w14:solidFill>
                </w14:textFill>
              </w:rPr>
              <w:t>；</w:t>
            </w:r>
          </w:p>
          <w:p w14:paraId="0AB238B9">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硬盘：配置≥4块960GB（或以上）SSD或配置≥4块1200GB （或以上）容量、转速10KRPM（或以上）2.5英寸SAS热插拔硬盘，SAS热交换硬盘托架≥12个；支持热插拔SAS 、SSD等；</w:t>
            </w:r>
          </w:p>
          <w:p w14:paraId="7236B7F1">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阵列卡：双通道阵列卡，支持RAID0、1、5、6、10，cache≥2GB，带掉电保护功能；</w:t>
            </w:r>
          </w:p>
          <w:p w14:paraId="383B953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网卡：</w:t>
            </w:r>
            <w:r>
              <w:rPr>
                <w:color w:val="000000" w:themeColor="text1"/>
                <w:sz w:val="18"/>
                <w:szCs w:val="18"/>
                <w:highlight w:val="yellow"/>
                <w:lang w:bidi="ar"/>
                <w14:textFill>
                  <w14:solidFill>
                    <w14:schemeClr w14:val="tx1"/>
                  </w14:solidFill>
                </w14:textFill>
              </w:rPr>
              <w:t>配置</w:t>
            </w:r>
            <w:r>
              <w:rPr>
                <w:color w:val="000000" w:themeColor="text1"/>
                <w:kern w:val="0"/>
                <w:sz w:val="18"/>
                <w:szCs w:val="18"/>
                <w:highlight w:val="yellow"/>
                <w14:textFill>
                  <w14:solidFill>
                    <w14:schemeClr w14:val="tx1"/>
                  </w14:solidFill>
                </w14:textFill>
              </w:rPr>
              <w:t>≥</w:t>
            </w:r>
            <w:r>
              <w:rPr>
                <w:color w:val="000000" w:themeColor="text1"/>
                <w:sz w:val="18"/>
                <w:szCs w:val="18"/>
                <w:highlight w:val="yellow"/>
                <w:lang w:bidi="ar"/>
                <w14:textFill>
                  <w14:solidFill>
                    <w14:schemeClr w14:val="tx1"/>
                  </w14:solidFill>
                </w14:textFill>
              </w:rPr>
              <w:t>2*GE电口及</w:t>
            </w:r>
            <w:r>
              <w:rPr>
                <w:color w:val="000000" w:themeColor="text1"/>
                <w:kern w:val="0"/>
                <w:sz w:val="18"/>
                <w:szCs w:val="18"/>
                <w:highlight w:val="yellow"/>
                <w14:textFill>
                  <w14:solidFill>
                    <w14:schemeClr w14:val="tx1"/>
                  </w14:solidFill>
                </w14:textFill>
              </w:rPr>
              <w:t>≥2</w:t>
            </w:r>
            <w:r>
              <w:rPr>
                <w:color w:val="000000" w:themeColor="text1"/>
                <w:sz w:val="18"/>
                <w:szCs w:val="18"/>
                <w:highlight w:val="yellow"/>
                <w:lang w:bidi="ar"/>
                <w14:textFill>
                  <w14:solidFill>
                    <w14:schemeClr w14:val="tx1"/>
                  </w14:solidFill>
                </w14:textFill>
              </w:rPr>
              <w:t>*10GE光口</w:t>
            </w:r>
            <w:r>
              <w:rPr>
                <w:color w:val="000000" w:themeColor="text1"/>
                <w:kern w:val="0"/>
                <w:sz w:val="18"/>
                <w:szCs w:val="18"/>
                <w:highlight w:val="yellow"/>
                <w14:textFill>
                  <w14:solidFill>
                    <w14:schemeClr w14:val="tx1"/>
                  </w14:solidFill>
                </w14:textFill>
              </w:rPr>
              <w:t>，另配置≥2块独立的2端口万兆光网卡，满配多模光模块；</w:t>
            </w:r>
            <w:r>
              <w:rPr>
                <w:rFonts w:hint="eastAsia"/>
                <w:color w:val="000000" w:themeColor="text1"/>
                <w:kern w:val="0"/>
                <w:sz w:val="18"/>
                <w:szCs w:val="18"/>
                <w:highlight w:val="yellow"/>
                <w14:textFill>
                  <w14:solidFill>
                    <w14:schemeClr w14:val="tx1"/>
                  </w14:solidFill>
                </w14:textFill>
              </w:rPr>
              <w:t>≥2块独立的4端口10/100/1000M-BaseT以太网卡；</w:t>
            </w:r>
          </w:p>
          <w:p w14:paraId="60D8DBDD">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PCI插槽：≥</w:t>
            </w:r>
            <w:r>
              <w:rPr>
                <w:rFonts w:hint="eastAsia"/>
                <w:color w:val="000000" w:themeColor="text1"/>
                <w:kern w:val="0"/>
                <w:sz w:val="18"/>
                <w:szCs w:val="18"/>
                <w:highlight w:val="yellow"/>
                <w14:textFill>
                  <w14:solidFill>
                    <w14:schemeClr w14:val="tx1"/>
                  </w14:solidFill>
                </w14:textFill>
              </w:rPr>
              <w:t>8</w:t>
            </w:r>
            <w:r>
              <w:rPr>
                <w:color w:val="000000" w:themeColor="text1"/>
                <w:kern w:val="0"/>
                <w:sz w:val="18"/>
                <w:szCs w:val="18"/>
                <w:highlight w:val="yellow"/>
                <w14:textFill>
                  <w14:solidFill>
                    <w14:schemeClr w14:val="tx1"/>
                  </w14:solidFill>
                </w14:textFill>
              </w:rPr>
              <w:t>个PCI-E 插槽；</w:t>
            </w:r>
          </w:p>
          <w:p w14:paraId="7A77888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电源和风扇：支持热插拔冗余电源，单电源供电可正常运行，支持热插拔冗余散热风扇，电源和风扇模块要求满配；</w:t>
            </w:r>
          </w:p>
          <w:p w14:paraId="5C8A20FF">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配件：原厂电源线以及其它保证设备正常运行必须的软硬件（电源线插头类型及长度应根据现场实际需要提供）；</w:t>
            </w:r>
          </w:p>
          <w:p w14:paraId="3A20B2F3">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137DE5BA">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兼容性：兼容并稳定运行主流安全可靠Linux操作系统近三年内的发布版、提供针对主流操作系统的可稳定运行的驱动程序；支持64位操作系统；兼容主流商用数据库软件及主流中间件等近三年内的发布版；</w:t>
            </w:r>
          </w:p>
          <w:p w14:paraId="5FE2D50E">
            <w:pPr>
              <w:spacing w:before="0" w:after="0" w:line="240" w:lineRule="auto"/>
              <w:ind w:firstLine="0"/>
              <w:jc w:val="left"/>
              <w:rPr>
                <w:rFonts w:hint="eastAsia" w:ascii="宋体" w:hAnsi="宋体" w:cs="宋体"/>
                <w:color w:val="EE0000"/>
                <w:kern w:val="0"/>
                <w:sz w:val="18"/>
                <w:szCs w:val="18"/>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tc>
      </w:tr>
      <w:tr w14:paraId="55EA103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50" w:hRule="atLeast"/>
        </w:trPr>
        <w:tc>
          <w:tcPr>
            <w:tcW w:w="834" w:type="dxa"/>
            <w:shd w:val="clear" w:color="000000" w:fill="FFFFFF"/>
            <w:vAlign w:val="center"/>
          </w:tcPr>
          <w:p w14:paraId="53013B7A">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9</w:t>
            </w:r>
          </w:p>
        </w:tc>
        <w:tc>
          <w:tcPr>
            <w:tcW w:w="1438" w:type="dxa"/>
            <w:shd w:val="clear" w:color="000000" w:fill="FFFFFF"/>
            <w:vAlign w:val="center"/>
          </w:tcPr>
          <w:p w14:paraId="71538DDC">
            <w:pPr>
              <w:spacing w:before="0" w:after="0" w:line="240" w:lineRule="auto"/>
              <w:ind w:firstLine="0"/>
              <w:jc w:val="center"/>
              <w:rPr>
                <w:rFonts w:hint="eastAsia" w:ascii="宋体" w:hAnsi="宋体" w:cs="宋体"/>
                <w:color w:val="EE0000"/>
                <w:kern w:val="0"/>
                <w:sz w:val="20"/>
              </w:rPr>
            </w:pPr>
            <w:r>
              <w:rPr>
                <w:color w:val="EE0000"/>
                <w:kern w:val="0"/>
                <w:sz w:val="18"/>
                <w:szCs w:val="18"/>
                <w:lang w:bidi="ar"/>
              </w:rPr>
              <w:t>分布式存储服务器</w:t>
            </w:r>
            <w:r>
              <w:rPr>
                <w:rFonts w:hint="eastAsia"/>
                <w:color w:val="EE0000"/>
                <w:kern w:val="0"/>
                <w:sz w:val="18"/>
                <w:szCs w:val="18"/>
                <w:lang w:bidi="ar"/>
              </w:rPr>
              <w:t>（</w:t>
            </w:r>
            <w:r>
              <w:rPr>
                <w:rFonts w:hint="eastAsia"/>
                <w:color w:val="EE0000"/>
                <w:kern w:val="0"/>
                <w:sz w:val="18"/>
                <w:szCs w:val="18"/>
              </w:rPr>
              <w:t>x86架构</w:t>
            </w:r>
            <w:r>
              <w:rPr>
                <w:rFonts w:hint="eastAsia"/>
                <w:color w:val="EE0000"/>
                <w:kern w:val="0"/>
                <w:sz w:val="18"/>
                <w:szCs w:val="18"/>
                <w:lang w:bidi="ar"/>
              </w:rPr>
              <w:t>）</w:t>
            </w:r>
          </w:p>
        </w:tc>
        <w:tc>
          <w:tcPr>
            <w:tcW w:w="6251" w:type="dxa"/>
            <w:shd w:val="clear" w:color="000000" w:fill="FFFFFF"/>
            <w:vAlign w:val="center"/>
          </w:tcPr>
          <w:p w14:paraId="2D762942">
            <w:pPr>
              <w:spacing w:before="0" w:after="0" w:line="240" w:lineRule="auto"/>
              <w:ind w:firstLine="0"/>
              <w:jc w:val="left"/>
              <w:rPr>
                <w:rFonts w:hint="eastAsia" w:ascii="宋体" w:hAnsi="宋体" w:cs="宋体"/>
                <w:color w:val="EE0000"/>
                <w:kern w:val="0"/>
                <w:sz w:val="18"/>
                <w:szCs w:val="18"/>
              </w:rPr>
            </w:pPr>
            <w:r>
              <w:rPr>
                <w:rFonts w:hint="eastAsia" w:ascii="宋体" w:hAnsi="宋体" w:cs="宋体"/>
                <w:color w:val="EE0000"/>
                <w:kern w:val="0"/>
                <w:sz w:val="18"/>
                <w:szCs w:val="18"/>
              </w:rPr>
              <w:t>★安全可靠：</w:t>
            </w:r>
          </w:p>
          <w:p w14:paraId="29199807">
            <w:pPr>
              <w:spacing w:before="0" w:after="0" w:line="240" w:lineRule="auto"/>
              <w:ind w:firstLine="0"/>
              <w:jc w:val="left"/>
              <w:rPr>
                <w:rFonts w:hint="eastAsia" w:ascii="宋体" w:hAnsi="宋体" w:cs="宋体"/>
                <w:color w:val="EE0000"/>
                <w:kern w:val="0"/>
                <w:sz w:val="18"/>
                <w:szCs w:val="18"/>
              </w:rPr>
            </w:pP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791EEC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50" w:hRule="atLeast"/>
        </w:trPr>
        <w:tc>
          <w:tcPr>
            <w:tcW w:w="834" w:type="dxa"/>
            <w:shd w:val="clear" w:color="000000" w:fill="FFFFFF"/>
            <w:vAlign w:val="center"/>
          </w:tcPr>
          <w:p w14:paraId="0F7D1FB8">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9</w:t>
            </w:r>
          </w:p>
        </w:tc>
        <w:tc>
          <w:tcPr>
            <w:tcW w:w="1438" w:type="dxa"/>
            <w:shd w:val="clear" w:color="000000" w:fill="FFFFFF"/>
            <w:vAlign w:val="center"/>
          </w:tcPr>
          <w:p w14:paraId="4E36947C">
            <w:pPr>
              <w:spacing w:before="0" w:after="0" w:line="240" w:lineRule="auto"/>
              <w:ind w:firstLine="0"/>
              <w:jc w:val="center"/>
              <w:rPr>
                <w:rFonts w:hint="eastAsia" w:ascii="宋体" w:hAnsi="宋体" w:cs="宋体"/>
                <w:color w:val="EE0000"/>
                <w:kern w:val="0"/>
                <w:sz w:val="18"/>
                <w:szCs w:val="18"/>
              </w:rPr>
            </w:pPr>
            <w:r>
              <w:rPr>
                <w:color w:val="EE0000"/>
                <w:kern w:val="0"/>
                <w:sz w:val="18"/>
                <w:szCs w:val="18"/>
                <w:lang w:bidi="ar"/>
              </w:rPr>
              <w:t>分布式存储服务器</w:t>
            </w:r>
            <w:r>
              <w:rPr>
                <w:rFonts w:hint="eastAsia"/>
                <w:color w:val="EE0000"/>
                <w:kern w:val="0"/>
                <w:sz w:val="18"/>
                <w:szCs w:val="18"/>
                <w:lang w:bidi="ar"/>
              </w:rPr>
              <w:t>（</w:t>
            </w:r>
            <w:r>
              <w:rPr>
                <w:rFonts w:hint="eastAsia"/>
                <w:color w:val="EE0000"/>
                <w:kern w:val="0"/>
                <w:sz w:val="18"/>
                <w:szCs w:val="18"/>
              </w:rPr>
              <w:t>x86架构</w:t>
            </w:r>
            <w:r>
              <w:rPr>
                <w:rFonts w:hint="eastAsia"/>
                <w:color w:val="EE0000"/>
                <w:kern w:val="0"/>
                <w:sz w:val="18"/>
                <w:szCs w:val="18"/>
                <w:lang w:bidi="ar"/>
              </w:rPr>
              <w:t>）</w:t>
            </w:r>
          </w:p>
        </w:tc>
        <w:tc>
          <w:tcPr>
            <w:tcW w:w="6251" w:type="dxa"/>
            <w:shd w:val="clear" w:color="000000" w:fill="FFFFFF"/>
            <w:vAlign w:val="center"/>
          </w:tcPr>
          <w:p w14:paraId="1EEB2D32">
            <w:pPr>
              <w:spacing w:before="0" w:after="0" w:line="240" w:lineRule="auto"/>
              <w:ind w:firstLine="0"/>
              <w:jc w:val="left"/>
              <w:rPr>
                <w:color w:val="000000" w:themeColor="text1"/>
                <w:kern w:val="0"/>
                <w:sz w:val="18"/>
                <w:szCs w:val="18"/>
                <w:highlight w:val="yellow"/>
                <w:lang w:bidi="ar"/>
                <w14:textFill>
                  <w14:solidFill>
                    <w14:schemeClr w14:val="tx1"/>
                  </w14:solidFill>
                </w14:textFill>
              </w:rPr>
            </w:pPr>
            <w:r>
              <w:rPr>
                <w:rFonts w:hint="eastAsia"/>
                <w:color w:val="000000" w:themeColor="text1"/>
                <w:kern w:val="0"/>
                <w:sz w:val="18"/>
                <w:szCs w:val="18"/>
                <w:highlight w:val="yellow"/>
                <w:lang w:bidi="ar"/>
                <w14:textFill>
                  <w14:solidFill>
                    <w14:schemeClr w14:val="tx1"/>
                  </w14:solidFill>
                </w14:textFill>
              </w:rPr>
              <w:t>基本要求参考PC服务器</w:t>
            </w:r>
            <w:r>
              <w:rPr>
                <w:rFonts w:hint="eastAsia"/>
                <w:color w:val="EE0000"/>
                <w:kern w:val="0"/>
                <w:sz w:val="18"/>
                <w:szCs w:val="18"/>
                <w:highlight w:val="yellow"/>
                <w:lang w:bidi="ar"/>
              </w:rPr>
              <w:t>（</w:t>
            </w:r>
            <w:r>
              <w:rPr>
                <w:rFonts w:hint="eastAsia"/>
                <w:color w:val="EE0000"/>
                <w:kern w:val="0"/>
                <w:sz w:val="18"/>
                <w:szCs w:val="18"/>
                <w:highlight w:val="yellow"/>
              </w:rPr>
              <w:t>x86架构</w:t>
            </w:r>
            <w:r>
              <w:rPr>
                <w:rFonts w:hint="eastAsia"/>
                <w:color w:val="EE0000"/>
                <w:kern w:val="0"/>
                <w:sz w:val="18"/>
                <w:szCs w:val="18"/>
                <w:highlight w:val="yellow"/>
                <w:lang w:bidi="ar"/>
              </w:rPr>
              <w:t>）</w:t>
            </w:r>
            <w:r>
              <w:rPr>
                <w:rFonts w:hint="eastAsia"/>
                <w:color w:val="000000" w:themeColor="text1"/>
                <w:kern w:val="0"/>
                <w:sz w:val="18"/>
                <w:szCs w:val="18"/>
                <w:highlight w:val="yellow"/>
                <w:lang w:bidi="ar"/>
                <w14:textFill>
                  <w14:solidFill>
                    <w14:schemeClr w14:val="tx1"/>
                  </w14:solidFill>
                </w14:textFill>
              </w:rPr>
              <w:t>，硬盘容量、网卡规格按需配置，参考如下：</w:t>
            </w:r>
          </w:p>
          <w:p w14:paraId="3F3189F7">
            <w:pPr>
              <w:spacing w:line="240" w:lineRule="auto"/>
              <w:ind w:firstLine="0"/>
              <w:jc w:val="left"/>
              <w:rPr>
                <w:bCs/>
                <w:color w:val="000000" w:themeColor="text1"/>
                <w:kern w:val="0"/>
                <w:sz w:val="18"/>
                <w:szCs w:val="18"/>
                <w:highlight w:val="yellow"/>
                <w:lang w:bidi="ar"/>
                <w14:textFill>
                  <w14:solidFill>
                    <w14:schemeClr w14:val="tx1"/>
                  </w14:solidFill>
                </w14:textFill>
              </w:rPr>
            </w:pPr>
            <w:r>
              <w:rPr>
                <w:bCs/>
                <w:color w:val="000000" w:themeColor="text1"/>
                <w:kern w:val="0"/>
                <w:sz w:val="18"/>
                <w:szCs w:val="18"/>
                <w:highlight w:val="yellow"/>
                <w:lang w:bidi="ar"/>
                <w14:textFill>
                  <w14:solidFill>
                    <w14:schemeClr w14:val="tx1"/>
                  </w14:solidFill>
                </w14:textFill>
              </w:rPr>
              <w:t xml:space="preserve">硬盘（根据实际需求调整配置）：不低于2块480GB </w:t>
            </w:r>
            <w:r>
              <w:rPr>
                <w:bCs/>
                <w:kern w:val="0"/>
                <w:sz w:val="18"/>
                <w:szCs w:val="18"/>
                <w:highlight w:val="yellow"/>
                <w:lang w:bidi="ar"/>
              </w:rPr>
              <w:t>SATA</w:t>
            </w:r>
            <w:r>
              <w:rPr>
                <w:bCs/>
                <w:color w:val="000000" w:themeColor="text1"/>
                <w:kern w:val="0"/>
                <w:sz w:val="18"/>
                <w:szCs w:val="18"/>
                <w:highlight w:val="yellow"/>
                <w:lang w:bidi="ar"/>
                <w14:textFill>
                  <w14:solidFill>
                    <w14:schemeClr w14:val="tx1"/>
                  </w14:solidFill>
                </w14:textFill>
              </w:rPr>
              <w:t xml:space="preserve"> SSD，2块1600GB NVMe SSD，10块7680GB </w:t>
            </w:r>
            <w:r>
              <w:rPr>
                <w:bCs/>
                <w:color w:val="FF0000"/>
                <w:kern w:val="0"/>
                <w:sz w:val="18"/>
                <w:szCs w:val="18"/>
                <w:highlight w:val="yellow"/>
                <w:lang w:bidi="ar"/>
              </w:rPr>
              <w:t>SAS</w:t>
            </w:r>
            <w:r>
              <w:rPr>
                <w:bCs/>
                <w:color w:val="000000" w:themeColor="text1"/>
                <w:kern w:val="0"/>
                <w:sz w:val="18"/>
                <w:szCs w:val="18"/>
                <w:highlight w:val="yellow"/>
                <w:lang w:bidi="ar"/>
                <w14:textFill>
                  <w14:solidFill>
                    <w14:schemeClr w14:val="tx1"/>
                  </w14:solidFill>
                </w14:textFill>
              </w:rPr>
              <w:t xml:space="preserve"> SSD</w:t>
            </w:r>
            <w:r>
              <w:rPr>
                <w:rFonts w:hint="eastAsia"/>
                <w:bCs/>
                <w:color w:val="000000" w:themeColor="text1"/>
                <w:kern w:val="0"/>
                <w:sz w:val="18"/>
                <w:szCs w:val="18"/>
                <w:highlight w:val="yellow"/>
                <w:lang w:bidi="ar"/>
                <w14:textFill>
                  <w14:solidFill>
                    <w14:schemeClr w14:val="tx1"/>
                  </w14:solidFill>
                </w14:textFill>
              </w:rPr>
              <w:t>，系统盘需按冗余阵列形式配置。</w:t>
            </w:r>
          </w:p>
          <w:p w14:paraId="6A86A869">
            <w:pPr>
              <w:spacing w:line="240" w:lineRule="auto"/>
              <w:jc w:val="left"/>
              <w:rPr>
                <w:color w:val="000000" w:themeColor="text1"/>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NVMe SSD满足如下性能要求：</w:t>
            </w:r>
          </w:p>
          <w:p w14:paraId="4AF7C2A0">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4K顺序读带宽：&gt;=2000MB/s；</w:t>
            </w:r>
          </w:p>
          <w:p w14:paraId="1DF23EFB">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4K顺序写带宽：&gt;=1100MB/s；</w:t>
            </w:r>
          </w:p>
          <w:p w14:paraId="7166E844">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4K随机读IOPS：&gt;=400000；</w:t>
            </w:r>
          </w:p>
          <w:p w14:paraId="13E964AE">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4K随机写IOPS：&gt;=50000；</w:t>
            </w:r>
          </w:p>
          <w:p w14:paraId="7BC810F1">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读写混合型，擦写寿命： &gt;=3 DWPD 3年；</w:t>
            </w:r>
          </w:p>
          <w:p w14:paraId="453EF46C">
            <w:pPr>
              <w:spacing w:line="240" w:lineRule="auto"/>
              <w:jc w:val="left"/>
              <w:rPr>
                <w:color w:val="000000" w:themeColor="text1"/>
                <w:kern w:val="0"/>
                <w:sz w:val="18"/>
                <w:szCs w:val="18"/>
                <w:highlight w:val="yellow"/>
                <w:lang w:bidi="ar"/>
                <w14:textFill>
                  <w14:solidFill>
                    <w14:schemeClr w14:val="tx1"/>
                  </w14:solidFill>
                </w14:textFill>
              </w:rPr>
            </w:pPr>
            <w:r>
              <w:rPr>
                <w:color w:val="000000" w:themeColor="text1"/>
                <w:kern w:val="0"/>
                <w:sz w:val="18"/>
                <w:szCs w:val="18"/>
                <w:highlight w:val="yellow"/>
                <w:lang w:bidi="ar"/>
                <w14:textFill>
                  <w14:solidFill>
                    <w14:schemeClr w14:val="tx1"/>
                  </w14:solidFill>
                </w14:textFill>
              </w:rPr>
              <w:t>带掉电保护功能：即有连续数据写入的情况下，异常掉电不丢数据；</w:t>
            </w:r>
          </w:p>
          <w:p w14:paraId="1B33AB47">
            <w:pPr>
              <w:spacing w:line="240" w:lineRule="auto"/>
              <w:jc w:val="left"/>
              <w:rPr>
                <w:color w:val="000000" w:themeColor="text1"/>
                <w:highlight w:val="yellow"/>
                <w14:textFill>
                  <w14:solidFill>
                    <w14:schemeClr w14:val="tx1"/>
                  </w14:solidFill>
                </w14:textFill>
              </w:rPr>
            </w:pPr>
            <w:r>
              <w:rPr>
                <w:color w:val="FF0000"/>
                <w:kern w:val="0"/>
                <w:sz w:val="18"/>
                <w:szCs w:val="18"/>
                <w:highlight w:val="yellow"/>
                <w:lang w:bidi="ar"/>
              </w:rPr>
              <w:t>SAS</w:t>
            </w:r>
            <w:r>
              <w:rPr>
                <w:color w:val="000000" w:themeColor="text1"/>
                <w:kern w:val="0"/>
                <w:sz w:val="18"/>
                <w:szCs w:val="18"/>
                <w:highlight w:val="yellow"/>
                <w:lang w:bidi="ar"/>
                <w14:textFill>
                  <w14:solidFill>
                    <w14:schemeClr w14:val="tx1"/>
                  </w14:solidFill>
                </w14:textFill>
              </w:rPr>
              <w:t xml:space="preserve"> SSD满足如下性能要求：</w:t>
            </w:r>
          </w:p>
          <w:p w14:paraId="283E86AE">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4K顺序读带宽：&gt;=1000MB/s；</w:t>
            </w:r>
          </w:p>
          <w:p w14:paraId="01C18A6C">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4K顺序写带宽：&gt;=500MB/s；</w:t>
            </w:r>
          </w:p>
          <w:p w14:paraId="78E7F01A">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4K随机读IOPS：&gt;=200000；</w:t>
            </w:r>
          </w:p>
          <w:p w14:paraId="74F30F5A">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4K随机写IOPS：&gt;=20000；</w:t>
            </w:r>
          </w:p>
          <w:p w14:paraId="2BA0F4D8">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读写混合型，擦写寿命： &gt;=1 DWPD 3年；</w:t>
            </w:r>
          </w:p>
          <w:p w14:paraId="58DDD3C4">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带掉电保护功能：即有连续数据写入的情况下，异常掉电不丢数据；</w:t>
            </w:r>
          </w:p>
          <w:p w14:paraId="5111E31D">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sas卡（none-raid）*1，带宽≥6Gbps。</w:t>
            </w:r>
          </w:p>
          <w:p w14:paraId="3642B25E">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网卡：</w:t>
            </w:r>
          </w:p>
          <w:p w14:paraId="37C18A07">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提供本机板载网卡，1Gbps以上；</w:t>
            </w:r>
          </w:p>
          <w:p w14:paraId="16D90C22">
            <w:pPr>
              <w:spacing w:line="240" w:lineRule="auto"/>
              <w:jc w:val="left"/>
              <w:rPr>
                <w:color w:val="000000" w:themeColor="text1"/>
                <w:kern w:val="0"/>
                <w:sz w:val="18"/>
                <w:szCs w:val="18"/>
                <w:highlight w:val="yellow"/>
                <w14:textFill>
                  <w14:solidFill>
                    <w14:schemeClr w14:val="tx1"/>
                  </w14:solidFill>
                </w14:textFill>
              </w:rPr>
            </w:pPr>
            <w:r>
              <w:rPr>
                <w:color w:val="FF0000"/>
                <w:kern w:val="0"/>
                <w:sz w:val="18"/>
                <w:szCs w:val="18"/>
                <w:highlight w:val="yellow"/>
                <w:lang w:bidi="ar"/>
              </w:rPr>
              <w:t>≥6</w:t>
            </w:r>
            <w:r>
              <w:rPr>
                <w:color w:val="000000" w:themeColor="text1"/>
                <w:kern w:val="0"/>
                <w:sz w:val="18"/>
                <w:szCs w:val="18"/>
                <w:highlight w:val="yellow"/>
                <w:lang w:bidi="ar"/>
                <w14:textFill>
                  <w14:solidFill>
                    <w14:schemeClr w14:val="tx1"/>
                  </w14:solidFill>
                </w14:textFill>
              </w:rPr>
              <w:t>块双端口10Gbps以太网卡</w:t>
            </w:r>
            <w:r>
              <w:rPr>
                <w:rFonts w:hint="eastAsia"/>
                <w:color w:val="000000" w:themeColor="text1"/>
                <w:kern w:val="0"/>
                <w:sz w:val="18"/>
                <w:szCs w:val="18"/>
                <w:highlight w:val="yellow"/>
                <w:lang w:bidi="ar"/>
                <w14:textFill>
                  <w14:solidFill>
                    <w14:schemeClr w14:val="tx1"/>
                  </w14:solidFill>
                </w14:textFill>
              </w:rPr>
              <w:t>，</w:t>
            </w:r>
            <w:r>
              <w:rPr>
                <w:color w:val="000000" w:themeColor="text1"/>
                <w:kern w:val="0"/>
                <w:sz w:val="18"/>
                <w:szCs w:val="18"/>
                <w:highlight w:val="yellow"/>
                <w:lang w:bidi="ar"/>
                <w14:textFill>
                  <w14:solidFill>
                    <w14:schemeClr w14:val="tx1"/>
                  </w14:solidFill>
                </w14:textFill>
              </w:rPr>
              <w:t>满配万兆多模光模块。</w:t>
            </w:r>
          </w:p>
          <w:p w14:paraId="1FB322CF">
            <w:pPr>
              <w:spacing w:line="240" w:lineRule="auto"/>
              <w:jc w:val="left"/>
              <w:rPr>
                <w:color w:val="000000" w:themeColor="text1"/>
                <w:kern w:val="0"/>
                <w:sz w:val="18"/>
                <w:szCs w:val="18"/>
                <w:highlight w:val="yellow"/>
                <w:lang w:bidi="ar"/>
                <w14:textFill>
                  <w14:solidFill>
                    <w14:schemeClr w14:val="tx1"/>
                  </w14:solidFill>
                </w14:textFill>
              </w:rPr>
            </w:pPr>
            <w:r>
              <w:rPr>
                <w:color w:val="000000" w:themeColor="text1"/>
                <w:kern w:val="0"/>
                <w:sz w:val="18"/>
                <w:szCs w:val="18"/>
                <w:highlight w:val="yellow"/>
                <w:lang w:bidi="ar"/>
                <w14:textFill>
                  <w14:solidFill>
                    <w14:schemeClr w14:val="tx1"/>
                  </w14:solidFill>
                </w14:textFill>
              </w:rPr>
              <w:t>电源和风扇：支持热插拔冗余电源，单电源供电可正常运行，支持热插拔冗余散热风扇，电源和风扇模块要求满配；</w:t>
            </w:r>
          </w:p>
          <w:p w14:paraId="7CA49FA6">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配件：原厂光驱、键盘、鼠标、电源线以及其它保证设备正常运行必须的软硬件（电源线插头类型及长度应根据现场实际需要提供）；</w:t>
            </w:r>
          </w:p>
          <w:p w14:paraId="528DA528">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1F05C121">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兼容性：兼容并稳定运行主流自主可控Linux操作系统近三年内的发布版、提供针对主流操作系统的可稳定运行的驱动程序；支持64位操作系统；兼容主流商用数据库软件及主流中间件等近三年内的发布版。</w:t>
            </w:r>
          </w:p>
          <w:p w14:paraId="3ACEE169">
            <w:pPr>
              <w:pStyle w:val="2"/>
              <w:rPr>
                <w:highlight w:val="yellow"/>
              </w:rPr>
            </w:pPr>
            <w:r>
              <w:rPr>
                <w:color w:val="000000" w:themeColor="text1"/>
                <w:kern w:val="0"/>
                <w:sz w:val="18"/>
                <w:szCs w:val="18"/>
                <w:highlight w:val="yellow"/>
                <w:lang w:bidi="ar"/>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p w14:paraId="2DAA4B7E">
            <w:pPr>
              <w:spacing w:before="0" w:after="0" w:line="240" w:lineRule="auto"/>
              <w:ind w:firstLine="0"/>
              <w:jc w:val="left"/>
              <w:rPr>
                <w:rFonts w:hint="eastAsia" w:ascii="宋体" w:hAnsi="宋体" w:cs="宋体"/>
                <w:color w:val="EE0000"/>
                <w:kern w:val="0"/>
                <w:sz w:val="18"/>
                <w:szCs w:val="18"/>
              </w:rPr>
            </w:pPr>
          </w:p>
        </w:tc>
      </w:tr>
      <w:tr w14:paraId="60FF239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50" w:hRule="atLeast"/>
        </w:trPr>
        <w:tc>
          <w:tcPr>
            <w:tcW w:w="834" w:type="dxa"/>
            <w:shd w:val="clear" w:color="000000" w:fill="FFFFFF"/>
            <w:vAlign w:val="center"/>
          </w:tcPr>
          <w:p w14:paraId="325663AB">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10</w:t>
            </w:r>
          </w:p>
        </w:tc>
        <w:tc>
          <w:tcPr>
            <w:tcW w:w="1438" w:type="dxa"/>
            <w:shd w:val="clear" w:color="000000" w:fill="FFFFFF"/>
            <w:vAlign w:val="center"/>
          </w:tcPr>
          <w:p w14:paraId="373A6652">
            <w:pPr>
              <w:spacing w:before="0" w:after="0" w:line="240" w:lineRule="auto"/>
              <w:ind w:firstLine="0"/>
              <w:jc w:val="center"/>
              <w:rPr>
                <w:rFonts w:hint="eastAsia" w:ascii="宋体" w:hAnsi="宋体" w:cs="宋体"/>
                <w:color w:val="EE0000"/>
                <w:kern w:val="0"/>
                <w:sz w:val="20"/>
              </w:rPr>
            </w:pPr>
            <w:r>
              <w:rPr>
                <w:color w:val="EE0000"/>
                <w:kern w:val="0"/>
                <w:sz w:val="18"/>
                <w:szCs w:val="18"/>
                <w:lang w:bidi="ar"/>
              </w:rPr>
              <w:t>分布式存储服务器</w:t>
            </w:r>
            <w:r>
              <w:rPr>
                <w:rFonts w:hint="eastAsia"/>
                <w:color w:val="EE0000"/>
                <w:kern w:val="0"/>
                <w:sz w:val="18"/>
                <w:szCs w:val="18"/>
                <w:lang w:bidi="ar"/>
              </w:rPr>
              <w:t>（</w:t>
            </w:r>
            <w:r>
              <w:rPr>
                <w:rFonts w:hint="eastAsia"/>
                <w:color w:val="EE0000"/>
                <w:kern w:val="0"/>
                <w:sz w:val="18"/>
                <w:szCs w:val="18"/>
              </w:rPr>
              <w:t>ARM架构</w:t>
            </w:r>
            <w:r>
              <w:rPr>
                <w:rFonts w:hint="eastAsia"/>
                <w:color w:val="EE0000"/>
                <w:kern w:val="0"/>
                <w:sz w:val="18"/>
                <w:szCs w:val="18"/>
                <w:lang w:bidi="ar"/>
              </w:rPr>
              <w:t>）</w:t>
            </w:r>
          </w:p>
        </w:tc>
        <w:tc>
          <w:tcPr>
            <w:tcW w:w="6251" w:type="dxa"/>
            <w:shd w:val="clear" w:color="000000" w:fill="FFFFFF"/>
            <w:vAlign w:val="center"/>
          </w:tcPr>
          <w:p w14:paraId="56743167">
            <w:pPr>
              <w:spacing w:before="0" w:after="0" w:line="240" w:lineRule="auto"/>
              <w:ind w:firstLine="0"/>
              <w:jc w:val="left"/>
              <w:rPr>
                <w:rFonts w:hint="eastAsia" w:ascii="宋体" w:hAnsi="宋体" w:cs="宋体"/>
                <w:color w:val="EE0000"/>
                <w:kern w:val="0"/>
                <w:sz w:val="18"/>
                <w:szCs w:val="18"/>
              </w:rPr>
            </w:pPr>
            <w:r>
              <w:rPr>
                <w:rFonts w:hint="eastAsia" w:ascii="宋体" w:hAnsi="宋体" w:cs="宋体"/>
                <w:color w:val="EE0000"/>
                <w:kern w:val="0"/>
                <w:sz w:val="18"/>
                <w:szCs w:val="18"/>
              </w:rPr>
              <w:t>★安全可靠：</w:t>
            </w:r>
          </w:p>
          <w:p w14:paraId="42981F8C">
            <w:pPr>
              <w:spacing w:before="0" w:after="0" w:line="240" w:lineRule="auto"/>
              <w:ind w:firstLine="0"/>
              <w:jc w:val="left"/>
              <w:rPr>
                <w:rFonts w:hint="eastAsia" w:ascii="宋体" w:hAnsi="宋体" w:cs="宋体"/>
                <w:color w:val="EE0000"/>
                <w:kern w:val="0"/>
                <w:sz w:val="18"/>
                <w:szCs w:val="18"/>
              </w:rPr>
            </w:pP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2BE4BA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50" w:hRule="atLeast"/>
        </w:trPr>
        <w:tc>
          <w:tcPr>
            <w:tcW w:w="834" w:type="dxa"/>
            <w:shd w:val="clear" w:color="000000" w:fill="FFFFFF"/>
            <w:vAlign w:val="center"/>
          </w:tcPr>
          <w:p w14:paraId="37060B23">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10</w:t>
            </w:r>
          </w:p>
        </w:tc>
        <w:tc>
          <w:tcPr>
            <w:tcW w:w="1438" w:type="dxa"/>
            <w:shd w:val="clear" w:color="000000" w:fill="FFFFFF"/>
            <w:vAlign w:val="center"/>
          </w:tcPr>
          <w:p w14:paraId="7DE61407">
            <w:pPr>
              <w:spacing w:before="0" w:after="0" w:line="240" w:lineRule="auto"/>
              <w:ind w:firstLine="0"/>
              <w:jc w:val="center"/>
              <w:rPr>
                <w:rFonts w:hint="eastAsia" w:ascii="宋体" w:hAnsi="宋体" w:cs="宋体"/>
                <w:color w:val="EE0000"/>
                <w:kern w:val="0"/>
                <w:sz w:val="18"/>
                <w:szCs w:val="18"/>
              </w:rPr>
            </w:pPr>
            <w:r>
              <w:rPr>
                <w:color w:val="EE0000"/>
                <w:kern w:val="0"/>
                <w:sz w:val="18"/>
                <w:szCs w:val="18"/>
                <w:lang w:bidi="ar"/>
              </w:rPr>
              <w:t>分布式存储服务器</w:t>
            </w:r>
            <w:r>
              <w:rPr>
                <w:rFonts w:hint="eastAsia"/>
                <w:color w:val="EE0000"/>
                <w:kern w:val="0"/>
                <w:sz w:val="18"/>
                <w:szCs w:val="18"/>
                <w:lang w:bidi="ar"/>
              </w:rPr>
              <w:t>（</w:t>
            </w:r>
            <w:r>
              <w:rPr>
                <w:rFonts w:hint="eastAsia"/>
                <w:color w:val="EE0000"/>
                <w:kern w:val="0"/>
                <w:sz w:val="18"/>
                <w:szCs w:val="18"/>
              </w:rPr>
              <w:t>ARM架构</w:t>
            </w:r>
            <w:r>
              <w:rPr>
                <w:rFonts w:hint="eastAsia"/>
                <w:color w:val="EE0000"/>
                <w:kern w:val="0"/>
                <w:sz w:val="18"/>
                <w:szCs w:val="18"/>
                <w:lang w:bidi="ar"/>
              </w:rPr>
              <w:t>）</w:t>
            </w:r>
          </w:p>
        </w:tc>
        <w:tc>
          <w:tcPr>
            <w:tcW w:w="6251" w:type="dxa"/>
            <w:shd w:val="clear" w:color="000000" w:fill="FFFFFF"/>
            <w:vAlign w:val="center"/>
          </w:tcPr>
          <w:p w14:paraId="7E9B5A55">
            <w:pPr>
              <w:spacing w:before="0" w:after="0" w:line="240" w:lineRule="auto"/>
              <w:ind w:firstLine="0"/>
              <w:jc w:val="left"/>
              <w:rPr>
                <w:color w:val="000000" w:themeColor="text1"/>
                <w:kern w:val="0"/>
                <w:sz w:val="18"/>
                <w:szCs w:val="18"/>
                <w:highlight w:val="yellow"/>
                <w:lang w:bidi="ar"/>
                <w14:textFill>
                  <w14:solidFill>
                    <w14:schemeClr w14:val="tx1"/>
                  </w14:solidFill>
                </w14:textFill>
              </w:rPr>
            </w:pPr>
            <w:r>
              <w:rPr>
                <w:rFonts w:hint="eastAsia"/>
                <w:color w:val="000000" w:themeColor="text1"/>
                <w:kern w:val="0"/>
                <w:sz w:val="18"/>
                <w:szCs w:val="18"/>
                <w:highlight w:val="yellow"/>
                <w:lang w:bidi="ar"/>
                <w14:textFill>
                  <w14:solidFill>
                    <w14:schemeClr w14:val="tx1"/>
                  </w14:solidFill>
                </w14:textFill>
              </w:rPr>
              <w:t>基本要求参考PC服务器</w:t>
            </w:r>
            <w:r>
              <w:rPr>
                <w:rFonts w:hint="eastAsia"/>
                <w:color w:val="EE0000"/>
                <w:kern w:val="0"/>
                <w:sz w:val="18"/>
                <w:szCs w:val="18"/>
                <w:highlight w:val="yellow"/>
                <w:lang w:bidi="ar"/>
              </w:rPr>
              <w:t>（</w:t>
            </w:r>
            <w:r>
              <w:rPr>
                <w:rFonts w:hint="eastAsia"/>
                <w:color w:val="EE0000"/>
                <w:kern w:val="0"/>
                <w:sz w:val="18"/>
                <w:szCs w:val="18"/>
                <w:highlight w:val="yellow"/>
              </w:rPr>
              <w:t>ARM架构</w:t>
            </w:r>
            <w:r>
              <w:rPr>
                <w:rFonts w:hint="eastAsia"/>
                <w:color w:val="EE0000"/>
                <w:kern w:val="0"/>
                <w:sz w:val="18"/>
                <w:szCs w:val="18"/>
                <w:highlight w:val="yellow"/>
                <w:lang w:bidi="ar"/>
              </w:rPr>
              <w:t>）</w:t>
            </w:r>
            <w:r>
              <w:rPr>
                <w:rFonts w:hint="eastAsia"/>
                <w:color w:val="000000" w:themeColor="text1"/>
                <w:kern w:val="0"/>
                <w:sz w:val="18"/>
                <w:szCs w:val="18"/>
                <w:highlight w:val="yellow"/>
                <w:lang w:bidi="ar"/>
                <w14:textFill>
                  <w14:solidFill>
                    <w14:schemeClr w14:val="tx1"/>
                  </w14:solidFill>
                </w14:textFill>
              </w:rPr>
              <w:t>，硬盘容量、网卡规格按需配置，参考如下：</w:t>
            </w:r>
          </w:p>
          <w:p w14:paraId="28E57095">
            <w:pPr>
              <w:spacing w:line="240" w:lineRule="auto"/>
              <w:ind w:firstLine="0"/>
              <w:jc w:val="left"/>
              <w:rPr>
                <w:bCs/>
                <w:color w:val="000000" w:themeColor="text1"/>
                <w:kern w:val="0"/>
                <w:sz w:val="18"/>
                <w:szCs w:val="18"/>
                <w:highlight w:val="yellow"/>
                <w:lang w:bidi="ar"/>
                <w14:textFill>
                  <w14:solidFill>
                    <w14:schemeClr w14:val="tx1"/>
                  </w14:solidFill>
                </w14:textFill>
              </w:rPr>
            </w:pPr>
            <w:r>
              <w:rPr>
                <w:bCs/>
                <w:color w:val="000000" w:themeColor="text1"/>
                <w:kern w:val="0"/>
                <w:sz w:val="18"/>
                <w:szCs w:val="18"/>
                <w:highlight w:val="yellow"/>
                <w:lang w:bidi="ar"/>
                <w14:textFill>
                  <w14:solidFill>
                    <w14:schemeClr w14:val="tx1"/>
                  </w14:solidFill>
                </w14:textFill>
              </w:rPr>
              <w:t xml:space="preserve">硬盘（根据实际需求调整配置）：不低于2块480GB </w:t>
            </w:r>
            <w:r>
              <w:rPr>
                <w:bCs/>
                <w:kern w:val="0"/>
                <w:sz w:val="18"/>
                <w:szCs w:val="18"/>
                <w:highlight w:val="yellow"/>
                <w:lang w:bidi="ar"/>
              </w:rPr>
              <w:t>SATA</w:t>
            </w:r>
            <w:r>
              <w:rPr>
                <w:bCs/>
                <w:color w:val="000000" w:themeColor="text1"/>
                <w:kern w:val="0"/>
                <w:sz w:val="18"/>
                <w:szCs w:val="18"/>
                <w:highlight w:val="yellow"/>
                <w:lang w:bidi="ar"/>
                <w14:textFill>
                  <w14:solidFill>
                    <w14:schemeClr w14:val="tx1"/>
                  </w14:solidFill>
                </w14:textFill>
              </w:rPr>
              <w:t xml:space="preserve"> SSD，2块1600GB NVMe SSD，10块7680GB </w:t>
            </w:r>
            <w:r>
              <w:rPr>
                <w:bCs/>
                <w:color w:val="FF0000"/>
                <w:kern w:val="0"/>
                <w:sz w:val="18"/>
                <w:szCs w:val="18"/>
                <w:highlight w:val="yellow"/>
                <w:lang w:bidi="ar"/>
              </w:rPr>
              <w:t>SAS</w:t>
            </w:r>
            <w:r>
              <w:rPr>
                <w:bCs/>
                <w:color w:val="000000" w:themeColor="text1"/>
                <w:kern w:val="0"/>
                <w:sz w:val="18"/>
                <w:szCs w:val="18"/>
                <w:highlight w:val="yellow"/>
                <w:lang w:bidi="ar"/>
                <w14:textFill>
                  <w14:solidFill>
                    <w14:schemeClr w14:val="tx1"/>
                  </w14:solidFill>
                </w14:textFill>
              </w:rPr>
              <w:t xml:space="preserve"> SSD</w:t>
            </w:r>
            <w:r>
              <w:rPr>
                <w:rFonts w:hint="eastAsia"/>
                <w:bCs/>
                <w:color w:val="000000" w:themeColor="text1"/>
                <w:kern w:val="0"/>
                <w:sz w:val="18"/>
                <w:szCs w:val="18"/>
                <w:highlight w:val="yellow"/>
                <w:lang w:bidi="ar"/>
                <w14:textFill>
                  <w14:solidFill>
                    <w14:schemeClr w14:val="tx1"/>
                  </w14:solidFill>
                </w14:textFill>
              </w:rPr>
              <w:t>，系统盘需按冗余阵列形式配置。</w:t>
            </w:r>
          </w:p>
          <w:p w14:paraId="051CC7CB">
            <w:pPr>
              <w:spacing w:line="240" w:lineRule="auto"/>
              <w:jc w:val="left"/>
              <w:rPr>
                <w:color w:val="000000" w:themeColor="text1"/>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NVMe SSD满足如下性能要求：</w:t>
            </w:r>
          </w:p>
          <w:p w14:paraId="3C296B0C">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4K顺序读带宽：&gt;=2000MB/s；</w:t>
            </w:r>
          </w:p>
          <w:p w14:paraId="1BFC7CF5">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4K顺序写带宽：&gt;=1100MB/s；</w:t>
            </w:r>
          </w:p>
          <w:p w14:paraId="4052956D">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4K随机读IOPS：&gt;=400000；</w:t>
            </w:r>
          </w:p>
          <w:p w14:paraId="3B3B48F2">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4K随机写IOPS：&gt;=50000；</w:t>
            </w:r>
          </w:p>
          <w:p w14:paraId="6C6A374A">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读写混合型，擦写寿命： &gt;=3 DWPD 3年；</w:t>
            </w:r>
          </w:p>
          <w:p w14:paraId="41D807BF">
            <w:pPr>
              <w:spacing w:line="240" w:lineRule="auto"/>
              <w:jc w:val="left"/>
              <w:rPr>
                <w:color w:val="000000" w:themeColor="text1"/>
                <w:kern w:val="0"/>
                <w:sz w:val="18"/>
                <w:szCs w:val="18"/>
                <w:highlight w:val="yellow"/>
                <w:lang w:bidi="ar"/>
                <w14:textFill>
                  <w14:solidFill>
                    <w14:schemeClr w14:val="tx1"/>
                  </w14:solidFill>
                </w14:textFill>
              </w:rPr>
            </w:pPr>
            <w:r>
              <w:rPr>
                <w:color w:val="000000" w:themeColor="text1"/>
                <w:kern w:val="0"/>
                <w:sz w:val="18"/>
                <w:szCs w:val="18"/>
                <w:highlight w:val="yellow"/>
                <w:lang w:bidi="ar"/>
                <w14:textFill>
                  <w14:solidFill>
                    <w14:schemeClr w14:val="tx1"/>
                  </w14:solidFill>
                </w14:textFill>
              </w:rPr>
              <w:t>带掉电保护功能：即有连续数据写入的情况下，异常掉电不丢数据；</w:t>
            </w:r>
          </w:p>
          <w:p w14:paraId="17ADF997">
            <w:pPr>
              <w:spacing w:line="240" w:lineRule="auto"/>
              <w:jc w:val="left"/>
              <w:rPr>
                <w:color w:val="000000" w:themeColor="text1"/>
                <w:highlight w:val="yellow"/>
                <w14:textFill>
                  <w14:solidFill>
                    <w14:schemeClr w14:val="tx1"/>
                  </w14:solidFill>
                </w14:textFill>
              </w:rPr>
            </w:pPr>
            <w:r>
              <w:rPr>
                <w:color w:val="FF0000"/>
                <w:kern w:val="0"/>
                <w:sz w:val="18"/>
                <w:szCs w:val="18"/>
                <w:highlight w:val="yellow"/>
                <w:lang w:bidi="ar"/>
              </w:rPr>
              <w:t>SAS</w:t>
            </w:r>
            <w:r>
              <w:rPr>
                <w:color w:val="000000" w:themeColor="text1"/>
                <w:kern w:val="0"/>
                <w:sz w:val="18"/>
                <w:szCs w:val="18"/>
                <w:highlight w:val="yellow"/>
                <w:lang w:bidi="ar"/>
                <w14:textFill>
                  <w14:solidFill>
                    <w14:schemeClr w14:val="tx1"/>
                  </w14:solidFill>
                </w14:textFill>
              </w:rPr>
              <w:t xml:space="preserve"> SSD满足如下性能要求：</w:t>
            </w:r>
          </w:p>
          <w:p w14:paraId="084CC91C">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4K顺序读带宽：&gt;=1000MB/s；</w:t>
            </w:r>
          </w:p>
          <w:p w14:paraId="04CBF3F1">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4K顺序写带宽：&gt;=500MB/s；</w:t>
            </w:r>
          </w:p>
          <w:p w14:paraId="1F5A23F1">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4K随机读IOPS：&gt;=200000；</w:t>
            </w:r>
          </w:p>
          <w:p w14:paraId="6021A1A6">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4K随机写IOPS：&gt;=20000；</w:t>
            </w:r>
          </w:p>
          <w:p w14:paraId="054359FD">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读写混合型，擦写寿命： &gt;=1 DWPD 3年；</w:t>
            </w:r>
          </w:p>
          <w:p w14:paraId="03DFFBFB">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带掉电保护功能：即有连续数据写入的情况下，异常掉电不丢数据；</w:t>
            </w:r>
          </w:p>
          <w:p w14:paraId="42D28115">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sas卡（none-raid）*1，带宽≥6Gbps。</w:t>
            </w:r>
          </w:p>
          <w:p w14:paraId="20AEE59D">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网卡：</w:t>
            </w:r>
          </w:p>
          <w:p w14:paraId="70AB697C">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提供本机板载网卡，1Gbps以上；</w:t>
            </w:r>
          </w:p>
          <w:p w14:paraId="7AFAB5C0">
            <w:pPr>
              <w:spacing w:line="240" w:lineRule="auto"/>
              <w:jc w:val="left"/>
              <w:rPr>
                <w:color w:val="000000" w:themeColor="text1"/>
                <w:kern w:val="0"/>
                <w:sz w:val="18"/>
                <w:szCs w:val="18"/>
                <w:highlight w:val="yellow"/>
                <w14:textFill>
                  <w14:solidFill>
                    <w14:schemeClr w14:val="tx1"/>
                  </w14:solidFill>
                </w14:textFill>
              </w:rPr>
            </w:pPr>
            <w:r>
              <w:rPr>
                <w:color w:val="FF0000"/>
                <w:kern w:val="0"/>
                <w:sz w:val="18"/>
                <w:szCs w:val="18"/>
                <w:highlight w:val="yellow"/>
                <w:lang w:bidi="ar"/>
              </w:rPr>
              <w:t>≥6</w:t>
            </w:r>
            <w:r>
              <w:rPr>
                <w:color w:val="000000" w:themeColor="text1"/>
                <w:kern w:val="0"/>
                <w:sz w:val="18"/>
                <w:szCs w:val="18"/>
                <w:highlight w:val="yellow"/>
                <w:lang w:bidi="ar"/>
                <w14:textFill>
                  <w14:solidFill>
                    <w14:schemeClr w14:val="tx1"/>
                  </w14:solidFill>
                </w14:textFill>
              </w:rPr>
              <w:t>块双端口10Gbps以太网卡</w:t>
            </w:r>
            <w:r>
              <w:rPr>
                <w:rFonts w:hint="eastAsia"/>
                <w:color w:val="000000" w:themeColor="text1"/>
                <w:kern w:val="0"/>
                <w:sz w:val="18"/>
                <w:szCs w:val="18"/>
                <w:highlight w:val="yellow"/>
                <w:lang w:bidi="ar"/>
                <w14:textFill>
                  <w14:solidFill>
                    <w14:schemeClr w14:val="tx1"/>
                  </w14:solidFill>
                </w14:textFill>
              </w:rPr>
              <w:t>，</w:t>
            </w:r>
            <w:r>
              <w:rPr>
                <w:color w:val="000000" w:themeColor="text1"/>
                <w:kern w:val="0"/>
                <w:sz w:val="18"/>
                <w:szCs w:val="18"/>
                <w:highlight w:val="yellow"/>
                <w:lang w:bidi="ar"/>
                <w14:textFill>
                  <w14:solidFill>
                    <w14:schemeClr w14:val="tx1"/>
                  </w14:solidFill>
                </w14:textFill>
              </w:rPr>
              <w:t>满配万兆多模光模块。</w:t>
            </w:r>
          </w:p>
          <w:p w14:paraId="7F1B82C1">
            <w:pPr>
              <w:spacing w:line="240" w:lineRule="auto"/>
              <w:jc w:val="left"/>
              <w:rPr>
                <w:color w:val="000000" w:themeColor="text1"/>
                <w:kern w:val="0"/>
                <w:sz w:val="18"/>
                <w:szCs w:val="18"/>
                <w:highlight w:val="yellow"/>
                <w:lang w:bidi="ar"/>
                <w14:textFill>
                  <w14:solidFill>
                    <w14:schemeClr w14:val="tx1"/>
                  </w14:solidFill>
                </w14:textFill>
              </w:rPr>
            </w:pPr>
            <w:r>
              <w:rPr>
                <w:color w:val="000000" w:themeColor="text1"/>
                <w:kern w:val="0"/>
                <w:sz w:val="18"/>
                <w:szCs w:val="18"/>
                <w:highlight w:val="yellow"/>
                <w:lang w:bidi="ar"/>
                <w14:textFill>
                  <w14:solidFill>
                    <w14:schemeClr w14:val="tx1"/>
                  </w14:solidFill>
                </w14:textFill>
              </w:rPr>
              <w:t>电源和风扇：支持热插拔冗余电源，单电源供电可正常运行，支持热插拔冗余散热风扇，电源和风扇模块要求满配；</w:t>
            </w:r>
          </w:p>
          <w:p w14:paraId="49BB5C85">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配件：原厂光驱、键盘、鼠标、电源线以及其它保证设备正常运行必须的软硬件（电源线插头类型及长度应根据现场实际需要提供）；</w:t>
            </w:r>
          </w:p>
          <w:p w14:paraId="33D93CC6">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系统管理软件：标配且带无限期使用许可，能提供服务器关键部件（包括但不限于CPU、内存、硬盘、网卡、HBA卡、阵列卡、PCI-E设备、散热、电源、温度等）运行状态和故障状态等监控，并支持与集中管控软件集成（提供集成接口并免费配合集成工作）。</w:t>
            </w:r>
          </w:p>
          <w:p w14:paraId="2FFD4555">
            <w:pPr>
              <w:spacing w:line="240" w:lineRule="auto"/>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lang w:bidi="ar"/>
                <w14:textFill>
                  <w14:solidFill>
                    <w14:schemeClr w14:val="tx1"/>
                  </w14:solidFill>
                </w14:textFill>
              </w:rPr>
              <w:t>兼容性：兼容并稳定运行主流自主可控Linux操作系统近三年内的发布版、提供针对主流操作系统的可稳定运行的驱动程序；支持64位操作系统；兼容主流商用数据库软件及主流中间件等近三年内的发布版。</w:t>
            </w:r>
          </w:p>
          <w:p w14:paraId="225999B5">
            <w:pPr>
              <w:pStyle w:val="2"/>
              <w:rPr>
                <w:highlight w:val="yellow"/>
              </w:rPr>
            </w:pPr>
            <w:r>
              <w:rPr>
                <w:color w:val="000000" w:themeColor="text1"/>
                <w:kern w:val="0"/>
                <w:sz w:val="18"/>
                <w:szCs w:val="18"/>
                <w:highlight w:val="yellow"/>
                <w:lang w:bidi="ar"/>
                <w14:textFill>
                  <w14:solidFill>
                    <w14:schemeClr w14:val="tx1"/>
                  </w14:solidFill>
                </w14:textFill>
              </w:rPr>
              <w:t>售后服务：设备到货验收合格后，原厂提供5年免费上门维修服务，人工、配件、交通等任何费用全免；每天24小时、每周7天，4小时到现场的原厂商支持，提供设备厂商服务承诺函（其中软件服务由软件原厂家提供，与服务器同年限免费升级服务）。</w:t>
            </w:r>
          </w:p>
          <w:p w14:paraId="626A87B3">
            <w:pPr>
              <w:spacing w:before="0" w:after="0" w:line="240" w:lineRule="auto"/>
              <w:ind w:firstLine="0"/>
              <w:jc w:val="left"/>
              <w:rPr>
                <w:rFonts w:hint="eastAsia" w:ascii="宋体" w:hAnsi="宋体" w:cs="宋体"/>
                <w:color w:val="EE0000"/>
                <w:kern w:val="0"/>
                <w:sz w:val="18"/>
                <w:szCs w:val="18"/>
              </w:rPr>
            </w:pPr>
          </w:p>
        </w:tc>
      </w:tr>
      <w:tr w14:paraId="3DAEC00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59" w:hRule="atLeast"/>
        </w:trPr>
        <w:tc>
          <w:tcPr>
            <w:tcW w:w="834" w:type="dxa"/>
            <w:shd w:val="clear" w:color="000000" w:fill="FFFFFF"/>
            <w:vAlign w:val="center"/>
          </w:tcPr>
          <w:p w14:paraId="00DEAC48">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11</w:t>
            </w:r>
          </w:p>
        </w:tc>
        <w:tc>
          <w:tcPr>
            <w:tcW w:w="1438" w:type="dxa"/>
            <w:shd w:val="clear" w:color="000000" w:fill="FFFFFF"/>
            <w:vAlign w:val="center"/>
          </w:tcPr>
          <w:p w14:paraId="7983F1E9">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虚拟桌面</w:t>
            </w:r>
            <w:r>
              <w:rPr>
                <w:rFonts w:ascii="宋体" w:hAnsi="宋体" w:cs="宋体"/>
                <w:kern w:val="0"/>
                <w:sz w:val="18"/>
                <w:szCs w:val="18"/>
                <w:highlight w:val="yellow"/>
              </w:rPr>
              <w:t>服务器</w:t>
            </w:r>
            <w:r>
              <w:rPr>
                <w:rFonts w:hint="eastAsia" w:ascii="宋体" w:hAnsi="宋体" w:cs="宋体"/>
                <w:kern w:val="0"/>
                <w:sz w:val="18"/>
                <w:szCs w:val="18"/>
                <w:highlight w:val="yellow"/>
              </w:rPr>
              <w:t>（</w:t>
            </w:r>
            <w:r>
              <w:rPr>
                <w:rFonts w:hint="eastAsia"/>
                <w:color w:val="000000" w:themeColor="text1"/>
                <w:kern w:val="0"/>
                <w:sz w:val="18"/>
                <w:szCs w:val="18"/>
                <w:highlight w:val="yellow"/>
                <w14:textFill>
                  <w14:solidFill>
                    <w14:schemeClr w14:val="tx1"/>
                  </w14:solidFill>
                </w14:textFill>
              </w:rPr>
              <w:t>x86架构</w:t>
            </w:r>
            <w:r>
              <w:rPr>
                <w:rFonts w:hint="eastAsia" w:ascii="宋体" w:hAnsi="宋体" w:cs="宋体"/>
                <w:kern w:val="0"/>
                <w:sz w:val="18"/>
                <w:szCs w:val="18"/>
                <w:highlight w:val="yellow"/>
              </w:rPr>
              <w:t>）</w:t>
            </w:r>
          </w:p>
        </w:tc>
        <w:tc>
          <w:tcPr>
            <w:tcW w:w="6251" w:type="dxa"/>
            <w:shd w:val="clear" w:color="000000" w:fill="FFFFFF"/>
            <w:vAlign w:val="center"/>
          </w:tcPr>
          <w:p w14:paraId="55E47AD8">
            <w:pPr>
              <w:spacing w:before="0" w:after="0" w:line="240" w:lineRule="auto"/>
              <w:ind w:firstLine="0"/>
              <w:jc w:val="left"/>
              <w:rPr>
                <w:rFonts w:hint="eastAsia" w:ascii="宋体" w:hAnsi="宋体" w:cs="宋体"/>
                <w:sz w:val="18"/>
                <w:szCs w:val="18"/>
                <w:highlight w:val="yellow"/>
                <w:lang w:bidi="ar"/>
              </w:rPr>
            </w:pPr>
            <w:r>
              <w:rPr>
                <w:rFonts w:hint="eastAsia" w:ascii="宋体" w:hAnsi="宋体" w:cs="宋体"/>
                <w:sz w:val="18"/>
                <w:szCs w:val="18"/>
                <w:highlight w:val="yellow"/>
                <w:lang w:bidi="ar"/>
              </w:rPr>
              <w:t>★安全可靠：</w:t>
            </w:r>
          </w:p>
          <w:p w14:paraId="394997F2">
            <w:pPr>
              <w:spacing w:before="0" w:after="0" w:line="240" w:lineRule="auto"/>
              <w:ind w:firstLine="0"/>
              <w:jc w:val="left"/>
              <w:rPr>
                <w:rFonts w:hint="eastAsia" w:ascii="宋体" w:hAnsi="宋体" w:cs="宋体"/>
                <w:sz w:val="18"/>
                <w:szCs w:val="18"/>
                <w:highlight w:val="yellow"/>
                <w:lang w:bidi="ar"/>
              </w:rPr>
            </w:pPr>
            <w:r>
              <w:rPr>
                <w:rFonts w:hint="eastAsia" w:ascii="宋体" w:hAnsi="宋体" w:cs="宋体"/>
                <w:sz w:val="18"/>
                <w:szCs w:val="18"/>
                <w:highlight w:val="yellow"/>
                <w:lang w:bidi="ar"/>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5756F2D5">
            <w:pPr>
              <w:spacing w:before="0" w:after="0" w:line="240" w:lineRule="auto"/>
              <w:ind w:firstLine="0"/>
              <w:jc w:val="left"/>
              <w:rPr>
                <w:color w:val="000000" w:themeColor="text1"/>
                <w:kern w:val="0"/>
                <w:sz w:val="18"/>
                <w:szCs w:val="18"/>
                <w:highlight w:val="yellow"/>
                <w14:textFill>
                  <w14:solidFill>
                    <w14:schemeClr w14:val="tx1"/>
                  </w14:solidFill>
                </w14:textFill>
              </w:rPr>
            </w:pPr>
            <w:r>
              <w:rPr>
                <w:rFonts w:hint="eastAsia" w:ascii="宋体" w:hAnsi="宋体" w:cs="宋体"/>
                <w:sz w:val="18"/>
                <w:szCs w:val="18"/>
                <w:highlight w:val="yellow"/>
                <w:lang w:bidi="ar"/>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543035F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59" w:hRule="atLeast"/>
        </w:trPr>
        <w:tc>
          <w:tcPr>
            <w:tcW w:w="834" w:type="dxa"/>
            <w:shd w:val="clear" w:color="000000" w:fill="FFFFFF"/>
            <w:vAlign w:val="center"/>
          </w:tcPr>
          <w:p w14:paraId="7408AC0B">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11</w:t>
            </w:r>
          </w:p>
        </w:tc>
        <w:tc>
          <w:tcPr>
            <w:tcW w:w="1438" w:type="dxa"/>
            <w:shd w:val="clear" w:color="000000" w:fill="FFFFFF"/>
            <w:vAlign w:val="center"/>
          </w:tcPr>
          <w:p w14:paraId="0BBD1F5B">
            <w:pPr>
              <w:spacing w:before="0" w:after="0" w:line="240" w:lineRule="auto"/>
              <w:ind w:firstLine="0"/>
              <w:jc w:val="center"/>
              <w:rPr>
                <w:color w:val="EE0000"/>
                <w:kern w:val="0"/>
                <w:sz w:val="18"/>
                <w:szCs w:val="18"/>
                <w:highlight w:val="yellow"/>
                <w:lang w:bidi="ar"/>
              </w:rPr>
            </w:pPr>
            <w:r>
              <w:rPr>
                <w:rFonts w:hint="eastAsia" w:ascii="宋体" w:hAnsi="宋体" w:cs="宋体"/>
                <w:kern w:val="0"/>
                <w:sz w:val="18"/>
                <w:szCs w:val="18"/>
                <w:highlight w:val="yellow"/>
              </w:rPr>
              <w:t>虚拟桌面</w:t>
            </w:r>
            <w:r>
              <w:rPr>
                <w:rFonts w:ascii="宋体" w:hAnsi="宋体" w:cs="宋体"/>
                <w:kern w:val="0"/>
                <w:sz w:val="18"/>
                <w:szCs w:val="18"/>
                <w:highlight w:val="yellow"/>
              </w:rPr>
              <w:t>服务器</w:t>
            </w:r>
            <w:r>
              <w:rPr>
                <w:rFonts w:hint="eastAsia" w:ascii="宋体" w:hAnsi="宋体" w:cs="宋体"/>
                <w:kern w:val="0"/>
                <w:sz w:val="18"/>
                <w:szCs w:val="18"/>
                <w:highlight w:val="yellow"/>
              </w:rPr>
              <w:t>（</w:t>
            </w:r>
            <w:r>
              <w:rPr>
                <w:rFonts w:hint="eastAsia"/>
                <w:color w:val="000000" w:themeColor="text1"/>
                <w:kern w:val="0"/>
                <w:sz w:val="18"/>
                <w:szCs w:val="18"/>
                <w:highlight w:val="yellow"/>
                <w14:textFill>
                  <w14:solidFill>
                    <w14:schemeClr w14:val="tx1"/>
                  </w14:solidFill>
                </w14:textFill>
              </w:rPr>
              <w:t>x86架构</w:t>
            </w:r>
            <w:r>
              <w:rPr>
                <w:rFonts w:hint="eastAsia" w:ascii="宋体" w:hAnsi="宋体" w:cs="宋体"/>
                <w:kern w:val="0"/>
                <w:sz w:val="18"/>
                <w:szCs w:val="18"/>
                <w:highlight w:val="yellow"/>
              </w:rPr>
              <w:t>）</w:t>
            </w:r>
          </w:p>
        </w:tc>
        <w:tc>
          <w:tcPr>
            <w:tcW w:w="6251" w:type="dxa"/>
            <w:shd w:val="clear" w:color="000000" w:fill="FFFFFF"/>
            <w:vAlign w:val="center"/>
          </w:tcPr>
          <w:p w14:paraId="71689530">
            <w:pPr>
              <w:spacing w:before="0" w:after="0" w:line="240" w:lineRule="auto"/>
              <w:ind w:firstLine="0"/>
              <w:jc w:val="left"/>
              <w:rPr>
                <w:color w:val="EE0000"/>
                <w:kern w:val="0"/>
                <w:sz w:val="18"/>
                <w:szCs w:val="18"/>
                <w:highlight w:val="yellow"/>
                <w:lang w:bidi="ar"/>
              </w:rPr>
            </w:pPr>
            <w:r>
              <w:rPr>
                <w:rFonts w:hint="eastAsia"/>
                <w:color w:val="FF0000"/>
                <w:kern w:val="0"/>
                <w:sz w:val="18"/>
                <w:szCs w:val="18"/>
                <w:highlight w:val="yellow"/>
                <w:lang w:bidi="ar"/>
              </w:rPr>
              <w:t>基本要求参考PC服务器</w:t>
            </w:r>
            <w:r>
              <w:rPr>
                <w:rFonts w:hint="eastAsia" w:ascii="宋体" w:hAnsi="宋体" w:cs="宋体"/>
                <w:color w:val="FF0000"/>
                <w:kern w:val="0"/>
                <w:sz w:val="18"/>
                <w:szCs w:val="18"/>
                <w:highlight w:val="yellow"/>
              </w:rPr>
              <w:t>（</w:t>
            </w:r>
            <w:r>
              <w:rPr>
                <w:rFonts w:hint="eastAsia"/>
                <w:color w:val="FF0000"/>
                <w:kern w:val="0"/>
                <w:sz w:val="18"/>
                <w:szCs w:val="18"/>
                <w:highlight w:val="yellow"/>
              </w:rPr>
              <w:t>x86架构</w:t>
            </w:r>
            <w:r>
              <w:rPr>
                <w:rFonts w:hint="eastAsia" w:ascii="宋体" w:hAnsi="宋体" w:cs="宋体"/>
                <w:color w:val="FF0000"/>
                <w:kern w:val="0"/>
                <w:sz w:val="18"/>
                <w:szCs w:val="18"/>
                <w:highlight w:val="yellow"/>
              </w:rPr>
              <w:t>）</w:t>
            </w:r>
            <w:r>
              <w:rPr>
                <w:rFonts w:hint="eastAsia"/>
                <w:color w:val="FF0000"/>
                <w:kern w:val="0"/>
                <w:sz w:val="18"/>
                <w:szCs w:val="18"/>
                <w:highlight w:val="yellow"/>
                <w:lang w:bidi="ar"/>
              </w:rPr>
              <w:t>，需配置独立国产显卡，显存按需配置，显卡需支持虚拟化技术；</w:t>
            </w:r>
          </w:p>
        </w:tc>
      </w:tr>
      <w:tr w14:paraId="111F48F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59" w:hRule="atLeast"/>
        </w:trPr>
        <w:tc>
          <w:tcPr>
            <w:tcW w:w="834" w:type="dxa"/>
            <w:shd w:val="clear" w:color="000000" w:fill="FFFFFF"/>
            <w:vAlign w:val="center"/>
          </w:tcPr>
          <w:p w14:paraId="589240C8">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12</w:t>
            </w:r>
          </w:p>
        </w:tc>
        <w:tc>
          <w:tcPr>
            <w:tcW w:w="1438" w:type="dxa"/>
            <w:shd w:val="clear" w:color="000000" w:fill="FFFFFF"/>
            <w:vAlign w:val="center"/>
          </w:tcPr>
          <w:p w14:paraId="7DCC1783">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虚拟桌面</w:t>
            </w:r>
            <w:r>
              <w:rPr>
                <w:rFonts w:ascii="宋体" w:hAnsi="宋体" w:cs="宋体"/>
                <w:kern w:val="0"/>
                <w:sz w:val="18"/>
                <w:szCs w:val="18"/>
                <w:highlight w:val="yellow"/>
              </w:rPr>
              <w:t>服务器</w:t>
            </w:r>
            <w:r>
              <w:rPr>
                <w:rFonts w:hint="eastAsia" w:ascii="宋体" w:hAnsi="宋体" w:cs="宋体"/>
                <w:kern w:val="0"/>
                <w:sz w:val="18"/>
                <w:szCs w:val="18"/>
                <w:highlight w:val="yellow"/>
              </w:rPr>
              <w:t>（</w:t>
            </w:r>
            <w:r>
              <w:rPr>
                <w:rFonts w:hint="eastAsia"/>
                <w:color w:val="000000" w:themeColor="text1"/>
                <w:kern w:val="0"/>
                <w:sz w:val="18"/>
                <w:szCs w:val="18"/>
                <w:highlight w:val="yellow"/>
                <w14:textFill>
                  <w14:solidFill>
                    <w14:schemeClr w14:val="tx1"/>
                  </w14:solidFill>
                </w14:textFill>
              </w:rPr>
              <w:t>ARM架构</w:t>
            </w:r>
            <w:r>
              <w:rPr>
                <w:rFonts w:hint="eastAsia" w:ascii="宋体" w:hAnsi="宋体" w:cs="宋体"/>
                <w:kern w:val="0"/>
                <w:sz w:val="18"/>
                <w:szCs w:val="18"/>
                <w:highlight w:val="yellow"/>
              </w:rPr>
              <w:t>）</w:t>
            </w:r>
          </w:p>
        </w:tc>
        <w:tc>
          <w:tcPr>
            <w:tcW w:w="6251" w:type="dxa"/>
            <w:shd w:val="clear" w:color="000000" w:fill="FFFFFF"/>
            <w:vAlign w:val="center"/>
          </w:tcPr>
          <w:p w14:paraId="19AEFB25">
            <w:pPr>
              <w:spacing w:before="0" w:after="0" w:line="240" w:lineRule="auto"/>
              <w:ind w:firstLine="0"/>
              <w:jc w:val="left"/>
              <w:rPr>
                <w:rFonts w:hint="eastAsia" w:ascii="宋体" w:hAnsi="宋体" w:cs="宋体"/>
                <w:sz w:val="18"/>
                <w:szCs w:val="18"/>
                <w:highlight w:val="yellow"/>
                <w:lang w:bidi="ar"/>
              </w:rPr>
            </w:pPr>
            <w:r>
              <w:rPr>
                <w:rFonts w:hint="eastAsia" w:ascii="宋体" w:hAnsi="宋体" w:cs="宋体"/>
                <w:sz w:val="18"/>
                <w:szCs w:val="18"/>
                <w:highlight w:val="yellow"/>
                <w:lang w:bidi="ar"/>
              </w:rPr>
              <w:t>★安全可靠：</w:t>
            </w:r>
          </w:p>
          <w:p w14:paraId="68E58C56">
            <w:pPr>
              <w:spacing w:before="0" w:after="0" w:line="240" w:lineRule="auto"/>
              <w:ind w:firstLine="0"/>
              <w:jc w:val="left"/>
              <w:rPr>
                <w:rFonts w:hint="eastAsia" w:ascii="宋体" w:hAnsi="宋体" w:cs="宋体"/>
                <w:sz w:val="18"/>
                <w:szCs w:val="18"/>
                <w:highlight w:val="yellow"/>
                <w:lang w:bidi="ar"/>
              </w:rPr>
            </w:pPr>
            <w:r>
              <w:rPr>
                <w:rFonts w:hint="eastAsia" w:ascii="宋体" w:hAnsi="宋体" w:cs="宋体"/>
                <w:sz w:val="18"/>
                <w:szCs w:val="18"/>
                <w:highlight w:val="yellow"/>
                <w:lang w:bidi="ar"/>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4945AD89">
            <w:pPr>
              <w:spacing w:before="0" w:after="0" w:line="240" w:lineRule="auto"/>
              <w:ind w:firstLine="0"/>
              <w:jc w:val="left"/>
              <w:rPr>
                <w:color w:val="000000" w:themeColor="text1"/>
                <w:kern w:val="0"/>
                <w:sz w:val="18"/>
                <w:szCs w:val="18"/>
                <w:highlight w:val="yellow"/>
                <w14:textFill>
                  <w14:solidFill>
                    <w14:schemeClr w14:val="tx1"/>
                  </w14:solidFill>
                </w14:textFill>
              </w:rPr>
            </w:pPr>
            <w:r>
              <w:rPr>
                <w:rFonts w:hint="eastAsia" w:ascii="宋体" w:hAnsi="宋体" w:cs="宋体"/>
                <w:sz w:val="18"/>
                <w:szCs w:val="18"/>
                <w:highlight w:val="yellow"/>
                <w:lang w:bidi="ar"/>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658C52C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59" w:hRule="atLeast"/>
        </w:trPr>
        <w:tc>
          <w:tcPr>
            <w:tcW w:w="834" w:type="dxa"/>
            <w:shd w:val="clear" w:color="000000" w:fill="FFFFFF"/>
            <w:vAlign w:val="center"/>
          </w:tcPr>
          <w:p w14:paraId="78402B83">
            <w:pPr>
              <w:spacing w:before="0" w:after="0" w:line="240" w:lineRule="auto"/>
              <w:ind w:firstLine="0"/>
              <w:jc w:val="center"/>
              <w:rPr>
                <w:rFonts w:hint="eastAsia" w:ascii="宋体" w:hAnsi="宋体" w:cs="宋体"/>
                <w:kern w:val="0"/>
                <w:sz w:val="22"/>
                <w:szCs w:val="22"/>
              </w:rPr>
            </w:pPr>
            <w:r>
              <w:rPr>
                <w:rFonts w:hint="eastAsia" w:ascii="宋体" w:hAnsi="宋体" w:cs="宋体"/>
                <w:kern w:val="0"/>
                <w:sz w:val="22"/>
                <w:szCs w:val="22"/>
              </w:rPr>
              <w:t>12</w:t>
            </w:r>
          </w:p>
        </w:tc>
        <w:tc>
          <w:tcPr>
            <w:tcW w:w="1438" w:type="dxa"/>
            <w:shd w:val="clear" w:color="000000" w:fill="FFFFFF"/>
            <w:vAlign w:val="center"/>
          </w:tcPr>
          <w:p w14:paraId="50D2285D">
            <w:pPr>
              <w:spacing w:before="0" w:after="0" w:line="240" w:lineRule="auto"/>
              <w:ind w:firstLine="0"/>
              <w:jc w:val="center"/>
              <w:rPr>
                <w:color w:val="EE0000"/>
                <w:kern w:val="0"/>
                <w:sz w:val="18"/>
                <w:szCs w:val="18"/>
                <w:highlight w:val="yellow"/>
                <w:lang w:bidi="ar"/>
              </w:rPr>
            </w:pPr>
            <w:r>
              <w:rPr>
                <w:rFonts w:hint="eastAsia" w:ascii="宋体" w:hAnsi="宋体" w:cs="宋体"/>
                <w:kern w:val="0"/>
                <w:sz w:val="18"/>
                <w:szCs w:val="18"/>
                <w:highlight w:val="yellow"/>
              </w:rPr>
              <w:t>虚拟桌面</w:t>
            </w:r>
            <w:r>
              <w:rPr>
                <w:rFonts w:ascii="宋体" w:hAnsi="宋体" w:cs="宋体"/>
                <w:kern w:val="0"/>
                <w:sz w:val="18"/>
                <w:szCs w:val="18"/>
                <w:highlight w:val="yellow"/>
              </w:rPr>
              <w:t>服务器</w:t>
            </w:r>
            <w:r>
              <w:rPr>
                <w:rFonts w:hint="eastAsia" w:ascii="宋体" w:hAnsi="宋体" w:cs="宋体"/>
                <w:kern w:val="0"/>
                <w:sz w:val="18"/>
                <w:szCs w:val="18"/>
                <w:highlight w:val="yellow"/>
              </w:rPr>
              <w:t>（</w:t>
            </w:r>
            <w:r>
              <w:rPr>
                <w:rFonts w:hint="eastAsia"/>
                <w:color w:val="000000" w:themeColor="text1"/>
                <w:kern w:val="0"/>
                <w:sz w:val="18"/>
                <w:szCs w:val="18"/>
                <w:highlight w:val="yellow"/>
                <w14:textFill>
                  <w14:solidFill>
                    <w14:schemeClr w14:val="tx1"/>
                  </w14:solidFill>
                </w14:textFill>
              </w:rPr>
              <w:t>ARM架构</w:t>
            </w:r>
            <w:r>
              <w:rPr>
                <w:rFonts w:hint="eastAsia" w:ascii="宋体" w:hAnsi="宋体" w:cs="宋体"/>
                <w:kern w:val="0"/>
                <w:sz w:val="18"/>
                <w:szCs w:val="18"/>
                <w:highlight w:val="yellow"/>
              </w:rPr>
              <w:t>）</w:t>
            </w:r>
          </w:p>
        </w:tc>
        <w:tc>
          <w:tcPr>
            <w:tcW w:w="6251" w:type="dxa"/>
            <w:shd w:val="clear" w:color="000000" w:fill="FFFFFF"/>
            <w:vAlign w:val="center"/>
          </w:tcPr>
          <w:p w14:paraId="296367A8">
            <w:pPr>
              <w:spacing w:before="0" w:after="0" w:line="240" w:lineRule="auto"/>
              <w:ind w:firstLine="0"/>
              <w:jc w:val="left"/>
              <w:rPr>
                <w:color w:val="EE0000"/>
                <w:kern w:val="0"/>
                <w:sz w:val="18"/>
                <w:szCs w:val="18"/>
                <w:highlight w:val="yellow"/>
                <w:lang w:bidi="ar"/>
              </w:rPr>
            </w:pPr>
            <w:r>
              <w:rPr>
                <w:rFonts w:hint="eastAsia"/>
                <w:color w:val="FF0000"/>
                <w:kern w:val="0"/>
                <w:sz w:val="18"/>
                <w:szCs w:val="18"/>
                <w:highlight w:val="yellow"/>
                <w:lang w:bidi="ar"/>
              </w:rPr>
              <w:t>基本要求参考PC服务器</w:t>
            </w:r>
            <w:r>
              <w:rPr>
                <w:rFonts w:hint="eastAsia" w:ascii="宋体" w:hAnsi="宋体" w:cs="宋体"/>
                <w:color w:val="FF0000"/>
                <w:kern w:val="0"/>
                <w:sz w:val="18"/>
                <w:szCs w:val="18"/>
                <w:highlight w:val="yellow"/>
              </w:rPr>
              <w:t>（</w:t>
            </w:r>
            <w:r>
              <w:rPr>
                <w:rFonts w:hint="eastAsia"/>
                <w:color w:val="FF0000"/>
                <w:kern w:val="0"/>
                <w:sz w:val="18"/>
                <w:szCs w:val="18"/>
                <w:highlight w:val="yellow"/>
              </w:rPr>
              <w:t>ARM架构</w:t>
            </w:r>
            <w:r>
              <w:rPr>
                <w:rFonts w:hint="eastAsia" w:ascii="宋体" w:hAnsi="宋体" w:cs="宋体"/>
                <w:color w:val="FF0000"/>
                <w:kern w:val="0"/>
                <w:sz w:val="18"/>
                <w:szCs w:val="18"/>
                <w:highlight w:val="yellow"/>
              </w:rPr>
              <w:t>）</w:t>
            </w:r>
            <w:r>
              <w:rPr>
                <w:rFonts w:hint="eastAsia"/>
                <w:color w:val="FF0000"/>
                <w:kern w:val="0"/>
                <w:sz w:val="18"/>
                <w:szCs w:val="18"/>
                <w:highlight w:val="yellow"/>
                <w:lang w:bidi="ar"/>
              </w:rPr>
              <w:t>，需配置独立国产显卡，显存按需配置，显卡需支持虚拟化技术；</w:t>
            </w:r>
          </w:p>
        </w:tc>
      </w:tr>
      <w:tr w14:paraId="5E70DC9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53505F5A">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13</w:t>
            </w:r>
          </w:p>
        </w:tc>
        <w:tc>
          <w:tcPr>
            <w:tcW w:w="1438" w:type="dxa"/>
            <w:shd w:val="clear" w:color="000000" w:fill="FFFFFF"/>
            <w:vAlign w:val="center"/>
          </w:tcPr>
          <w:p w14:paraId="4D66EF57">
            <w:pPr>
              <w:spacing w:before="0" w:after="0" w:line="240" w:lineRule="auto"/>
              <w:ind w:firstLine="0"/>
              <w:jc w:val="center"/>
              <w:rPr>
                <w:rFonts w:hint="eastAsia" w:ascii="Times New Roman" w:hAnsi="Times New Roman" w:cs="Times New Roman"/>
                <w:color w:val="000000" w:themeColor="text1"/>
                <w:kern w:val="0"/>
                <w:sz w:val="18"/>
                <w:szCs w:val="18"/>
                <w:lang w:bidi="ar"/>
                <w14:textFill>
                  <w14:solidFill>
                    <w14:schemeClr w14:val="tx1"/>
                  </w14:solidFill>
                </w14:textFill>
              </w:rPr>
            </w:pPr>
            <w:r>
              <w:rPr>
                <w:rFonts w:hint="eastAsia" w:ascii="Times New Roman" w:hAnsi="Times New Roman" w:cs="Times New Roman"/>
                <w:color w:val="000000" w:themeColor="text1"/>
                <w:kern w:val="0"/>
                <w:sz w:val="18"/>
                <w:szCs w:val="18"/>
                <w:lang w:bidi="ar"/>
                <w14:textFill>
                  <w14:solidFill>
                    <w14:schemeClr w14:val="tx1"/>
                  </w14:solidFill>
                </w14:textFill>
              </w:rPr>
              <w:t>服务器内存（16</w:t>
            </w:r>
            <w:r>
              <w:rPr>
                <w:rFonts w:ascii="Times New Roman" w:hAnsi="Times New Roman" w:cs="Times New Roman"/>
                <w:color w:val="000000" w:themeColor="text1"/>
                <w:kern w:val="0"/>
                <w:sz w:val="18"/>
                <w:szCs w:val="18"/>
                <w:lang w:bidi="ar"/>
                <w14:textFill>
                  <w14:solidFill>
                    <w14:schemeClr w14:val="tx1"/>
                  </w14:solidFill>
                </w14:textFill>
              </w:rPr>
              <w:t>GB</w:t>
            </w:r>
            <w:r>
              <w:rPr>
                <w:rFonts w:hint="eastAsia" w:ascii="Times New Roman" w:hAnsi="Times New Roman" w:cs="Times New Roman"/>
                <w:color w:val="000000" w:themeColor="text1"/>
                <w:kern w:val="0"/>
                <w:sz w:val="18"/>
                <w:szCs w:val="18"/>
                <w:lang w:bidi="ar"/>
                <w14:textFill>
                  <w14:solidFill>
                    <w14:schemeClr w14:val="tx1"/>
                  </w14:solidFill>
                </w14:textFill>
              </w:rPr>
              <w:t>）</w:t>
            </w:r>
          </w:p>
        </w:tc>
        <w:tc>
          <w:tcPr>
            <w:tcW w:w="6251" w:type="dxa"/>
            <w:shd w:val="clear" w:color="000000" w:fill="FFFFFF"/>
            <w:vAlign w:val="center"/>
          </w:tcPr>
          <w:p w14:paraId="00F8A8D0">
            <w:pPr>
              <w:spacing w:before="0" w:after="0" w:line="240" w:lineRule="auto"/>
              <w:ind w:firstLine="0"/>
              <w:rPr>
                <w:color w:val="EE0000"/>
                <w:kern w:val="0"/>
                <w:sz w:val="18"/>
                <w:szCs w:val="18"/>
                <w:highlight w:val="yellow"/>
                <w:lang w:bidi="ar"/>
              </w:rPr>
            </w:pPr>
            <w:r>
              <w:rPr>
                <w:color w:val="000000" w:themeColor="text1"/>
                <w:kern w:val="0"/>
                <w:sz w:val="18"/>
                <w:szCs w:val="18"/>
                <w:highlight w:val="yellow"/>
                <w:lang w:bidi="ar"/>
                <w14:textFill>
                  <w14:solidFill>
                    <w14:schemeClr w14:val="tx1"/>
                  </w14:solidFill>
                </w14:textFill>
              </w:rPr>
              <w:t>≥</w:t>
            </w:r>
            <w:r>
              <w:rPr>
                <w:rFonts w:hint="eastAsia"/>
                <w:color w:val="000000" w:themeColor="text1"/>
                <w:kern w:val="0"/>
                <w:sz w:val="18"/>
                <w:szCs w:val="18"/>
                <w:highlight w:val="yellow"/>
                <w:lang w:bidi="ar"/>
                <w14:textFill>
                  <w14:solidFill>
                    <w14:schemeClr w14:val="tx1"/>
                  </w14:solidFill>
                </w14:textFill>
              </w:rPr>
              <w:t>16GB</w:t>
            </w:r>
            <w:r>
              <w:rPr>
                <w:color w:val="000000" w:themeColor="text1"/>
                <w:kern w:val="0"/>
                <w:sz w:val="18"/>
                <w:szCs w:val="18"/>
                <w:highlight w:val="yellow"/>
                <w:lang w:bidi="ar"/>
                <w14:textFill>
                  <w14:solidFill>
                    <w14:schemeClr w14:val="tx1"/>
                  </w14:solidFill>
                </w14:textFill>
              </w:rPr>
              <w:t>（单条），DDR</w:t>
            </w:r>
            <w:r>
              <w:rPr>
                <w:rFonts w:hint="eastAsia"/>
                <w:color w:val="000000" w:themeColor="text1"/>
                <w:kern w:val="0"/>
                <w:sz w:val="18"/>
                <w:szCs w:val="18"/>
                <w:highlight w:val="yellow"/>
                <w:lang w:bidi="ar"/>
                <w14:textFill>
                  <w14:solidFill>
                    <w14:schemeClr w14:val="tx1"/>
                  </w14:solidFill>
                </w14:textFill>
              </w:rPr>
              <w:t>5</w:t>
            </w:r>
            <w:r>
              <w:rPr>
                <w:color w:val="FF0000"/>
                <w:kern w:val="0"/>
                <w:sz w:val="18"/>
                <w:szCs w:val="18"/>
                <w:highlight w:val="yellow"/>
                <w:lang w:bidi="ar"/>
              </w:rPr>
              <w:t>频率≥2666MHz</w:t>
            </w:r>
            <w:r>
              <w:rPr>
                <w:color w:val="000000" w:themeColor="text1"/>
                <w:kern w:val="0"/>
                <w:sz w:val="18"/>
                <w:szCs w:val="18"/>
                <w:highlight w:val="yellow"/>
                <w:lang w:bidi="ar"/>
                <w14:textFill>
                  <w14:solidFill>
                    <w14:schemeClr w14:val="tx1"/>
                  </w14:solidFill>
                </w14:textFill>
              </w:rPr>
              <w:t>，售后服务：同配套服务器。</w:t>
            </w:r>
          </w:p>
        </w:tc>
      </w:tr>
      <w:tr w14:paraId="4C764CD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2ACCAE49">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14</w:t>
            </w:r>
          </w:p>
        </w:tc>
        <w:tc>
          <w:tcPr>
            <w:tcW w:w="1438" w:type="dxa"/>
            <w:shd w:val="clear" w:color="000000" w:fill="FFFFFF"/>
            <w:vAlign w:val="center"/>
          </w:tcPr>
          <w:p w14:paraId="0946E264">
            <w:pPr>
              <w:spacing w:before="0" w:after="0" w:line="240" w:lineRule="auto"/>
              <w:ind w:firstLine="0"/>
              <w:jc w:val="center"/>
              <w:rPr>
                <w:rFonts w:hint="eastAsia" w:ascii="Times New Roman" w:hAnsi="Times New Roman" w:cs="Times New Roman"/>
                <w:color w:val="000000" w:themeColor="text1"/>
                <w:kern w:val="0"/>
                <w:sz w:val="18"/>
                <w:szCs w:val="18"/>
                <w:lang w:bidi="ar"/>
                <w14:textFill>
                  <w14:solidFill>
                    <w14:schemeClr w14:val="tx1"/>
                  </w14:solidFill>
                </w14:textFill>
              </w:rPr>
            </w:pPr>
            <w:r>
              <w:rPr>
                <w:rFonts w:hint="eastAsia" w:ascii="Times New Roman" w:hAnsi="Times New Roman" w:cs="Times New Roman"/>
                <w:color w:val="000000" w:themeColor="text1"/>
                <w:kern w:val="0"/>
                <w:sz w:val="18"/>
                <w:szCs w:val="18"/>
                <w:lang w:bidi="ar"/>
                <w14:textFill>
                  <w14:solidFill>
                    <w14:schemeClr w14:val="tx1"/>
                  </w14:solidFill>
                </w14:textFill>
              </w:rPr>
              <w:t>服务器内存(32</w:t>
            </w:r>
            <w:r>
              <w:rPr>
                <w:rFonts w:ascii="Times New Roman" w:hAnsi="Times New Roman" w:cs="Times New Roman"/>
                <w:color w:val="000000" w:themeColor="text1"/>
                <w:kern w:val="0"/>
                <w:sz w:val="18"/>
                <w:szCs w:val="18"/>
                <w:lang w:bidi="ar"/>
                <w14:textFill>
                  <w14:solidFill>
                    <w14:schemeClr w14:val="tx1"/>
                  </w14:solidFill>
                </w14:textFill>
              </w:rPr>
              <w:t>GB)</w:t>
            </w:r>
          </w:p>
        </w:tc>
        <w:tc>
          <w:tcPr>
            <w:tcW w:w="6251" w:type="dxa"/>
            <w:shd w:val="clear" w:color="000000" w:fill="FFFFFF"/>
            <w:vAlign w:val="center"/>
          </w:tcPr>
          <w:p w14:paraId="7F67CED2">
            <w:pPr>
              <w:spacing w:before="0" w:after="0" w:line="240" w:lineRule="auto"/>
              <w:ind w:firstLine="0"/>
              <w:rPr>
                <w:color w:val="EE0000"/>
                <w:kern w:val="0"/>
                <w:sz w:val="18"/>
                <w:szCs w:val="18"/>
                <w:highlight w:val="yellow"/>
                <w:lang w:bidi="ar"/>
              </w:rPr>
            </w:pPr>
            <w:r>
              <w:rPr>
                <w:color w:val="000000" w:themeColor="text1"/>
                <w:kern w:val="0"/>
                <w:sz w:val="18"/>
                <w:szCs w:val="18"/>
                <w:highlight w:val="yellow"/>
                <w:lang w:bidi="ar"/>
                <w14:textFill>
                  <w14:solidFill>
                    <w14:schemeClr w14:val="tx1"/>
                  </w14:solidFill>
                </w14:textFill>
              </w:rPr>
              <w:t>≥32GB（单条），DDR</w:t>
            </w:r>
            <w:r>
              <w:rPr>
                <w:rFonts w:hint="eastAsia"/>
                <w:color w:val="000000" w:themeColor="text1"/>
                <w:kern w:val="0"/>
                <w:sz w:val="18"/>
                <w:szCs w:val="18"/>
                <w:highlight w:val="yellow"/>
                <w:lang w:bidi="ar"/>
                <w14:textFill>
                  <w14:solidFill>
                    <w14:schemeClr w14:val="tx1"/>
                  </w14:solidFill>
                </w14:textFill>
              </w:rPr>
              <w:t>5</w:t>
            </w:r>
            <w:r>
              <w:rPr>
                <w:color w:val="FF0000"/>
                <w:kern w:val="0"/>
                <w:sz w:val="18"/>
                <w:szCs w:val="18"/>
                <w:highlight w:val="yellow"/>
                <w:lang w:bidi="ar"/>
              </w:rPr>
              <w:t>频率≥2666MHz</w:t>
            </w:r>
            <w:r>
              <w:rPr>
                <w:color w:val="000000" w:themeColor="text1"/>
                <w:kern w:val="0"/>
                <w:sz w:val="18"/>
                <w:szCs w:val="18"/>
                <w:highlight w:val="yellow"/>
                <w:lang w:bidi="ar"/>
                <w14:textFill>
                  <w14:solidFill>
                    <w14:schemeClr w14:val="tx1"/>
                  </w14:solidFill>
                </w14:textFill>
              </w:rPr>
              <w:t>，售后服务：同配套服务器。</w:t>
            </w:r>
          </w:p>
        </w:tc>
      </w:tr>
      <w:tr w14:paraId="76B8E3A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834" w:type="dxa"/>
            <w:shd w:val="clear" w:color="000000" w:fill="FFFFFF"/>
            <w:vAlign w:val="center"/>
          </w:tcPr>
          <w:p w14:paraId="716ECC5D">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15</w:t>
            </w:r>
          </w:p>
        </w:tc>
        <w:tc>
          <w:tcPr>
            <w:tcW w:w="1438" w:type="dxa"/>
            <w:shd w:val="clear" w:color="000000" w:fill="FFFFFF"/>
            <w:vAlign w:val="center"/>
          </w:tcPr>
          <w:p w14:paraId="42A2FA14">
            <w:pPr>
              <w:spacing w:before="0" w:after="0" w:line="240" w:lineRule="auto"/>
              <w:ind w:firstLine="0"/>
              <w:jc w:val="center"/>
              <w:rPr>
                <w:rFonts w:hint="eastAsia" w:ascii="宋体" w:hAnsi="宋体" w:cs="宋体"/>
                <w:kern w:val="0"/>
                <w:sz w:val="18"/>
                <w:szCs w:val="18"/>
              </w:rPr>
            </w:pPr>
            <w:r>
              <w:rPr>
                <w:color w:val="000000" w:themeColor="text1"/>
                <w:kern w:val="0"/>
                <w:sz w:val="18"/>
                <w:szCs w:val="18"/>
                <w:lang w:bidi="ar"/>
                <w14:textFill>
                  <w14:solidFill>
                    <w14:schemeClr w14:val="tx1"/>
                  </w14:solidFill>
                </w14:textFill>
              </w:rPr>
              <w:t>服务器SSD硬盘</w:t>
            </w:r>
          </w:p>
        </w:tc>
        <w:tc>
          <w:tcPr>
            <w:tcW w:w="6251" w:type="dxa"/>
            <w:shd w:val="clear" w:color="000000" w:fill="FFFFFF"/>
            <w:vAlign w:val="center"/>
          </w:tcPr>
          <w:p w14:paraId="0160B97F">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w:t>
            </w:r>
            <w:r>
              <w:rPr>
                <w:rFonts w:hint="eastAsia"/>
                <w:color w:val="000000" w:themeColor="text1"/>
                <w:kern w:val="0"/>
                <w:sz w:val="18"/>
                <w:szCs w:val="18"/>
                <w:lang w:bidi="ar"/>
                <w14:textFill>
                  <w14:solidFill>
                    <w14:schemeClr w14:val="tx1"/>
                  </w14:solidFill>
                </w14:textFill>
              </w:rPr>
              <w:t>960 GB</w:t>
            </w:r>
            <w:r>
              <w:rPr>
                <w:color w:val="000000" w:themeColor="text1"/>
                <w:kern w:val="0"/>
                <w:sz w:val="18"/>
                <w:szCs w:val="18"/>
                <w:lang w:bidi="ar"/>
                <w14:textFill>
                  <w14:solidFill>
                    <w14:schemeClr w14:val="tx1"/>
                  </w14:solidFill>
                </w14:textFill>
              </w:rPr>
              <w:t xml:space="preserve"> SSD盘(单盘)企业级TLC芯片2.5英寸,含安装接口配件，售后服务：同配套服务器。</w:t>
            </w:r>
          </w:p>
        </w:tc>
      </w:tr>
      <w:tr w14:paraId="5A307C1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2E023F15">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16</w:t>
            </w:r>
          </w:p>
        </w:tc>
        <w:tc>
          <w:tcPr>
            <w:tcW w:w="1438" w:type="dxa"/>
            <w:shd w:val="clear" w:color="000000" w:fill="FFFFFF"/>
            <w:vAlign w:val="center"/>
          </w:tcPr>
          <w:p w14:paraId="273ADDAD">
            <w:pPr>
              <w:spacing w:before="0" w:after="0" w:line="240" w:lineRule="auto"/>
              <w:ind w:firstLine="0"/>
              <w:jc w:val="center"/>
              <w:rPr>
                <w:rFonts w:hint="eastAsia" w:ascii="宋体" w:hAnsi="宋体" w:cs="宋体"/>
                <w:kern w:val="0"/>
                <w:sz w:val="18"/>
                <w:szCs w:val="18"/>
              </w:rPr>
            </w:pPr>
            <w:r>
              <w:rPr>
                <w:color w:val="000000" w:themeColor="text1"/>
                <w:kern w:val="0"/>
                <w:sz w:val="18"/>
                <w:szCs w:val="18"/>
                <w:lang w:bidi="ar"/>
                <w14:textFill>
                  <w14:solidFill>
                    <w14:schemeClr w14:val="tx1"/>
                  </w14:solidFill>
                </w14:textFill>
              </w:rPr>
              <w:t>服务器</w:t>
            </w:r>
            <w:r>
              <w:rPr>
                <w:rFonts w:hint="eastAsia"/>
                <w:color w:val="000000" w:themeColor="text1"/>
                <w:kern w:val="0"/>
                <w:sz w:val="18"/>
                <w:szCs w:val="18"/>
                <w:highlight w:val="none"/>
                <w:lang w:bidi="ar"/>
                <w14:textFill>
                  <w14:solidFill>
                    <w14:schemeClr w14:val="tx1"/>
                  </w14:solidFill>
                </w14:textFill>
              </w:rPr>
              <w:t>NVMe</w:t>
            </w:r>
            <w:r>
              <w:rPr>
                <w:rFonts w:hint="eastAsia"/>
                <w:color w:val="000000" w:themeColor="text1"/>
                <w:kern w:val="0"/>
                <w:sz w:val="18"/>
                <w:szCs w:val="18"/>
                <w:highlight w:val="none"/>
                <w:lang w:val="en-US" w:eastAsia="zh-CN" w:bidi="ar"/>
                <w14:textFill>
                  <w14:solidFill>
                    <w14:schemeClr w14:val="tx1"/>
                  </w14:solidFill>
                </w14:textFill>
              </w:rPr>
              <w:t xml:space="preserve"> </w:t>
            </w:r>
            <w:r>
              <w:rPr>
                <w:color w:val="000000" w:themeColor="text1"/>
                <w:kern w:val="0"/>
                <w:sz w:val="18"/>
                <w:szCs w:val="18"/>
                <w:lang w:bidi="ar"/>
                <w14:textFill>
                  <w14:solidFill>
                    <w14:schemeClr w14:val="tx1"/>
                  </w14:solidFill>
                </w14:textFill>
              </w:rPr>
              <w:t>SSD硬盘</w:t>
            </w:r>
          </w:p>
        </w:tc>
        <w:tc>
          <w:tcPr>
            <w:tcW w:w="6251" w:type="dxa"/>
            <w:shd w:val="clear" w:color="000000" w:fill="FFFFFF"/>
            <w:vAlign w:val="center"/>
          </w:tcPr>
          <w:p w14:paraId="1856EF8C">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≥1.92TB</w:t>
            </w:r>
            <w:r>
              <w:rPr>
                <w:rFonts w:hint="eastAsia"/>
                <w:color w:val="000000" w:themeColor="text1"/>
                <w:kern w:val="0"/>
                <w:sz w:val="18"/>
                <w:szCs w:val="18"/>
                <w:lang w:bidi="ar"/>
                <w14:textFill>
                  <w14:solidFill>
                    <w14:schemeClr w14:val="tx1"/>
                  </w14:solidFill>
                </w14:textFill>
              </w:rPr>
              <w:t xml:space="preserve"> NVMe</w:t>
            </w:r>
            <w:r>
              <w:rPr>
                <w:color w:val="000000" w:themeColor="text1"/>
                <w:kern w:val="0"/>
                <w:sz w:val="18"/>
                <w:szCs w:val="18"/>
                <w:lang w:bidi="ar"/>
                <w14:textFill>
                  <w14:solidFill>
                    <w14:schemeClr w14:val="tx1"/>
                  </w14:solidFill>
                </w14:textFill>
              </w:rPr>
              <w:t xml:space="preserve"> SSD盘(单盘)企业级TLC芯片,含安装接口配件，售后服务：同配套服务器。</w:t>
            </w:r>
          </w:p>
        </w:tc>
      </w:tr>
      <w:tr w14:paraId="5BBC9C3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11155AF8">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17</w:t>
            </w:r>
          </w:p>
        </w:tc>
        <w:tc>
          <w:tcPr>
            <w:tcW w:w="1438" w:type="dxa"/>
            <w:shd w:val="clear" w:color="000000" w:fill="FFFFFF"/>
            <w:vAlign w:val="center"/>
          </w:tcPr>
          <w:p w14:paraId="7B4FA30C">
            <w:pPr>
              <w:spacing w:before="0" w:after="0" w:line="240" w:lineRule="auto"/>
              <w:ind w:firstLine="0"/>
              <w:jc w:val="center"/>
              <w:rPr>
                <w:rFonts w:hint="eastAsia" w:ascii="宋体" w:hAnsi="宋体" w:cs="宋体"/>
                <w:kern w:val="0"/>
                <w:sz w:val="18"/>
                <w:szCs w:val="18"/>
              </w:rPr>
            </w:pPr>
            <w:r>
              <w:rPr>
                <w:color w:val="000000" w:themeColor="text1"/>
                <w:kern w:val="0"/>
                <w:sz w:val="18"/>
                <w:szCs w:val="18"/>
                <w:lang w:bidi="ar"/>
                <w14:textFill>
                  <w14:solidFill>
                    <w14:schemeClr w14:val="tx1"/>
                  </w14:solidFill>
                </w14:textFill>
              </w:rPr>
              <w:t>服务器SAS硬盘</w:t>
            </w:r>
          </w:p>
        </w:tc>
        <w:tc>
          <w:tcPr>
            <w:tcW w:w="6251" w:type="dxa"/>
            <w:shd w:val="clear" w:color="000000" w:fill="FFFFFF"/>
            <w:vAlign w:val="center"/>
          </w:tcPr>
          <w:p w14:paraId="392F0416">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≥1.2TB SAS盘(单盘)2.5英寸转速10KRPM（或以上），含安装接口配件，售后服务：同配套服务器。</w:t>
            </w:r>
          </w:p>
        </w:tc>
      </w:tr>
      <w:tr w14:paraId="5870644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6DC24DE9">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18</w:t>
            </w:r>
          </w:p>
        </w:tc>
        <w:tc>
          <w:tcPr>
            <w:tcW w:w="1438" w:type="dxa"/>
            <w:shd w:val="clear" w:color="000000" w:fill="FFFFFF"/>
            <w:vAlign w:val="center"/>
          </w:tcPr>
          <w:p w14:paraId="5233D29D">
            <w:pPr>
              <w:spacing w:before="0" w:after="0" w:line="240" w:lineRule="auto"/>
              <w:ind w:firstLine="0"/>
              <w:jc w:val="center"/>
              <w:rPr>
                <w:rFonts w:hint="eastAsia" w:ascii="宋体" w:hAnsi="宋体" w:cs="宋体"/>
                <w:kern w:val="0"/>
                <w:sz w:val="18"/>
                <w:szCs w:val="18"/>
              </w:rPr>
            </w:pPr>
            <w:r>
              <w:rPr>
                <w:color w:val="000000" w:themeColor="text1"/>
                <w:kern w:val="0"/>
                <w:sz w:val="18"/>
                <w:szCs w:val="18"/>
                <w:lang w:bidi="ar"/>
                <w14:textFill>
                  <w14:solidFill>
                    <w14:schemeClr w14:val="tx1"/>
                  </w14:solidFill>
                </w14:textFill>
              </w:rPr>
              <w:t>服务器SATA硬盘（三档）</w:t>
            </w:r>
          </w:p>
        </w:tc>
        <w:tc>
          <w:tcPr>
            <w:tcW w:w="6251" w:type="dxa"/>
            <w:shd w:val="clear" w:color="000000" w:fill="FFFFFF"/>
            <w:vAlign w:val="center"/>
          </w:tcPr>
          <w:p w14:paraId="2923AB53">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≥4TB SATA盘(单盘)3.5英寸转速7.2KRPM（或以上），含安装接口配件，售后服务：同配套服务器。</w:t>
            </w:r>
          </w:p>
        </w:tc>
      </w:tr>
      <w:tr w14:paraId="5B8337E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6AC39217">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19</w:t>
            </w:r>
          </w:p>
        </w:tc>
        <w:tc>
          <w:tcPr>
            <w:tcW w:w="1438" w:type="dxa"/>
            <w:shd w:val="clear" w:color="000000" w:fill="FFFFFF"/>
            <w:vAlign w:val="center"/>
          </w:tcPr>
          <w:p w14:paraId="6BC87330">
            <w:pPr>
              <w:spacing w:before="0" w:after="0" w:line="240" w:lineRule="auto"/>
              <w:ind w:firstLine="0"/>
              <w:jc w:val="center"/>
              <w:rPr>
                <w:rFonts w:hint="eastAsia" w:ascii="宋体" w:hAnsi="宋体" w:cs="宋体"/>
                <w:kern w:val="0"/>
                <w:sz w:val="18"/>
                <w:szCs w:val="18"/>
              </w:rPr>
            </w:pPr>
            <w:r>
              <w:rPr>
                <w:color w:val="000000" w:themeColor="text1"/>
                <w:kern w:val="0"/>
                <w:sz w:val="18"/>
                <w:szCs w:val="18"/>
                <w:lang w:bidi="ar"/>
                <w14:textFill>
                  <w14:solidFill>
                    <w14:schemeClr w14:val="tx1"/>
                  </w14:solidFill>
                </w14:textFill>
              </w:rPr>
              <w:t>服务器SATA硬盘（二档）</w:t>
            </w:r>
          </w:p>
        </w:tc>
        <w:tc>
          <w:tcPr>
            <w:tcW w:w="6251" w:type="dxa"/>
            <w:shd w:val="clear" w:color="000000" w:fill="FFFFFF"/>
            <w:vAlign w:val="center"/>
          </w:tcPr>
          <w:p w14:paraId="03F7FBCA">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≥8TB SATA盘(单盘)3.5英寸转速7.2KRPM（或以上），含安装接口配件，售后服务：同配套服务器。</w:t>
            </w:r>
          </w:p>
        </w:tc>
      </w:tr>
      <w:tr w14:paraId="2F65664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540418EB">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20</w:t>
            </w:r>
          </w:p>
        </w:tc>
        <w:tc>
          <w:tcPr>
            <w:tcW w:w="1438" w:type="dxa"/>
            <w:shd w:val="clear" w:color="000000" w:fill="FFFFFF"/>
            <w:vAlign w:val="center"/>
          </w:tcPr>
          <w:p w14:paraId="3C3CC936">
            <w:pPr>
              <w:spacing w:before="0" w:after="0" w:line="240" w:lineRule="auto"/>
              <w:ind w:firstLine="0"/>
              <w:jc w:val="center"/>
              <w:rPr>
                <w:rFonts w:hint="eastAsia" w:ascii="宋体" w:hAnsi="宋体" w:cs="宋体"/>
                <w:kern w:val="0"/>
                <w:sz w:val="18"/>
                <w:szCs w:val="18"/>
              </w:rPr>
            </w:pPr>
            <w:r>
              <w:rPr>
                <w:color w:val="000000" w:themeColor="text1"/>
                <w:kern w:val="0"/>
                <w:sz w:val="18"/>
                <w:szCs w:val="18"/>
                <w:lang w:bidi="ar"/>
                <w14:textFill>
                  <w14:solidFill>
                    <w14:schemeClr w14:val="tx1"/>
                  </w14:solidFill>
                </w14:textFill>
              </w:rPr>
              <w:t>服务器SATA硬盘（一档）</w:t>
            </w:r>
          </w:p>
        </w:tc>
        <w:tc>
          <w:tcPr>
            <w:tcW w:w="6251" w:type="dxa"/>
            <w:shd w:val="clear" w:color="000000" w:fill="FFFFFF"/>
            <w:vAlign w:val="center"/>
          </w:tcPr>
          <w:p w14:paraId="02FFEE4B">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≥12TB SATA盘(单盘)3.5英寸转速7.2KRPM（或以上），含安装接口配件，售后服务：同配套服务器。</w:t>
            </w:r>
          </w:p>
        </w:tc>
      </w:tr>
      <w:tr w14:paraId="40BD8A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601159A8">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21</w:t>
            </w:r>
          </w:p>
        </w:tc>
        <w:tc>
          <w:tcPr>
            <w:tcW w:w="1438" w:type="dxa"/>
            <w:shd w:val="clear" w:color="000000" w:fill="FFFFFF"/>
            <w:vAlign w:val="center"/>
          </w:tcPr>
          <w:p w14:paraId="14A964CA">
            <w:pPr>
              <w:spacing w:before="0" w:after="0" w:line="240" w:lineRule="auto"/>
              <w:ind w:firstLine="0"/>
              <w:jc w:val="center"/>
              <w:rPr>
                <w:rFonts w:hint="eastAsia"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服务器网卡</w:t>
            </w:r>
            <w:r>
              <w:rPr>
                <w:rFonts w:hint="eastAsia" w:ascii="Times New Roman" w:hAnsi="Times New Roman" w:cs="Times New Roman"/>
                <w:color w:val="000000" w:themeColor="text1"/>
                <w:kern w:val="0"/>
                <w:sz w:val="18"/>
                <w:szCs w:val="18"/>
                <w:lang w:bidi="ar"/>
                <w14:textFill>
                  <w14:solidFill>
                    <w14:schemeClr w14:val="tx1"/>
                  </w14:solidFill>
                </w14:textFill>
              </w:rPr>
              <w:t>（</w:t>
            </w:r>
            <w:r>
              <w:rPr>
                <w:rFonts w:ascii="Times New Roman" w:hAnsi="Times New Roman" w:cs="Times New Roman"/>
                <w:color w:val="000000" w:themeColor="text1"/>
                <w:kern w:val="0"/>
                <w:sz w:val="18"/>
                <w:szCs w:val="18"/>
                <w:lang w:bidi="ar"/>
                <w14:textFill>
                  <w14:solidFill>
                    <w14:schemeClr w14:val="tx1"/>
                  </w14:solidFill>
                </w14:textFill>
              </w:rPr>
              <w:t>双端口千兆以太网卡</w:t>
            </w:r>
            <w:r>
              <w:rPr>
                <w:rFonts w:hint="eastAsia" w:ascii="Times New Roman" w:hAnsi="Times New Roman" w:cs="Times New Roman"/>
                <w:color w:val="000000" w:themeColor="text1"/>
                <w:kern w:val="0"/>
                <w:sz w:val="18"/>
                <w:szCs w:val="18"/>
                <w:lang w:bidi="ar"/>
                <w14:textFill>
                  <w14:solidFill>
                    <w14:schemeClr w14:val="tx1"/>
                  </w14:solidFill>
                </w14:textFill>
              </w:rPr>
              <w:t>）</w:t>
            </w:r>
          </w:p>
        </w:tc>
        <w:tc>
          <w:tcPr>
            <w:tcW w:w="6251" w:type="dxa"/>
            <w:shd w:val="clear" w:color="000000" w:fill="FFFFFF"/>
            <w:vAlign w:val="center"/>
          </w:tcPr>
          <w:p w14:paraId="418C5C4B">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双端口千兆以太网卡。</w:t>
            </w:r>
          </w:p>
        </w:tc>
      </w:tr>
      <w:tr w14:paraId="7082836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42888716">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22</w:t>
            </w:r>
          </w:p>
        </w:tc>
        <w:tc>
          <w:tcPr>
            <w:tcW w:w="1438" w:type="dxa"/>
            <w:shd w:val="clear" w:color="000000" w:fill="FFFFFF"/>
            <w:vAlign w:val="center"/>
          </w:tcPr>
          <w:p w14:paraId="0AB325AC">
            <w:pPr>
              <w:spacing w:before="0" w:after="0" w:line="240" w:lineRule="auto"/>
              <w:ind w:firstLine="0"/>
              <w:jc w:val="center"/>
              <w:rPr>
                <w:rFonts w:hint="eastAsia"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服务器网卡</w:t>
            </w:r>
            <w:r>
              <w:rPr>
                <w:rFonts w:hint="eastAsia" w:ascii="Times New Roman" w:hAnsi="Times New Roman" w:cs="Times New Roman"/>
                <w:color w:val="000000" w:themeColor="text1"/>
                <w:kern w:val="0"/>
                <w:sz w:val="18"/>
                <w:szCs w:val="18"/>
                <w:lang w:bidi="ar"/>
                <w14:textFill>
                  <w14:solidFill>
                    <w14:schemeClr w14:val="tx1"/>
                  </w14:solidFill>
                </w14:textFill>
              </w:rPr>
              <w:t>（</w:t>
            </w:r>
            <w:r>
              <w:rPr>
                <w:rFonts w:ascii="Times New Roman" w:hAnsi="Times New Roman" w:cs="Times New Roman"/>
                <w:color w:val="000000" w:themeColor="text1"/>
                <w:kern w:val="0"/>
                <w:sz w:val="18"/>
                <w:szCs w:val="18"/>
                <w:lang w:bidi="ar"/>
                <w14:textFill>
                  <w14:solidFill>
                    <w14:schemeClr w14:val="tx1"/>
                  </w14:solidFill>
                </w14:textFill>
              </w:rPr>
              <w:t>双光纤端口万兆以太光网卡</w:t>
            </w:r>
            <w:r>
              <w:rPr>
                <w:rFonts w:hint="eastAsia" w:ascii="Times New Roman" w:hAnsi="Times New Roman" w:cs="Times New Roman"/>
                <w:color w:val="000000" w:themeColor="text1"/>
                <w:kern w:val="0"/>
                <w:sz w:val="18"/>
                <w:szCs w:val="18"/>
                <w:lang w:bidi="ar"/>
                <w14:textFill>
                  <w14:solidFill>
                    <w14:schemeClr w14:val="tx1"/>
                  </w14:solidFill>
                </w14:textFill>
              </w:rPr>
              <w:t>）</w:t>
            </w:r>
          </w:p>
        </w:tc>
        <w:tc>
          <w:tcPr>
            <w:tcW w:w="6251" w:type="dxa"/>
            <w:shd w:val="clear" w:color="000000" w:fill="FFFFFF"/>
            <w:vAlign w:val="center"/>
          </w:tcPr>
          <w:p w14:paraId="15B8E053">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双光纤端口万兆以太光网卡，满配万兆</w:t>
            </w:r>
            <w:r>
              <w:rPr>
                <w:rFonts w:hint="eastAsia"/>
                <w:color w:val="000000" w:themeColor="text1"/>
                <w:kern w:val="0"/>
                <w:sz w:val="18"/>
                <w:szCs w:val="18"/>
                <w:lang w:bidi="ar"/>
                <w14:textFill>
                  <w14:solidFill>
                    <w14:schemeClr w14:val="tx1"/>
                  </w14:solidFill>
                </w14:textFill>
              </w:rPr>
              <w:t>多模</w:t>
            </w:r>
            <w:r>
              <w:rPr>
                <w:color w:val="000000" w:themeColor="text1"/>
                <w:kern w:val="0"/>
                <w:sz w:val="18"/>
                <w:szCs w:val="18"/>
                <w:lang w:bidi="ar"/>
                <w14:textFill>
                  <w14:solidFill>
                    <w14:schemeClr w14:val="tx1"/>
                  </w14:solidFill>
                </w14:textFill>
              </w:rPr>
              <w:t>光模块。</w:t>
            </w:r>
          </w:p>
        </w:tc>
      </w:tr>
      <w:tr w14:paraId="34DB6FE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59F7E98C">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23</w:t>
            </w:r>
          </w:p>
        </w:tc>
        <w:tc>
          <w:tcPr>
            <w:tcW w:w="1438" w:type="dxa"/>
            <w:shd w:val="clear" w:color="000000" w:fill="FFFFFF"/>
            <w:vAlign w:val="center"/>
          </w:tcPr>
          <w:p w14:paraId="16C785B1">
            <w:pPr>
              <w:spacing w:before="0" w:after="0" w:line="240" w:lineRule="auto"/>
              <w:ind w:firstLine="0"/>
              <w:jc w:val="center"/>
              <w:rPr>
                <w:rFonts w:hint="eastAsia" w:ascii="Times New Roman" w:hAnsi="Times New Roman" w:cs="Times New Roman"/>
                <w:color w:val="000000" w:themeColor="text1"/>
                <w:kern w:val="0"/>
                <w:sz w:val="18"/>
                <w:szCs w:val="18"/>
                <w:lang w:bidi="ar"/>
                <w14:textFill>
                  <w14:solidFill>
                    <w14:schemeClr w14:val="tx1"/>
                  </w14:solidFill>
                </w14:textFill>
              </w:rPr>
            </w:pPr>
            <w:r>
              <w:rPr>
                <w:rFonts w:ascii="Times New Roman" w:hAnsi="Times New Roman" w:cs="Times New Roman"/>
                <w:color w:val="000000" w:themeColor="text1"/>
                <w:kern w:val="0"/>
                <w:sz w:val="18"/>
                <w:szCs w:val="18"/>
                <w:lang w:bidi="ar"/>
                <w14:textFill>
                  <w14:solidFill>
                    <w14:schemeClr w14:val="tx1"/>
                  </w14:solidFill>
                </w14:textFill>
              </w:rPr>
              <w:t>服务器网卡</w:t>
            </w:r>
            <w:r>
              <w:rPr>
                <w:rFonts w:hint="eastAsia" w:ascii="Times New Roman" w:hAnsi="Times New Roman" w:cs="Times New Roman"/>
                <w:color w:val="000000" w:themeColor="text1"/>
                <w:kern w:val="0"/>
                <w:sz w:val="18"/>
                <w:szCs w:val="18"/>
                <w:lang w:bidi="ar"/>
                <w14:textFill>
                  <w14:solidFill>
                    <w14:schemeClr w14:val="tx1"/>
                  </w14:solidFill>
                </w14:textFill>
              </w:rPr>
              <w:t>（</w:t>
            </w:r>
            <w:r>
              <w:rPr>
                <w:rFonts w:ascii="Times New Roman" w:hAnsi="Times New Roman" w:cs="Times New Roman"/>
                <w:color w:val="000000" w:themeColor="text1"/>
                <w:kern w:val="0"/>
                <w:sz w:val="18"/>
                <w:szCs w:val="18"/>
                <w:lang w:bidi="ar"/>
                <w14:textFill>
                  <w14:solidFill>
                    <w14:schemeClr w14:val="tx1"/>
                  </w14:solidFill>
                </w14:textFill>
              </w:rPr>
              <w:t>双光纤端口</w:t>
            </w:r>
            <w:r>
              <w:rPr>
                <w:rFonts w:hint="eastAsia" w:ascii="Times New Roman" w:hAnsi="Times New Roman" w:cs="Times New Roman"/>
                <w:color w:val="000000" w:themeColor="text1"/>
                <w:kern w:val="0"/>
                <w:sz w:val="18"/>
                <w:szCs w:val="18"/>
                <w:lang w:bidi="ar"/>
                <w14:textFill>
                  <w14:solidFill>
                    <w14:schemeClr w14:val="tx1"/>
                  </w14:solidFill>
                </w14:textFill>
              </w:rPr>
              <w:t>25GE</w:t>
            </w:r>
            <w:r>
              <w:rPr>
                <w:rFonts w:ascii="Times New Roman" w:hAnsi="Times New Roman" w:cs="Times New Roman"/>
                <w:color w:val="000000" w:themeColor="text1"/>
                <w:kern w:val="0"/>
                <w:sz w:val="18"/>
                <w:szCs w:val="18"/>
                <w:lang w:bidi="ar"/>
                <w14:textFill>
                  <w14:solidFill>
                    <w14:schemeClr w14:val="tx1"/>
                  </w14:solidFill>
                </w14:textFill>
              </w:rPr>
              <w:t>以太光网卡</w:t>
            </w:r>
            <w:r>
              <w:rPr>
                <w:rFonts w:hint="eastAsia" w:ascii="Times New Roman" w:hAnsi="Times New Roman" w:cs="Times New Roman"/>
                <w:color w:val="000000" w:themeColor="text1"/>
                <w:kern w:val="0"/>
                <w:sz w:val="18"/>
                <w:szCs w:val="18"/>
                <w:lang w:bidi="ar"/>
                <w14:textFill>
                  <w14:solidFill>
                    <w14:schemeClr w14:val="tx1"/>
                  </w14:solidFill>
                </w14:textFill>
              </w:rPr>
              <w:t>）</w:t>
            </w:r>
          </w:p>
        </w:tc>
        <w:tc>
          <w:tcPr>
            <w:tcW w:w="6251" w:type="dxa"/>
            <w:shd w:val="clear" w:color="000000" w:fill="FFFFFF"/>
            <w:vAlign w:val="center"/>
          </w:tcPr>
          <w:p w14:paraId="7F608501">
            <w:pPr>
              <w:spacing w:before="0" w:after="0" w:line="240" w:lineRule="auto"/>
              <w:ind w:firstLine="0"/>
              <w:jc w:val="left"/>
              <w:rPr>
                <w:color w:val="EE0000"/>
                <w:kern w:val="0"/>
                <w:sz w:val="18"/>
                <w:szCs w:val="18"/>
                <w:lang w:bidi="ar"/>
              </w:rPr>
            </w:pPr>
            <w:r>
              <w:rPr>
                <w:color w:val="000000" w:themeColor="text1"/>
                <w:kern w:val="0"/>
                <w:sz w:val="18"/>
                <w:szCs w:val="18"/>
                <w:lang w:bidi="ar"/>
                <w14:textFill>
                  <w14:solidFill>
                    <w14:schemeClr w14:val="tx1"/>
                  </w14:solidFill>
                </w14:textFill>
              </w:rPr>
              <w:t>双光纤端口</w:t>
            </w:r>
            <w:r>
              <w:rPr>
                <w:rFonts w:hint="eastAsia"/>
                <w:color w:val="000000" w:themeColor="text1"/>
                <w:kern w:val="0"/>
                <w:sz w:val="18"/>
                <w:szCs w:val="18"/>
                <w:lang w:bidi="ar"/>
                <w14:textFill>
                  <w14:solidFill>
                    <w14:schemeClr w14:val="tx1"/>
                  </w14:solidFill>
                </w14:textFill>
              </w:rPr>
              <w:t>25GE</w:t>
            </w:r>
            <w:r>
              <w:rPr>
                <w:color w:val="000000" w:themeColor="text1"/>
                <w:kern w:val="0"/>
                <w:sz w:val="18"/>
                <w:szCs w:val="18"/>
                <w:lang w:bidi="ar"/>
                <w14:textFill>
                  <w14:solidFill>
                    <w14:schemeClr w14:val="tx1"/>
                  </w14:solidFill>
                </w14:textFill>
              </w:rPr>
              <w:t>以太光网卡，满配</w:t>
            </w:r>
            <w:r>
              <w:rPr>
                <w:rFonts w:hint="eastAsia"/>
                <w:color w:val="000000" w:themeColor="text1"/>
                <w:kern w:val="0"/>
                <w:sz w:val="18"/>
                <w:szCs w:val="18"/>
                <w:lang w:bidi="ar"/>
                <w14:textFill>
                  <w14:solidFill>
                    <w14:schemeClr w14:val="tx1"/>
                  </w14:solidFill>
                </w14:textFill>
              </w:rPr>
              <w:t>25GE多模</w:t>
            </w:r>
            <w:r>
              <w:rPr>
                <w:color w:val="000000" w:themeColor="text1"/>
                <w:kern w:val="0"/>
                <w:sz w:val="18"/>
                <w:szCs w:val="18"/>
                <w:lang w:bidi="ar"/>
                <w14:textFill>
                  <w14:solidFill>
                    <w14:schemeClr w14:val="tx1"/>
                  </w14:solidFill>
                </w14:textFill>
              </w:rPr>
              <w:t>光模块</w:t>
            </w:r>
            <w:r>
              <w:rPr>
                <w:rFonts w:hint="eastAsia"/>
                <w:color w:val="000000" w:themeColor="text1"/>
                <w:kern w:val="0"/>
                <w:sz w:val="18"/>
                <w:szCs w:val="18"/>
                <w:lang w:bidi="ar"/>
                <w14:textFill>
                  <w14:solidFill>
                    <w14:schemeClr w14:val="tx1"/>
                  </w14:solidFill>
                </w14:textFill>
              </w:rPr>
              <w:t>，支持RDMA协议</w:t>
            </w:r>
            <w:r>
              <w:rPr>
                <w:color w:val="000000" w:themeColor="text1"/>
                <w:kern w:val="0"/>
                <w:sz w:val="18"/>
                <w:szCs w:val="18"/>
                <w:lang w:bidi="ar"/>
                <w14:textFill>
                  <w14:solidFill>
                    <w14:schemeClr w14:val="tx1"/>
                  </w14:solidFill>
                </w14:textFill>
              </w:rPr>
              <w:t>。</w:t>
            </w:r>
          </w:p>
        </w:tc>
      </w:tr>
      <w:tr w14:paraId="6F78C58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 w:hRule="atLeast"/>
        </w:trPr>
        <w:tc>
          <w:tcPr>
            <w:tcW w:w="834" w:type="dxa"/>
            <w:shd w:val="clear" w:color="000000" w:fill="FFFFFF"/>
            <w:vAlign w:val="center"/>
          </w:tcPr>
          <w:p w14:paraId="18C8FFF8">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24</w:t>
            </w:r>
          </w:p>
        </w:tc>
        <w:tc>
          <w:tcPr>
            <w:tcW w:w="1438" w:type="dxa"/>
            <w:shd w:val="clear" w:color="000000" w:fill="FFFFFF"/>
            <w:vAlign w:val="center"/>
          </w:tcPr>
          <w:p w14:paraId="1D1BF8AB">
            <w:pPr>
              <w:spacing w:before="0" w:after="0" w:line="240" w:lineRule="auto"/>
              <w:ind w:firstLine="0"/>
              <w:jc w:val="center"/>
              <w:rPr>
                <w:rFonts w:ascii="Times New Roman" w:hAnsi="Times New Roman" w:cs="Times New Roman"/>
                <w:color w:val="000000" w:themeColor="text1"/>
                <w:kern w:val="0"/>
                <w:sz w:val="18"/>
                <w:szCs w:val="18"/>
                <w:lang w:bidi="ar"/>
                <w14:textFill>
                  <w14:solidFill>
                    <w14:schemeClr w14:val="tx1"/>
                  </w14:solidFill>
                </w14:textFill>
              </w:rPr>
            </w:pPr>
            <w:r>
              <w:rPr>
                <w:rFonts w:hint="eastAsia" w:ascii="Times New Roman" w:hAnsi="Times New Roman" w:cs="Times New Roman"/>
                <w:color w:val="000000" w:themeColor="text1"/>
                <w:kern w:val="0"/>
                <w:sz w:val="18"/>
                <w:szCs w:val="18"/>
                <w:lang w:bidi="ar"/>
                <w14:textFill>
                  <w14:solidFill>
                    <w14:schemeClr w14:val="tx1"/>
                  </w14:solidFill>
                </w14:textFill>
              </w:rPr>
              <w:t>HBA卡</w:t>
            </w:r>
          </w:p>
        </w:tc>
        <w:tc>
          <w:tcPr>
            <w:tcW w:w="6251" w:type="dxa"/>
            <w:shd w:val="clear" w:color="000000" w:fill="FFFFFF"/>
            <w:vAlign w:val="center"/>
          </w:tcPr>
          <w:p w14:paraId="09830BDA">
            <w:pPr>
              <w:spacing w:before="0" w:after="0" w:line="240" w:lineRule="auto"/>
              <w:ind w:firstLine="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双</w:t>
            </w:r>
            <w:r>
              <w:rPr>
                <w:rFonts w:ascii="宋体" w:hAnsi="宋体" w:cs="宋体"/>
                <w:color w:val="auto"/>
                <w:kern w:val="0"/>
                <w:sz w:val="18"/>
                <w:szCs w:val="18"/>
                <w:highlight w:val="none"/>
              </w:rPr>
              <w:t>端口</w:t>
            </w:r>
            <w:r>
              <w:rPr>
                <w:rFonts w:hint="eastAsia" w:ascii="宋体" w:hAnsi="宋体" w:cs="宋体"/>
                <w:color w:val="auto"/>
                <w:kern w:val="0"/>
                <w:sz w:val="18"/>
                <w:szCs w:val="18"/>
                <w:highlight w:val="none"/>
              </w:rPr>
              <w:t>≥16Gbps HBA卡，</w:t>
            </w:r>
            <w:r>
              <w:rPr>
                <w:rFonts w:ascii="宋体" w:hAnsi="宋体" w:cs="宋体"/>
                <w:color w:val="auto"/>
                <w:kern w:val="0"/>
                <w:sz w:val="18"/>
                <w:szCs w:val="18"/>
                <w:highlight w:val="none"/>
              </w:rPr>
              <w:t>与本项目采购的服务器和存储设备配套使用</w:t>
            </w:r>
            <w:r>
              <w:rPr>
                <w:rFonts w:hint="eastAsia" w:ascii="宋体" w:hAnsi="宋体" w:cs="宋体"/>
                <w:color w:val="auto"/>
                <w:kern w:val="0"/>
                <w:sz w:val="18"/>
                <w:szCs w:val="18"/>
                <w:highlight w:val="none"/>
              </w:rPr>
              <w:t>，</w:t>
            </w:r>
            <w:r>
              <w:rPr>
                <w:rFonts w:ascii="宋体" w:hAnsi="宋体" w:cs="宋体"/>
                <w:color w:val="auto"/>
                <w:kern w:val="0"/>
                <w:sz w:val="18"/>
                <w:szCs w:val="18"/>
                <w:highlight w:val="none"/>
              </w:rPr>
              <w:t>售后服务</w:t>
            </w:r>
            <w:r>
              <w:rPr>
                <w:rFonts w:hint="eastAsia" w:ascii="宋体" w:hAnsi="宋体" w:cs="宋体"/>
                <w:color w:val="auto"/>
                <w:kern w:val="0"/>
                <w:sz w:val="18"/>
                <w:szCs w:val="18"/>
                <w:highlight w:val="none"/>
              </w:rPr>
              <w:t>与</w:t>
            </w:r>
            <w:r>
              <w:rPr>
                <w:rFonts w:ascii="宋体" w:hAnsi="宋体" w:cs="宋体"/>
                <w:color w:val="auto"/>
                <w:kern w:val="0"/>
                <w:sz w:val="18"/>
                <w:szCs w:val="18"/>
                <w:highlight w:val="none"/>
              </w:rPr>
              <w:t>整机要求相同。</w:t>
            </w:r>
          </w:p>
          <w:p w14:paraId="2633BD22">
            <w:pPr>
              <w:spacing w:before="0" w:after="0" w:line="240" w:lineRule="auto"/>
              <w:ind w:firstLine="0"/>
              <w:jc w:val="left"/>
              <w:rPr>
                <w:color w:val="000000" w:themeColor="text1"/>
                <w:kern w:val="0"/>
                <w:sz w:val="18"/>
                <w:szCs w:val="18"/>
                <w:lang w:bidi="ar"/>
                <w14:textFill>
                  <w14:solidFill>
                    <w14:schemeClr w14:val="tx1"/>
                  </w14:solidFill>
                </w14:textFill>
              </w:rPr>
            </w:pPr>
            <w:r>
              <w:rPr>
                <w:rFonts w:hint="eastAsia" w:ascii="宋体" w:hAnsi="宋体" w:cs="宋体"/>
                <w:color w:val="auto"/>
                <w:kern w:val="0"/>
                <w:sz w:val="18"/>
                <w:szCs w:val="18"/>
                <w:highlight w:val="none"/>
              </w:rPr>
              <w:t>售后</w:t>
            </w:r>
            <w:r>
              <w:rPr>
                <w:rFonts w:ascii="宋体" w:hAnsi="宋体" w:cs="宋体"/>
                <w:color w:val="auto"/>
                <w:kern w:val="0"/>
                <w:sz w:val="18"/>
                <w:szCs w:val="18"/>
                <w:highlight w:val="none"/>
              </w:rPr>
              <w:t>服务</w:t>
            </w:r>
            <w:r>
              <w:rPr>
                <w:rFonts w:hint="eastAsia" w:ascii="宋体" w:hAnsi="宋体" w:cs="宋体"/>
                <w:color w:val="auto"/>
                <w:kern w:val="0"/>
                <w:sz w:val="18"/>
                <w:szCs w:val="18"/>
                <w:highlight w:val="none"/>
              </w:rPr>
              <w:t>：同</w:t>
            </w:r>
            <w:r>
              <w:rPr>
                <w:rFonts w:ascii="宋体" w:hAnsi="宋体" w:cs="宋体"/>
                <w:color w:val="auto"/>
                <w:kern w:val="0"/>
                <w:sz w:val="18"/>
                <w:szCs w:val="18"/>
                <w:highlight w:val="none"/>
              </w:rPr>
              <w:t>配套服务器</w:t>
            </w:r>
          </w:p>
        </w:tc>
      </w:tr>
    </w:tbl>
    <w:p w14:paraId="6161949D">
      <w:pPr>
        <w:pStyle w:val="7"/>
        <w:widowControl/>
        <w:spacing w:line="360" w:lineRule="auto"/>
      </w:pPr>
      <w:r>
        <w:rPr>
          <w:rFonts w:hint="eastAsia"/>
        </w:rPr>
        <w:t>工作站、显示器配置要求</w:t>
      </w:r>
    </w:p>
    <w:p w14:paraId="778F29BE">
      <w:pPr>
        <w:spacing w:before="120" w:after="120"/>
        <w:ind w:firstLine="480"/>
      </w:pPr>
      <w:r>
        <w:rPr>
          <w:rFonts w:hint="eastAsia"/>
        </w:rPr>
        <w:t>最低配置要求如下表所示，</w:t>
      </w:r>
      <w:r>
        <w:t>产品应满足或不低于该配置要求</w:t>
      </w:r>
      <w:r>
        <w:rPr>
          <w:rFonts w:hint="eastAsia"/>
        </w:rPr>
        <w:t>：</w:t>
      </w:r>
    </w:p>
    <w:tbl>
      <w:tblPr>
        <w:tblStyle w:val="46"/>
        <w:tblW w:w="8523"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028"/>
        <w:gridCol w:w="1560"/>
        <w:gridCol w:w="5935"/>
      </w:tblGrid>
      <w:tr w14:paraId="7D24A27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blHeader/>
        </w:trPr>
        <w:tc>
          <w:tcPr>
            <w:tcW w:w="1028" w:type="dxa"/>
            <w:shd w:val="clear" w:color="000000" w:fill="FFFFFF"/>
            <w:vAlign w:val="center"/>
          </w:tcPr>
          <w:p w14:paraId="4A414EA4">
            <w:pPr>
              <w:adjustRightInd w:val="0"/>
              <w:snapToGrid w:val="0"/>
              <w:spacing w:before="120" w:after="12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序号</w:t>
            </w:r>
          </w:p>
        </w:tc>
        <w:tc>
          <w:tcPr>
            <w:tcW w:w="1560" w:type="dxa"/>
            <w:shd w:val="clear" w:color="000000" w:fill="FFFFFF"/>
            <w:vAlign w:val="center"/>
          </w:tcPr>
          <w:p w14:paraId="4672C3B7">
            <w:pPr>
              <w:adjustRightInd w:val="0"/>
              <w:snapToGrid w:val="0"/>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设备名称</w:t>
            </w:r>
          </w:p>
        </w:tc>
        <w:tc>
          <w:tcPr>
            <w:tcW w:w="5935" w:type="dxa"/>
            <w:shd w:val="clear" w:color="000000" w:fill="FFFFFF"/>
            <w:vAlign w:val="center"/>
          </w:tcPr>
          <w:p w14:paraId="3BCB3107">
            <w:pPr>
              <w:adjustRightInd w:val="0"/>
              <w:snapToGrid w:val="0"/>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技术要求</w:t>
            </w:r>
          </w:p>
        </w:tc>
      </w:tr>
      <w:tr w14:paraId="76FD57E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0178E581">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w:t>
            </w:r>
          </w:p>
        </w:tc>
        <w:tc>
          <w:tcPr>
            <w:tcW w:w="1560" w:type="dxa"/>
            <w:shd w:val="clear" w:color="000000" w:fill="FFFFFF"/>
            <w:vAlign w:val="center"/>
          </w:tcPr>
          <w:p w14:paraId="16094388">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highlight w:val="yellow"/>
              </w:rPr>
              <w:t>工作站（机架式，X86架构，一档）</w:t>
            </w:r>
          </w:p>
        </w:tc>
        <w:tc>
          <w:tcPr>
            <w:tcW w:w="5935" w:type="dxa"/>
            <w:shd w:val="clear" w:color="000000" w:fill="FFFFFF"/>
            <w:vAlign w:val="center"/>
          </w:tcPr>
          <w:p w14:paraId="7C707EB0">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02B919D1">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12202A24">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537B533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702346C9">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w:t>
            </w:r>
          </w:p>
        </w:tc>
        <w:tc>
          <w:tcPr>
            <w:tcW w:w="1560" w:type="dxa"/>
            <w:shd w:val="clear" w:color="000000" w:fill="FFFFFF"/>
            <w:vAlign w:val="center"/>
          </w:tcPr>
          <w:p w14:paraId="145F7AA5">
            <w:pPr>
              <w:adjustRightInd w:val="0"/>
              <w:snapToGrid w:val="0"/>
              <w:spacing w:before="0" w:after="0" w:line="240" w:lineRule="auto"/>
              <w:ind w:firstLine="0"/>
              <w:jc w:val="left"/>
              <w:rPr>
                <w:rFonts w:hint="eastAsia" w:ascii="宋体" w:hAnsi="宋体" w:cs="宋体"/>
                <w:color w:val="EE0000"/>
                <w:kern w:val="0"/>
                <w:sz w:val="18"/>
                <w:szCs w:val="18"/>
                <w:highlight w:val="yellow"/>
              </w:rPr>
            </w:pPr>
            <w:r>
              <w:rPr>
                <w:rFonts w:hint="eastAsia" w:ascii="宋体" w:hAnsi="宋体" w:cs="宋体"/>
                <w:kern w:val="0"/>
                <w:sz w:val="18"/>
                <w:szCs w:val="18"/>
                <w:highlight w:val="yellow"/>
              </w:rPr>
              <w:t>工作站（机架式，</w:t>
            </w:r>
            <w:r>
              <w:rPr>
                <w:rFonts w:ascii="宋体" w:hAnsi="宋体" w:cs="宋体"/>
                <w:kern w:val="0"/>
                <w:sz w:val="18"/>
                <w:szCs w:val="18"/>
                <w:highlight w:val="yellow"/>
              </w:rPr>
              <w:t>X86</w:t>
            </w:r>
            <w:r>
              <w:rPr>
                <w:rFonts w:hint="eastAsia" w:ascii="宋体" w:hAnsi="宋体" w:cs="宋体"/>
                <w:kern w:val="0"/>
                <w:sz w:val="18"/>
                <w:szCs w:val="18"/>
                <w:highlight w:val="yellow"/>
              </w:rPr>
              <w:t>架构，一档）</w:t>
            </w:r>
          </w:p>
        </w:tc>
        <w:tc>
          <w:tcPr>
            <w:tcW w:w="5935" w:type="dxa"/>
            <w:shd w:val="clear" w:color="000000" w:fill="FFFFFF"/>
            <w:vAlign w:val="center"/>
          </w:tcPr>
          <w:p w14:paraId="2DF0B587">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机架式工作站。</w:t>
            </w:r>
          </w:p>
          <w:p w14:paraId="0670CE9E">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外形：标准机柜安装，含机架安装套件，带安装导轨等；</w:t>
            </w:r>
          </w:p>
          <w:p w14:paraId="30B33D52">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CPU：X86</w:t>
            </w:r>
            <w:r>
              <w:rPr>
                <w:rFonts w:hint="eastAsia" w:ascii="宋体" w:hAnsi="宋体" w:cs="宋体"/>
                <w:kern w:val="0"/>
                <w:sz w:val="18"/>
                <w:szCs w:val="18"/>
                <w:highlight w:val="yellow"/>
              </w:rPr>
              <w:t>架构</w:t>
            </w:r>
            <w:r>
              <w:rPr>
                <w:rFonts w:ascii="宋体" w:hAnsi="宋体" w:cs="宋体"/>
                <w:kern w:val="0"/>
                <w:sz w:val="18"/>
                <w:szCs w:val="18"/>
                <w:highlight w:val="yellow"/>
              </w:rPr>
              <w:t>，总核数不低于</w:t>
            </w:r>
            <w:r>
              <w:rPr>
                <w:rFonts w:hint="eastAsia" w:ascii="宋体" w:hAnsi="宋体" w:cs="宋体"/>
                <w:kern w:val="0"/>
                <w:sz w:val="18"/>
                <w:szCs w:val="18"/>
                <w:highlight w:val="yellow"/>
              </w:rPr>
              <w:t>24</w:t>
            </w:r>
            <w:r>
              <w:rPr>
                <w:rFonts w:ascii="宋体" w:hAnsi="宋体" w:cs="宋体"/>
                <w:kern w:val="0"/>
                <w:sz w:val="18"/>
                <w:szCs w:val="18"/>
                <w:highlight w:val="yellow"/>
              </w:rPr>
              <w:t>核，原始主频≥2.</w:t>
            </w:r>
            <w:r>
              <w:rPr>
                <w:rFonts w:hint="eastAsia" w:ascii="宋体" w:hAnsi="宋体" w:cs="宋体"/>
                <w:kern w:val="0"/>
                <w:sz w:val="18"/>
                <w:szCs w:val="18"/>
                <w:highlight w:val="yellow"/>
              </w:rPr>
              <w:t>1</w:t>
            </w:r>
            <w:r>
              <w:rPr>
                <w:rFonts w:ascii="宋体" w:hAnsi="宋体" w:cs="宋体"/>
                <w:kern w:val="0"/>
                <w:sz w:val="18"/>
                <w:szCs w:val="18"/>
                <w:highlight w:val="yellow"/>
              </w:rPr>
              <w:t>GHz；CPU芯片需通过安全可靠测评，其安全可靠测评等级不得低于I级，详情可从中国信息安全测评中心（www.itsec.gov.cn）和国家保密科技测评中心（www.nsstec.org.cn）网站查询。</w:t>
            </w:r>
          </w:p>
          <w:p w14:paraId="674435EC">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内存：大于或等于</w:t>
            </w:r>
            <w:r>
              <w:rPr>
                <w:rFonts w:hint="eastAsia" w:ascii="宋体" w:hAnsi="宋体" w:cs="宋体"/>
                <w:kern w:val="0"/>
                <w:sz w:val="18"/>
                <w:szCs w:val="18"/>
                <w:highlight w:val="yellow"/>
              </w:rPr>
              <w:t>64</w:t>
            </w:r>
            <w:r>
              <w:rPr>
                <w:rFonts w:ascii="宋体" w:hAnsi="宋体" w:cs="宋体"/>
                <w:kern w:val="0"/>
                <w:sz w:val="18"/>
                <w:szCs w:val="18"/>
                <w:highlight w:val="yellow"/>
              </w:rPr>
              <w:t>GB DDR4；</w:t>
            </w:r>
          </w:p>
          <w:p w14:paraId="3ED59559">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硬盘：2块480GB（或以上）SSD固态硬盘，</w:t>
            </w:r>
            <w:r>
              <w:rPr>
                <w:rFonts w:hint="eastAsia" w:ascii="宋体" w:hAnsi="宋体" w:cs="宋体"/>
                <w:kern w:val="0"/>
                <w:sz w:val="18"/>
                <w:szCs w:val="18"/>
                <w:highlight w:val="yellow"/>
              </w:rPr>
              <w:t>T</w:t>
            </w:r>
            <w:r>
              <w:rPr>
                <w:rFonts w:ascii="宋体" w:hAnsi="宋体" w:cs="宋体"/>
                <w:kern w:val="0"/>
                <w:sz w:val="18"/>
                <w:szCs w:val="18"/>
                <w:highlight w:val="yellow"/>
              </w:rPr>
              <w:t>LC闪存颗粒</w:t>
            </w:r>
            <w:r>
              <w:rPr>
                <w:rFonts w:hint="eastAsia" w:ascii="宋体" w:hAnsi="宋体" w:cs="宋体"/>
                <w:kern w:val="0"/>
                <w:sz w:val="18"/>
                <w:szCs w:val="18"/>
                <w:highlight w:val="yellow"/>
              </w:rPr>
              <w:t>，</w:t>
            </w:r>
            <w:r>
              <w:rPr>
                <w:rFonts w:ascii="宋体" w:hAnsi="宋体" w:cs="宋体"/>
                <w:kern w:val="0"/>
                <w:sz w:val="18"/>
                <w:szCs w:val="18"/>
                <w:highlight w:val="yellow"/>
              </w:rPr>
              <w:t>读写混合型，擦写寿命：≥3 DWPD 5年；</w:t>
            </w:r>
          </w:p>
          <w:p w14:paraId="22CF3F6A">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显卡：2个双屏3D显卡（</w:t>
            </w:r>
            <w:r>
              <w:rPr>
                <w:rFonts w:hint="eastAsia" w:ascii="宋体" w:hAnsi="宋体" w:cs="宋体"/>
                <w:kern w:val="0"/>
                <w:sz w:val="18"/>
                <w:szCs w:val="18"/>
                <w:highlight w:val="yellow"/>
              </w:rPr>
              <w:t>每显卡</w:t>
            </w:r>
            <w:r>
              <w:rPr>
                <w:rFonts w:ascii="宋体" w:hAnsi="宋体" w:cs="宋体"/>
                <w:kern w:val="0"/>
                <w:sz w:val="18"/>
                <w:szCs w:val="18"/>
                <w:highlight w:val="yellow"/>
              </w:rPr>
              <w:t>独立显存≥2GB）或1个四屏3D显卡（独立显存≥4GB），</w:t>
            </w:r>
            <w:r>
              <w:rPr>
                <w:rFonts w:hint="eastAsia" w:ascii="宋体" w:hAnsi="宋体" w:cs="宋体"/>
                <w:kern w:val="0"/>
                <w:sz w:val="18"/>
                <w:szCs w:val="18"/>
                <w:highlight w:val="yellow"/>
              </w:rPr>
              <w:t>原生提供</w:t>
            </w:r>
            <w:r>
              <w:rPr>
                <w:rFonts w:ascii="宋体" w:hAnsi="宋体" w:cs="宋体"/>
                <w:kern w:val="0"/>
                <w:sz w:val="18"/>
                <w:szCs w:val="18"/>
                <w:highlight w:val="yellow"/>
              </w:rPr>
              <w:t>DP</w:t>
            </w:r>
            <w:r>
              <w:rPr>
                <w:rFonts w:hint="eastAsia" w:ascii="宋体" w:hAnsi="宋体" w:cs="宋体"/>
                <w:kern w:val="0"/>
                <w:sz w:val="18"/>
                <w:szCs w:val="18"/>
                <w:highlight w:val="yellow"/>
              </w:rPr>
              <w:t>输出接口</w:t>
            </w:r>
            <w:r>
              <w:rPr>
                <w:rFonts w:ascii="宋体" w:hAnsi="宋体" w:cs="宋体"/>
                <w:kern w:val="0"/>
                <w:sz w:val="18"/>
                <w:szCs w:val="18"/>
                <w:highlight w:val="yellow"/>
              </w:rPr>
              <w:t>）；</w:t>
            </w:r>
          </w:p>
          <w:p w14:paraId="03C0954F">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网卡：10/100/1000 自适应网口×4；</w:t>
            </w:r>
          </w:p>
          <w:p w14:paraId="0E2CBC5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USB接口：≥4个；</w:t>
            </w:r>
          </w:p>
          <w:p w14:paraId="6541F167">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音频：具备音频输入、输出接口（可通过板载、声卡或USB转换方式），配置话筒和小型音箱（具体规格以现场需求为准，在合同签订时确定）；</w:t>
            </w:r>
          </w:p>
          <w:p w14:paraId="2DD6E52B">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其它：键盘、鼠标、电源线；</w:t>
            </w:r>
          </w:p>
          <w:p w14:paraId="4DABD0F0">
            <w:pPr>
              <w:adjustRightInd w:val="0"/>
              <w:snapToGrid w:val="0"/>
              <w:spacing w:before="0" w:after="0" w:line="240" w:lineRule="auto"/>
              <w:ind w:firstLine="0"/>
              <w:jc w:val="left"/>
              <w:rPr>
                <w:rFonts w:hint="eastAsia" w:ascii="宋体" w:hAnsi="宋体" w:cs="宋体"/>
                <w:color w:val="EE0000"/>
                <w:kern w:val="0"/>
                <w:sz w:val="18"/>
                <w:szCs w:val="18"/>
                <w:highlight w:val="yellow"/>
              </w:rPr>
            </w:pPr>
            <w:r>
              <w:rPr>
                <w:rFonts w:ascii="宋体" w:hAnsi="宋体" w:cs="宋体"/>
                <w:kern w:val="0"/>
                <w:sz w:val="18"/>
                <w:szCs w:val="18"/>
                <w:highlight w:val="yellow"/>
              </w:rPr>
              <w:t>售后服务：</w:t>
            </w:r>
            <w:r>
              <w:rPr>
                <w:rFonts w:hint="eastAsia" w:ascii="宋体" w:hAnsi="宋体" w:cs="宋体"/>
                <w:kern w:val="0"/>
                <w:sz w:val="18"/>
                <w:szCs w:val="18"/>
                <w:highlight w:val="yellow"/>
              </w:rPr>
              <w:t>设备到货验收合格后，原厂提供</w:t>
            </w:r>
            <w:r>
              <w:rPr>
                <w:rFonts w:ascii="宋体" w:hAnsi="宋体" w:cs="宋体"/>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r>
              <w:rPr>
                <w:rFonts w:hint="eastAsia" w:ascii="宋体" w:hAnsi="宋体" w:cs="宋体"/>
                <w:kern w:val="0"/>
                <w:sz w:val="18"/>
                <w:szCs w:val="18"/>
                <w:highlight w:val="yellow"/>
              </w:rPr>
              <w:t>。</w:t>
            </w:r>
          </w:p>
        </w:tc>
      </w:tr>
      <w:tr w14:paraId="176E15A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3D353303">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w:t>
            </w:r>
          </w:p>
        </w:tc>
        <w:tc>
          <w:tcPr>
            <w:tcW w:w="1560" w:type="dxa"/>
            <w:shd w:val="clear" w:color="000000" w:fill="FFFFFF"/>
            <w:vAlign w:val="center"/>
          </w:tcPr>
          <w:p w14:paraId="3CF2CA7D">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highlight w:val="yellow"/>
              </w:rPr>
              <w:t>工作站（机架式，ARM架构，一档）</w:t>
            </w:r>
          </w:p>
        </w:tc>
        <w:tc>
          <w:tcPr>
            <w:tcW w:w="5935" w:type="dxa"/>
            <w:shd w:val="clear" w:color="000000" w:fill="FFFFFF"/>
            <w:vAlign w:val="center"/>
          </w:tcPr>
          <w:p w14:paraId="494EF36D">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74DD8A84">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7217D5B3">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32210AE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7541C1F1">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w:t>
            </w:r>
          </w:p>
        </w:tc>
        <w:tc>
          <w:tcPr>
            <w:tcW w:w="1560" w:type="dxa"/>
            <w:shd w:val="clear" w:color="000000" w:fill="FFFFFF"/>
            <w:vAlign w:val="center"/>
          </w:tcPr>
          <w:p w14:paraId="76BA3AAD">
            <w:pPr>
              <w:adjustRightInd w:val="0"/>
              <w:snapToGrid w:val="0"/>
              <w:spacing w:before="0" w:after="0" w:line="240" w:lineRule="auto"/>
              <w:ind w:firstLine="0"/>
              <w:jc w:val="left"/>
              <w:rPr>
                <w:rFonts w:hint="eastAsia" w:ascii="宋体" w:hAnsi="宋体" w:cs="宋体"/>
                <w:color w:val="EE0000"/>
                <w:kern w:val="0"/>
                <w:sz w:val="18"/>
                <w:szCs w:val="18"/>
                <w:highlight w:val="yellow"/>
              </w:rPr>
            </w:pPr>
            <w:r>
              <w:rPr>
                <w:rFonts w:hint="eastAsia" w:ascii="宋体" w:hAnsi="宋体" w:cs="宋体"/>
                <w:kern w:val="0"/>
                <w:sz w:val="18"/>
                <w:szCs w:val="18"/>
                <w:highlight w:val="yellow"/>
              </w:rPr>
              <w:t>工作站（机架式，ARM架构，一档）</w:t>
            </w:r>
          </w:p>
        </w:tc>
        <w:tc>
          <w:tcPr>
            <w:tcW w:w="5935" w:type="dxa"/>
            <w:shd w:val="clear" w:color="000000" w:fill="FFFFFF"/>
            <w:vAlign w:val="center"/>
          </w:tcPr>
          <w:p w14:paraId="6169F010">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机架式工作站。</w:t>
            </w:r>
          </w:p>
          <w:p w14:paraId="382B815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外形：标准机柜安装，含机架安装套件，带安装导轨等；</w:t>
            </w:r>
          </w:p>
          <w:p w14:paraId="780D8CD1">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CPU：</w:t>
            </w:r>
            <w:r>
              <w:rPr>
                <w:rFonts w:hint="eastAsia" w:ascii="宋体" w:hAnsi="宋体" w:cs="宋体"/>
                <w:kern w:val="0"/>
                <w:sz w:val="18"/>
                <w:szCs w:val="18"/>
                <w:highlight w:val="yellow"/>
              </w:rPr>
              <w:t>ARM架构</w:t>
            </w:r>
            <w:r>
              <w:rPr>
                <w:rFonts w:ascii="宋体" w:hAnsi="宋体" w:cs="宋体"/>
                <w:kern w:val="0"/>
                <w:sz w:val="18"/>
                <w:szCs w:val="18"/>
                <w:highlight w:val="yellow"/>
              </w:rPr>
              <w:t>，总核数不低于</w:t>
            </w:r>
            <w:r>
              <w:rPr>
                <w:rFonts w:hint="eastAsia" w:ascii="宋体" w:hAnsi="宋体" w:cs="宋体"/>
                <w:kern w:val="0"/>
                <w:sz w:val="18"/>
                <w:szCs w:val="18"/>
                <w:highlight w:val="yellow"/>
              </w:rPr>
              <w:t>24</w:t>
            </w:r>
            <w:r>
              <w:rPr>
                <w:rFonts w:ascii="宋体" w:hAnsi="宋体" w:cs="宋体"/>
                <w:kern w:val="0"/>
                <w:sz w:val="18"/>
                <w:szCs w:val="18"/>
                <w:highlight w:val="yellow"/>
              </w:rPr>
              <w:t>核，原始主频≥2.</w:t>
            </w:r>
            <w:r>
              <w:rPr>
                <w:rFonts w:hint="eastAsia" w:ascii="宋体" w:hAnsi="宋体" w:cs="宋体"/>
                <w:kern w:val="0"/>
                <w:sz w:val="18"/>
                <w:szCs w:val="18"/>
                <w:highlight w:val="yellow"/>
              </w:rPr>
              <w:t>1</w:t>
            </w:r>
            <w:r>
              <w:rPr>
                <w:rFonts w:ascii="宋体" w:hAnsi="宋体" w:cs="宋体"/>
                <w:kern w:val="0"/>
                <w:sz w:val="18"/>
                <w:szCs w:val="18"/>
                <w:highlight w:val="yellow"/>
              </w:rPr>
              <w:t>GHz；CPU芯片需通过安全可靠测评，其安全可靠测评等级不得低于I级，详情可从中国信息安全测评中心（www.itsec.gov.cn）和国家保密科技测评中心（www.nsstec.org.cn）网站查询。</w:t>
            </w:r>
          </w:p>
          <w:p w14:paraId="3AE02031">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内存：大于或等于</w:t>
            </w:r>
            <w:r>
              <w:rPr>
                <w:rFonts w:hint="eastAsia" w:ascii="宋体" w:hAnsi="宋体" w:cs="宋体"/>
                <w:kern w:val="0"/>
                <w:sz w:val="18"/>
                <w:szCs w:val="18"/>
                <w:highlight w:val="yellow"/>
              </w:rPr>
              <w:t>64</w:t>
            </w:r>
            <w:r>
              <w:rPr>
                <w:rFonts w:ascii="宋体" w:hAnsi="宋体" w:cs="宋体"/>
                <w:kern w:val="0"/>
                <w:sz w:val="18"/>
                <w:szCs w:val="18"/>
                <w:highlight w:val="yellow"/>
              </w:rPr>
              <w:t>GB DDR4；</w:t>
            </w:r>
          </w:p>
          <w:p w14:paraId="433FD1CA">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硬盘：2块480GB（或以上）SSD固态硬盘，</w:t>
            </w:r>
            <w:r>
              <w:rPr>
                <w:rFonts w:hint="eastAsia" w:ascii="宋体" w:hAnsi="宋体" w:cs="宋体"/>
                <w:kern w:val="0"/>
                <w:sz w:val="18"/>
                <w:szCs w:val="18"/>
                <w:highlight w:val="yellow"/>
              </w:rPr>
              <w:t>T</w:t>
            </w:r>
            <w:r>
              <w:rPr>
                <w:rFonts w:ascii="宋体" w:hAnsi="宋体" w:cs="宋体"/>
                <w:kern w:val="0"/>
                <w:sz w:val="18"/>
                <w:szCs w:val="18"/>
                <w:highlight w:val="yellow"/>
              </w:rPr>
              <w:t>LC闪存颗粒</w:t>
            </w:r>
            <w:r>
              <w:rPr>
                <w:rFonts w:hint="eastAsia" w:ascii="宋体" w:hAnsi="宋体" w:cs="宋体"/>
                <w:kern w:val="0"/>
                <w:sz w:val="18"/>
                <w:szCs w:val="18"/>
                <w:highlight w:val="yellow"/>
              </w:rPr>
              <w:t>，</w:t>
            </w:r>
            <w:r>
              <w:rPr>
                <w:rFonts w:ascii="宋体" w:hAnsi="宋体" w:cs="宋体"/>
                <w:kern w:val="0"/>
                <w:sz w:val="18"/>
                <w:szCs w:val="18"/>
                <w:highlight w:val="yellow"/>
              </w:rPr>
              <w:t>读写混合型，擦写寿命：≥3 DWPD 5年；</w:t>
            </w:r>
          </w:p>
          <w:p w14:paraId="026011FF">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显卡：2个双屏3D显卡（</w:t>
            </w:r>
            <w:r>
              <w:rPr>
                <w:rFonts w:hint="eastAsia" w:ascii="宋体" w:hAnsi="宋体" w:cs="宋体"/>
                <w:kern w:val="0"/>
                <w:sz w:val="18"/>
                <w:szCs w:val="18"/>
                <w:highlight w:val="yellow"/>
              </w:rPr>
              <w:t>每显卡</w:t>
            </w:r>
            <w:r>
              <w:rPr>
                <w:rFonts w:ascii="宋体" w:hAnsi="宋体" w:cs="宋体"/>
                <w:kern w:val="0"/>
                <w:sz w:val="18"/>
                <w:szCs w:val="18"/>
                <w:highlight w:val="yellow"/>
              </w:rPr>
              <w:t>独立显存≥2GB）或1个四屏3D显卡（独立显存≥4GB），</w:t>
            </w:r>
            <w:r>
              <w:rPr>
                <w:rFonts w:hint="eastAsia" w:ascii="宋体" w:hAnsi="宋体" w:cs="宋体"/>
                <w:kern w:val="0"/>
                <w:sz w:val="18"/>
                <w:szCs w:val="18"/>
                <w:highlight w:val="yellow"/>
              </w:rPr>
              <w:t>原生提供</w:t>
            </w:r>
            <w:r>
              <w:rPr>
                <w:rFonts w:ascii="宋体" w:hAnsi="宋体" w:cs="宋体"/>
                <w:kern w:val="0"/>
                <w:sz w:val="18"/>
                <w:szCs w:val="18"/>
                <w:highlight w:val="yellow"/>
              </w:rPr>
              <w:t>DP</w:t>
            </w:r>
            <w:r>
              <w:rPr>
                <w:rFonts w:hint="eastAsia" w:ascii="宋体" w:hAnsi="宋体" w:cs="宋体"/>
                <w:kern w:val="0"/>
                <w:sz w:val="18"/>
                <w:szCs w:val="18"/>
                <w:highlight w:val="yellow"/>
              </w:rPr>
              <w:t>输出接口</w:t>
            </w:r>
            <w:r>
              <w:rPr>
                <w:rFonts w:ascii="宋体" w:hAnsi="宋体" w:cs="宋体"/>
                <w:kern w:val="0"/>
                <w:sz w:val="18"/>
                <w:szCs w:val="18"/>
                <w:highlight w:val="yellow"/>
              </w:rPr>
              <w:t>）；</w:t>
            </w:r>
          </w:p>
          <w:p w14:paraId="3A9F0E6C">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网卡：10/100/1000 自适应网口×4；</w:t>
            </w:r>
          </w:p>
          <w:p w14:paraId="02F91437">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USB接口：≥4个；</w:t>
            </w:r>
          </w:p>
          <w:p w14:paraId="28893755">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音频：具备音频输入、输出接口（可通过板载、声卡或USB转换方式），配置话筒和小型音箱（具体规格以现场需求为准，在合同签订时确定）；</w:t>
            </w:r>
          </w:p>
          <w:p w14:paraId="331C77F2">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其它：键盘、鼠标、电源线；</w:t>
            </w:r>
          </w:p>
          <w:p w14:paraId="33F3FC41">
            <w:pPr>
              <w:adjustRightInd w:val="0"/>
              <w:snapToGrid w:val="0"/>
              <w:spacing w:before="0" w:after="0" w:line="240" w:lineRule="auto"/>
              <w:ind w:firstLine="0"/>
              <w:jc w:val="left"/>
              <w:rPr>
                <w:rFonts w:hint="eastAsia" w:ascii="宋体" w:hAnsi="宋体" w:cs="宋体"/>
                <w:color w:val="EE0000"/>
                <w:kern w:val="0"/>
                <w:sz w:val="18"/>
                <w:szCs w:val="18"/>
                <w:highlight w:val="yellow"/>
              </w:rPr>
            </w:pPr>
            <w:r>
              <w:rPr>
                <w:rFonts w:ascii="宋体" w:hAnsi="宋体" w:cs="宋体"/>
                <w:kern w:val="0"/>
                <w:sz w:val="18"/>
                <w:szCs w:val="18"/>
                <w:highlight w:val="yellow"/>
              </w:rPr>
              <w:t>售后服务：</w:t>
            </w:r>
            <w:r>
              <w:rPr>
                <w:rFonts w:hint="eastAsia" w:ascii="宋体" w:hAnsi="宋体" w:cs="宋体"/>
                <w:kern w:val="0"/>
                <w:sz w:val="18"/>
                <w:szCs w:val="18"/>
                <w:highlight w:val="yellow"/>
              </w:rPr>
              <w:t>设备到货验收合格后，原厂提供</w:t>
            </w:r>
            <w:r>
              <w:rPr>
                <w:rFonts w:ascii="宋体" w:hAnsi="宋体" w:cs="宋体"/>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r>
              <w:rPr>
                <w:rFonts w:hint="eastAsia" w:ascii="宋体" w:hAnsi="宋体" w:cs="宋体"/>
                <w:kern w:val="0"/>
                <w:sz w:val="18"/>
                <w:szCs w:val="18"/>
                <w:highlight w:val="yellow"/>
              </w:rPr>
              <w:t>。</w:t>
            </w:r>
          </w:p>
        </w:tc>
      </w:tr>
      <w:tr w14:paraId="268B8C1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38AB153B">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3</w:t>
            </w:r>
          </w:p>
        </w:tc>
        <w:tc>
          <w:tcPr>
            <w:tcW w:w="1560" w:type="dxa"/>
            <w:shd w:val="clear" w:color="000000" w:fill="FFFFFF"/>
            <w:vAlign w:val="center"/>
          </w:tcPr>
          <w:p w14:paraId="165A5AD1">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w:t>
            </w:r>
            <w:r>
              <w:rPr>
                <w:rFonts w:ascii="宋体" w:hAnsi="宋体" w:cs="宋体"/>
                <w:kern w:val="0"/>
                <w:sz w:val="18"/>
                <w:szCs w:val="18"/>
                <w:highlight w:val="yellow"/>
              </w:rPr>
              <w:t>X86</w:t>
            </w:r>
            <w:r>
              <w:rPr>
                <w:rFonts w:hint="eastAsia" w:ascii="宋体" w:hAnsi="宋体" w:cs="宋体"/>
                <w:kern w:val="0"/>
                <w:sz w:val="18"/>
                <w:szCs w:val="18"/>
                <w:highlight w:val="yellow"/>
              </w:rPr>
              <w:t>架构，二档）</w:t>
            </w:r>
          </w:p>
        </w:tc>
        <w:tc>
          <w:tcPr>
            <w:tcW w:w="5935" w:type="dxa"/>
            <w:shd w:val="clear" w:color="000000" w:fill="FFFFFF"/>
            <w:vAlign w:val="center"/>
          </w:tcPr>
          <w:p w14:paraId="235ACA5C">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6D11FB5E">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65E53E15">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7C123D4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528912E2">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3</w:t>
            </w:r>
          </w:p>
        </w:tc>
        <w:tc>
          <w:tcPr>
            <w:tcW w:w="1560" w:type="dxa"/>
            <w:shd w:val="clear" w:color="000000" w:fill="FFFFFF"/>
            <w:vAlign w:val="center"/>
          </w:tcPr>
          <w:p w14:paraId="6FA65678">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w:t>
            </w:r>
            <w:r>
              <w:rPr>
                <w:rFonts w:ascii="宋体" w:hAnsi="宋体" w:cs="宋体"/>
                <w:kern w:val="0"/>
                <w:sz w:val="18"/>
                <w:szCs w:val="18"/>
                <w:highlight w:val="yellow"/>
              </w:rPr>
              <w:t>X86</w:t>
            </w:r>
            <w:r>
              <w:rPr>
                <w:rFonts w:hint="eastAsia" w:ascii="宋体" w:hAnsi="宋体" w:cs="宋体"/>
                <w:kern w:val="0"/>
                <w:sz w:val="18"/>
                <w:szCs w:val="18"/>
                <w:highlight w:val="yellow"/>
              </w:rPr>
              <w:t>架构，二档）</w:t>
            </w:r>
          </w:p>
        </w:tc>
        <w:tc>
          <w:tcPr>
            <w:tcW w:w="5935" w:type="dxa"/>
            <w:shd w:val="clear" w:color="000000" w:fill="FFFFFF"/>
            <w:vAlign w:val="center"/>
          </w:tcPr>
          <w:p w14:paraId="5B5028C9">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机架式工作站。</w:t>
            </w:r>
          </w:p>
          <w:p w14:paraId="2D399624">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外形：标准机柜安装，含机架安装套件，带安装导轨等；</w:t>
            </w:r>
          </w:p>
          <w:p w14:paraId="1541A4DE">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CPU：X86</w:t>
            </w:r>
            <w:r>
              <w:rPr>
                <w:rFonts w:hint="eastAsia" w:ascii="宋体" w:hAnsi="宋体" w:cs="宋体"/>
                <w:kern w:val="0"/>
                <w:sz w:val="18"/>
                <w:szCs w:val="18"/>
                <w:highlight w:val="yellow"/>
              </w:rPr>
              <w:t>架构</w:t>
            </w:r>
            <w:r>
              <w:rPr>
                <w:rFonts w:ascii="宋体" w:hAnsi="宋体" w:cs="宋体"/>
                <w:kern w:val="0"/>
                <w:sz w:val="18"/>
                <w:szCs w:val="18"/>
                <w:highlight w:val="yellow"/>
              </w:rPr>
              <w:t>，</w:t>
            </w:r>
            <w:r>
              <w:rPr>
                <w:rFonts w:ascii="宋体" w:hAnsi="宋体" w:cs="宋体"/>
                <w:color w:val="FF0000"/>
                <w:kern w:val="0"/>
                <w:sz w:val="18"/>
                <w:szCs w:val="18"/>
                <w:highlight w:val="yellow"/>
              </w:rPr>
              <w:t>总核数不低于</w:t>
            </w:r>
            <w:r>
              <w:rPr>
                <w:rFonts w:hint="eastAsia" w:ascii="宋体" w:hAnsi="宋体" w:cs="宋体"/>
                <w:color w:val="FF0000"/>
                <w:kern w:val="0"/>
                <w:sz w:val="18"/>
                <w:szCs w:val="18"/>
                <w:highlight w:val="yellow"/>
              </w:rPr>
              <w:t>16</w:t>
            </w:r>
            <w:r>
              <w:rPr>
                <w:rFonts w:ascii="宋体" w:hAnsi="宋体" w:cs="宋体"/>
                <w:color w:val="FF0000"/>
                <w:kern w:val="0"/>
                <w:sz w:val="18"/>
                <w:szCs w:val="18"/>
                <w:highlight w:val="yellow"/>
              </w:rPr>
              <w:t>核，原始主频≥2.</w:t>
            </w:r>
            <w:r>
              <w:rPr>
                <w:rFonts w:hint="eastAsia" w:ascii="宋体" w:hAnsi="宋体" w:cs="宋体"/>
                <w:color w:val="FF0000"/>
                <w:kern w:val="0"/>
                <w:sz w:val="18"/>
                <w:szCs w:val="18"/>
                <w:highlight w:val="yellow"/>
              </w:rPr>
              <w:t>1</w:t>
            </w:r>
            <w:r>
              <w:rPr>
                <w:rFonts w:ascii="宋体" w:hAnsi="宋体" w:cs="宋体"/>
                <w:color w:val="FF0000"/>
                <w:kern w:val="0"/>
                <w:sz w:val="18"/>
                <w:szCs w:val="18"/>
                <w:highlight w:val="yellow"/>
              </w:rPr>
              <w:t>GHz；</w:t>
            </w:r>
            <w:r>
              <w:rPr>
                <w:rFonts w:ascii="宋体" w:hAnsi="宋体" w:cs="宋体"/>
                <w:kern w:val="0"/>
                <w:sz w:val="18"/>
                <w:szCs w:val="18"/>
                <w:highlight w:val="yellow"/>
              </w:rPr>
              <w:t>CPU芯片需通过安全可靠测评，其安全可靠测评等级不得低于I级，详情可从中国信息安全测评中心（www.itsec.gov.cn）和国家保密科技测评中心（www.nsstec.org.cn）网站查询。</w:t>
            </w:r>
          </w:p>
          <w:p w14:paraId="125E9E8F">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内存：大于或等于</w:t>
            </w:r>
            <w:r>
              <w:rPr>
                <w:rFonts w:hint="eastAsia" w:ascii="宋体" w:hAnsi="宋体" w:cs="宋体"/>
                <w:color w:val="FF0000"/>
                <w:kern w:val="0"/>
                <w:sz w:val="18"/>
                <w:szCs w:val="18"/>
                <w:highlight w:val="yellow"/>
              </w:rPr>
              <w:t>64</w:t>
            </w:r>
            <w:r>
              <w:rPr>
                <w:rFonts w:ascii="宋体" w:hAnsi="宋体" w:cs="宋体"/>
                <w:color w:val="FF0000"/>
                <w:kern w:val="0"/>
                <w:sz w:val="18"/>
                <w:szCs w:val="18"/>
                <w:highlight w:val="yellow"/>
              </w:rPr>
              <w:t>GB</w:t>
            </w:r>
            <w:r>
              <w:rPr>
                <w:rFonts w:ascii="宋体" w:hAnsi="宋体" w:cs="宋体"/>
                <w:kern w:val="0"/>
                <w:sz w:val="18"/>
                <w:szCs w:val="18"/>
                <w:highlight w:val="yellow"/>
              </w:rPr>
              <w:t xml:space="preserve"> DDR4；</w:t>
            </w:r>
          </w:p>
          <w:p w14:paraId="52F5997B">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硬盘：2块480GB（或以上）SSD固态硬盘，</w:t>
            </w:r>
            <w:r>
              <w:rPr>
                <w:rFonts w:hint="eastAsia" w:ascii="宋体" w:hAnsi="宋体" w:cs="宋体"/>
                <w:kern w:val="0"/>
                <w:sz w:val="18"/>
                <w:szCs w:val="18"/>
                <w:highlight w:val="yellow"/>
              </w:rPr>
              <w:t>T</w:t>
            </w:r>
            <w:r>
              <w:rPr>
                <w:rFonts w:ascii="宋体" w:hAnsi="宋体" w:cs="宋体"/>
                <w:kern w:val="0"/>
                <w:sz w:val="18"/>
                <w:szCs w:val="18"/>
                <w:highlight w:val="yellow"/>
              </w:rPr>
              <w:t>LC闪存颗粒</w:t>
            </w:r>
            <w:r>
              <w:rPr>
                <w:rFonts w:hint="eastAsia" w:ascii="宋体" w:hAnsi="宋体" w:cs="宋体"/>
                <w:kern w:val="0"/>
                <w:sz w:val="18"/>
                <w:szCs w:val="18"/>
                <w:highlight w:val="yellow"/>
              </w:rPr>
              <w:t>，</w:t>
            </w:r>
            <w:r>
              <w:rPr>
                <w:rFonts w:ascii="宋体" w:hAnsi="宋体" w:cs="宋体"/>
                <w:kern w:val="0"/>
                <w:sz w:val="18"/>
                <w:szCs w:val="18"/>
                <w:highlight w:val="yellow"/>
              </w:rPr>
              <w:t>读写混合型，擦写寿命：≥3 DWPD 5年；</w:t>
            </w:r>
          </w:p>
          <w:p w14:paraId="330DF31A">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显卡：2个双屏3D显卡（</w:t>
            </w:r>
            <w:r>
              <w:rPr>
                <w:rFonts w:hint="eastAsia" w:ascii="宋体" w:hAnsi="宋体" w:cs="宋体"/>
                <w:kern w:val="0"/>
                <w:sz w:val="18"/>
                <w:szCs w:val="18"/>
                <w:highlight w:val="yellow"/>
              </w:rPr>
              <w:t>每显卡</w:t>
            </w:r>
            <w:r>
              <w:rPr>
                <w:rFonts w:ascii="宋体" w:hAnsi="宋体" w:cs="宋体"/>
                <w:kern w:val="0"/>
                <w:sz w:val="18"/>
                <w:szCs w:val="18"/>
                <w:highlight w:val="yellow"/>
              </w:rPr>
              <w:t>独立显存≥2GB）或1个四屏3D显卡（独立显存≥4GB），</w:t>
            </w:r>
            <w:r>
              <w:rPr>
                <w:rFonts w:hint="eastAsia" w:ascii="宋体" w:hAnsi="宋体" w:cs="宋体"/>
                <w:kern w:val="0"/>
                <w:sz w:val="18"/>
                <w:szCs w:val="18"/>
                <w:highlight w:val="yellow"/>
              </w:rPr>
              <w:t>原生提供</w:t>
            </w:r>
            <w:r>
              <w:rPr>
                <w:rFonts w:ascii="宋体" w:hAnsi="宋体" w:cs="宋体"/>
                <w:kern w:val="0"/>
                <w:sz w:val="18"/>
                <w:szCs w:val="18"/>
                <w:highlight w:val="yellow"/>
              </w:rPr>
              <w:t>DP</w:t>
            </w:r>
            <w:r>
              <w:rPr>
                <w:rFonts w:hint="eastAsia" w:ascii="宋体" w:hAnsi="宋体" w:cs="宋体"/>
                <w:kern w:val="0"/>
                <w:sz w:val="18"/>
                <w:szCs w:val="18"/>
                <w:highlight w:val="yellow"/>
              </w:rPr>
              <w:t>输出接口</w:t>
            </w:r>
            <w:r>
              <w:rPr>
                <w:rFonts w:ascii="宋体" w:hAnsi="宋体" w:cs="宋体"/>
                <w:kern w:val="0"/>
                <w:sz w:val="18"/>
                <w:szCs w:val="18"/>
                <w:highlight w:val="yellow"/>
              </w:rPr>
              <w:t>）；</w:t>
            </w:r>
          </w:p>
          <w:p w14:paraId="39340A1B">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网卡：10/100/1000 自适应网口×4；</w:t>
            </w:r>
          </w:p>
          <w:p w14:paraId="1C748999">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USB接口：≥4个；</w:t>
            </w:r>
          </w:p>
          <w:p w14:paraId="3DCF799D">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音频：具备音频输入、输出接口（可通过板载、声卡或USB转换方式），配置话筒和小型音箱（具体规格以现场需求为准，在合同签订时确定）；</w:t>
            </w:r>
          </w:p>
          <w:p w14:paraId="59FFB71D">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其它：键盘、鼠标、电源线；</w:t>
            </w:r>
          </w:p>
          <w:p w14:paraId="4220B6D1">
            <w:pPr>
              <w:adjustRightInd w:val="0"/>
              <w:snapToGrid w:val="0"/>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售后服务：</w:t>
            </w:r>
            <w:r>
              <w:rPr>
                <w:rFonts w:hint="eastAsia" w:ascii="宋体" w:hAnsi="宋体" w:cs="宋体"/>
                <w:kern w:val="0"/>
                <w:sz w:val="18"/>
                <w:szCs w:val="18"/>
                <w:highlight w:val="yellow"/>
              </w:rPr>
              <w:t>设备到货验收合格后，原厂提供</w:t>
            </w:r>
            <w:r>
              <w:rPr>
                <w:rFonts w:ascii="宋体" w:hAnsi="宋体" w:cs="宋体"/>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p>
        </w:tc>
      </w:tr>
      <w:tr w14:paraId="6476F9F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62C4AB78">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4</w:t>
            </w:r>
          </w:p>
        </w:tc>
        <w:tc>
          <w:tcPr>
            <w:tcW w:w="1560" w:type="dxa"/>
            <w:shd w:val="clear" w:color="000000" w:fill="FFFFFF"/>
            <w:vAlign w:val="center"/>
          </w:tcPr>
          <w:p w14:paraId="2DF3181A">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工作站（机架式，ARM架构，二档）</w:t>
            </w:r>
          </w:p>
        </w:tc>
        <w:tc>
          <w:tcPr>
            <w:tcW w:w="5935" w:type="dxa"/>
            <w:shd w:val="clear" w:color="000000" w:fill="FFFFFF"/>
            <w:vAlign w:val="center"/>
          </w:tcPr>
          <w:p w14:paraId="61F05A6F">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5CCA4EFB">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5844DA49">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4636905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43602B3B">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4</w:t>
            </w:r>
          </w:p>
        </w:tc>
        <w:tc>
          <w:tcPr>
            <w:tcW w:w="1560" w:type="dxa"/>
            <w:shd w:val="clear" w:color="000000" w:fill="FFFFFF"/>
            <w:vAlign w:val="center"/>
          </w:tcPr>
          <w:p w14:paraId="5B67609B">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工作站（机架式，ARM架构，二档）</w:t>
            </w:r>
          </w:p>
        </w:tc>
        <w:tc>
          <w:tcPr>
            <w:tcW w:w="5935" w:type="dxa"/>
            <w:shd w:val="clear" w:color="000000" w:fill="FFFFFF"/>
            <w:vAlign w:val="center"/>
          </w:tcPr>
          <w:p w14:paraId="27F202E9">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机架式工作站。</w:t>
            </w:r>
          </w:p>
          <w:p w14:paraId="0A666E01">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外形：标准机柜安装，含机架安装套件，带安装导轨等；</w:t>
            </w:r>
          </w:p>
          <w:p w14:paraId="1696C92C">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CPU：</w:t>
            </w:r>
            <w:r>
              <w:rPr>
                <w:rFonts w:hint="eastAsia" w:ascii="宋体" w:hAnsi="宋体" w:cs="宋体"/>
                <w:kern w:val="0"/>
                <w:sz w:val="18"/>
                <w:szCs w:val="18"/>
                <w:highlight w:val="yellow"/>
              </w:rPr>
              <w:t>ARM架构</w:t>
            </w:r>
            <w:r>
              <w:rPr>
                <w:rFonts w:ascii="宋体" w:hAnsi="宋体" w:cs="宋体"/>
                <w:kern w:val="0"/>
                <w:sz w:val="18"/>
                <w:szCs w:val="18"/>
                <w:highlight w:val="yellow"/>
              </w:rPr>
              <w:t>，</w:t>
            </w:r>
            <w:r>
              <w:rPr>
                <w:rFonts w:ascii="宋体" w:hAnsi="宋体" w:cs="宋体"/>
                <w:color w:val="FF0000"/>
                <w:kern w:val="0"/>
                <w:sz w:val="18"/>
                <w:szCs w:val="18"/>
                <w:highlight w:val="yellow"/>
              </w:rPr>
              <w:t>总核数不低于</w:t>
            </w:r>
            <w:r>
              <w:rPr>
                <w:rFonts w:hint="eastAsia" w:ascii="宋体" w:hAnsi="宋体" w:cs="宋体"/>
                <w:color w:val="FF0000"/>
                <w:kern w:val="0"/>
                <w:sz w:val="18"/>
                <w:szCs w:val="18"/>
                <w:highlight w:val="yellow"/>
              </w:rPr>
              <w:t>16</w:t>
            </w:r>
            <w:r>
              <w:rPr>
                <w:rFonts w:ascii="宋体" w:hAnsi="宋体" w:cs="宋体"/>
                <w:color w:val="FF0000"/>
                <w:kern w:val="0"/>
                <w:sz w:val="18"/>
                <w:szCs w:val="18"/>
                <w:highlight w:val="yellow"/>
              </w:rPr>
              <w:t>核，原始主频≥2.</w:t>
            </w:r>
            <w:r>
              <w:rPr>
                <w:rFonts w:hint="eastAsia" w:ascii="宋体" w:hAnsi="宋体" w:cs="宋体"/>
                <w:color w:val="FF0000"/>
                <w:kern w:val="0"/>
                <w:sz w:val="18"/>
                <w:szCs w:val="18"/>
                <w:highlight w:val="yellow"/>
              </w:rPr>
              <w:t>1</w:t>
            </w:r>
            <w:r>
              <w:rPr>
                <w:rFonts w:ascii="宋体" w:hAnsi="宋体" w:cs="宋体"/>
                <w:color w:val="FF0000"/>
                <w:kern w:val="0"/>
                <w:sz w:val="18"/>
                <w:szCs w:val="18"/>
                <w:highlight w:val="yellow"/>
              </w:rPr>
              <w:t>GHz；</w:t>
            </w:r>
            <w:r>
              <w:rPr>
                <w:rFonts w:ascii="宋体" w:hAnsi="宋体" w:cs="宋体"/>
                <w:kern w:val="0"/>
                <w:sz w:val="18"/>
                <w:szCs w:val="18"/>
                <w:highlight w:val="yellow"/>
              </w:rPr>
              <w:t>CPU芯片需通过安全可靠测评，其安全可靠测评等级不得低于I级，详情可从中国信息安全测评中心（www.itsec.gov.cn）和国家保密科技测评中心（www.nsstec.org.cn）网站查询。</w:t>
            </w:r>
          </w:p>
          <w:p w14:paraId="31B0684A">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内存：大于或等于</w:t>
            </w:r>
            <w:r>
              <w:rPr>
                <w:rFonts w:hint="eastAsia" w:ascii="宋体" w:hAnsi="宋体" w:cs="宋体"/>
                <w:color w:val="FF0000"/>
                <w:kern w:val="0"/>
                <w:sz w:val="18"/>
                <w:szCs w:val="18"/>
                <w:highlight w:val="yellow"/>
              </w:rPr>
              <w:t>64</w:t>
            </w:r>
            <w:r>
              <w:rPr>
                <w:rFonts w:ascii="宋体" w:hAnsi="宋体" w:cs="宋体"/>
                <w:color w:val="FF0000"/>
                <w:kern w:val="0"/>
                <w:sz w:val="18"/>
                <w:szCs w:val="18"/>
                <w:highlight w:val="yellow"/>
              </w:rPr>
              <w:t>GB</w:t>
            </w:r>
            <w:r>
              <w:rPr>
                <w:rFonts w:ascii="宋体" w:hAnsi="宋体" w:cs="宋体"/>
                <w:kern w:val="0"/>
                <w:sz w:val="18"/>
                <w:szCs w:val="18"/>
                <w:highlight w:val="yellow"/>
              </w:rPr>
              <w:t xml:space="preserve"> DDR4；</w:t>
            </w:r>
          </w:p>
          <w:p w14:paraId="579DA76A">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硬盘：2块480GB（或以上）SSD固态硬盘，</w:t>
            </w:r>
            <w:r>
              <w:rPr>
                <w:rFonts w:hint="eastAsia" w:ascii="宋体" w:hAnsi="宋体" w:cs="宋体"/>
                <w:kern w:val="0"/>
                <w:sz w:val="18"/>
                <w:szCs w:val="18"/>
                <w:highlight w:val="yellow"/>
              </w:rPr>
              <w:t>T</w:t>
            </w:r>
            <w:r>
              <w:rPr>
                <w:rFonts w:ascii="宋体" w:hAnsi="宋体" w:cs="宋体"/>
                <w:kern w:val="0"/>
                <w:sz w:val="18"/>
                <w:szCs w:val="18"/>
                <w:highlight w:val="yellow"/>
              </w:rPr>
              <w:t>LC闪存颗粒</w:t>
            </w:r>
            <w:r>
              <w:rPr>
                <w:rFonts w:hint="eastAsia" w:ascii="宋体" w:hAnsi="宋体" w:cs="宋体"/>
                <w:kern w:val="0"/>
                <w:sz w:val="18"/>
                <w:szCs w:val="18"/>
                <w:highlight w:val="yellow"/>
              </w:rPr>
              <w:t>，</w:t>
            </w:r>
            <w:r>
              <w:rPr>
                <w:rFonts w:ascii="宋体" w:hAnsi="宋体" w:cs="宋体"/>
                <w:kern w:val="0"/>
                <w:sz w:val="18"/>
                <w:szCs w:val="18"/>
                <w:highlight w:val="yellow"/>
              </w:rPr>
              <w:t>读写混合型，擦写寿命：≥3 DWPD 5年；</w:t>
            </w:r>
          </w:p>
          <w:p w14:paraId="562C60C1">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显卡：2个双屏3D显卡（</w:t>
            </w:r>
            <w:r>
              <w:rPr>
                <w:rFonts w:hint="eastAsia" w:ascii="宋体" w:hAnsi="宋体" w:cs="宋体"/>
                <w:kern w:val="0"/>
                <w:sz w:val="18"/>
                <w:szCs w:val="18"/>
                <w:highlight w:val="yellow"/>
              </w:rPr>
              <w:t>每显卡</w:t>
            </w:r>
            <w:r>
              <w:rPr>
                <w:rFonts w:ascii="宋体" w:hAnsi="宋体" w:cs="宋体"/>
                <w:kern w:val="0"/>
                <w:sz w:val="18"/>
                <w:szCs w:val="18"/>
                <w:highlight w:val="yellow"/>
              </w:rPr>
              <w:t>独立显存≥2GB）或1个四屏3D显卡（独立显存≥4GB），</w:t>
            </w:r>
            <w:r>
              <w:rPr>
                <w:rFonts w:hint="eastAsia" w:ascii="宋体" w:hAnsi="宋体" w:cs="宋体"/>
                <w:kern w:val="0"/>
                <w:sz w:val="18"/>
                <w:szCs w:val="18"/>
                <w:highlight w:val="yellow"/>
              </w:rPr>
              <w:t>原生提供</w:t>
            </w:r>
            <w:r>
              <w:rPr>
                <w:rFonts w:ascii="宋体" w:hAnsi="宋体" w:cs="宋体"/>
                <w:kern w:val="0"/>
                <w:sz w:val="18"/>
                <w:szCs w:val="18"/>
                <w:highlight w:val="yellow"/>
              </w:rPr>
              <w:t>DP</w:t>
            </w:r>
            <w:r>
              <w:rPr>
                <w:rFonts w:hint="eastAsia" w:ascii="宋体" w:hAnsi="宋体" w:cs="宋体"/>
                <w:kern w:val="0"/>
                <w:sz w:val="18"/>
                <w:szCs w:val="18"/>
                <w:highlight w:val="yellow"/>
              </w:rPr>
              <w:t>输出接口</w:t>
            </w:r>
            <w:r>
              <w:rPr>
                <w:rFonts w:ascii="宋体" w:hAnsi="宋体" w:cs="宋体"/>
                <w:kern w:val="0"/>
                <w:sz w:val="18"/>
                <w:szCs w:val="18"/>
                <w:highlight w:val="yellow"/>
              </w:rPr>
              <w:t>）；</w:t>
            </w:r>
          </w:p>
          <w:p w14:paraId="7F889E62">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网卡：10/100/1000 自适应网口×4；</w:t>
            </w:r>
          </w:p>
          <w:p w14:paraId="37310060">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USB接口：≥4个；</w:t>
            </w:r>
          </w:p>
          <w:p w14:paraId="6DE83691">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音频：具备音频输入、输出接口（可通过板载、声卡或USB转换方式），配置话筒和小型音箱（具体规格以现场需求为准，在合同签订时确定）；</w:t>
            </w:r>
          </w:p>
          <w:p w14:paraId="22FA688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其它：键盘、鼠标、电源线；</w:t>
            </w:r>
          </w:p>
          <w:p w14:paraId="7B88B28C">
            <w:pPr>
              <w:adjustRightInd w:val="0"/>
              <w:snapToGrid w:val="0"/>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售后服务：</w:t>
            </w:r>
            <w:r>
              <w:rPr>
                <w:rFonts w:hint="eastAsia" w:ascii="宋体" w:hAnsi="宋体" w:cs="宋体"/>
                <w:kern w:val="0"/>
                <w:sz w:val="18"/>
                <w:szCs w:val="18"/>
                <w:highlight w:val="yellow"/>
              </w:rPr>
              <w:t>设备到货验收合格后，原厂提供</w:t>
            </w:r>
            <w:r>
              <w:rPr>
                <w:rFonts w:ascii="宋体" w:hAnsi="宋体" w:cs="宋体"/>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p>
        </w:tc>
      </w:tr>
      <w:tr w14:paraId="6B46007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364C5C5B">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5</w:t>
            </w:r>
          </w:p>
        </w:tc>
        <w:tc>
          <w:tcPr>
            <w:tcW w:w="1560" w:type="dxa"/>
            <w:shd w:val="clear" w:color="000000" w:fill="FFFFFF"/>
            <w:vAlign w:val="center"/>
          </w:tcPr>
          <w:p w14:paraId="2A7FE77A">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w:t>
            </w:r>
            <w:r>
              <w:rPr>
                <w:rFonts w:ascii="宋体" w:hAnsi="宋体" w:cs="宋体"/>
                <w:kern w:val="0"/>
                <w:sz w:val="18"/>
                <w:szCs w:val="18"/>
                <w:highlight w:val="yellow"/>
              </w:rPr>
              <w:t>X86</w:t>
            </w:r>
            <w:r>
              <w:rPr>
                <w:rFonts w:hint="eastAsia" w:ascii="宋体" w:hAnsi="宋体" w:cs="宋体"/>
                <w:kern w:val="0"/>
                <w:sz w:val="18"/>
                <w:szCs w:val="18"/>
                <w:highlight w:val="yellow"/>
              </w:rPr>
              <w:t>架构，三档）</w:t>
            </w:r>
          </w:p>
        </w:tc>
        <w:tc>
          <w:tcPr>
            <w:tcW w:w="5935" w:type="dxa"/>
            <w:shd w:val="clear" w:color="000000" w:fill="FFFFFF"/>
            <w:vAlign w:val="center"/>
          </w:tcPr>
          <w:p w14:paraId="07DFF3B0">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35945B8A">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1788843E">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1C97F2A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778C82B5">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5</w:t>
            </w:r>
          </w:p>
        </w:tc>
        <w:tc>
          <w:tcPr>
            <w:tcW w:w="1560" w:type="dxa"/>
            <w:shd w:val="clear" w:color="000000" w:fill="FFFFFF"/>
            <w:vAlign w:val="center"/>
          </w:tcPr>
          <w:p w14:paraId="647F63D8">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w:t>
            </w:r>
            <w:r>
              <w:rPr>
                <w:rFonts w:ascii="宋体" w:hAnsi="宋体" w:cs="宋体"/>
                <w:kern w:val="0"/>
                <w:sz w:val="18"/>
                <w:szCs w:val="18"/>
                <w:highlight w:val="yellow"/>
              </w:rPr>
              <w:t>X86</w:t>
            </w:r>
            <w:r>
              <w:rPr>
                <w:rFonts w:hint="eastAsia" w:ascii="宋体" w:hAnsi="宋体" w:cs="宋体"/>
                <w:kern w:val="0"/>
                <w:sz w:val="18"/>
                <w:szCs w:val="18"/>
                <w:highlight w:val="yellow"/>
              </w:rPr>
              <w:t>架构，三档）</w:t>
            </w:r>
          </w:p>
        </w:tc>
        <w:tc>
          <w:tcPr>
            <w:tcW w:w="5935" w:type="dxa"/>
            <w:shd w:val="clear" w:color="000000" w:fill="FFFFFF"/>
            <w:vAlign w:val="center"/>
          </w:tcPr>
          <w:p w14:paraId="06264CAF">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机架式工作站。</w:t>
            </w:r>
          </w:p>
          <w:p w14:paraId="065888AE">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外形：标准机柜安装，含机架安装套件，带安装导轨等；</w:t>
            </w:r>
          </w:p>
          <w:p w14:paraId="0D802A0B">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CPU：X86</w:t>
            </w:r>
            <w:r>
              <w:rPr>
                <w:rFonts w:hint="eastAsia" w:ascii="宋体" w:hAnsi="宋体" w:cs="宋体"/>
                <w:color w:val="FF0000"/>
                <w:kern w:val="0"/>
                <w:sz w:val="18"/>
                <w:szCs w:val="18"/>
                <w:highlight w:val="yellow"/>
              </w:rPr>
              <w:t>架构</w:t>
            </w:r>
            <w:r>
              <w:rPr>
                <w:rFonts w:ascii="宋体" w:hAnsi="宋体" w:cs="宋体"/>
                <w:color w:val="FF0000"/>
                <w:kern w:val="0"/>
                <w:sz w:val="18"/>
                <w:szCs w:val="18"/>
                <w:highlight w:val="yellow"/>
              </w:rPr>
              <w:t>，总核数不低于</w:t>
            </w:r>
            <w:r>
              <w:rPr>
                <w:rFonts w:hint="eastAsia" w:ascii="宋体" w:hAnsi="宋体" w:cs="宋体"/>
                <w:color w:val="FF0000"/>
                <w:kern w:val="0"/>
                <w:sz w:val="18"/>
                <w:szCs w:val="18"/>
                <w:highlight w:val="yellow"/>
              </w:rPr>
              <w:t>8</w:t>
            </w:r>
            <w:r>
              <w:rPr>
                <w:rFonts w:ascii="宋体" w:hAnsi="宋体" w:cs="宋体"/>
                <w:color w:val="FF0000"/>
                <w:kern w:val="0"/>
                <w:sz w:val="18"/>
                <w:szCs w:val="18"/>
                <w:highlight w:val="yellow"/>
              </w:rPr>
              <w:t>核，原始主频≥</w:t>
            </w:r>
            <w:r>
              <w:rPr>
                <w:rFonts w:hint="eastAsia" w:ascii="宋体" w:hAnsi="宋体" w:cs="宋体"/>
                <w:color w:val="FF0000"/>
                <w:kern w:val="0"/>
                <w:sz w:val="18"/>
                <w:szCs w:val="18"/>
                <w:highlight w:val="yellow"/>
              </w:rPr>
              <w:t>2.1</w:t>
            </w:r>
            <w:r>
              <w:rPr>
                <w:rFonts w:ascii="宋体" w:hAnsi="宋体" w:cs="宋体"/>
                <w:color w:val="FF0000"/>
                <w:kern w:val="0"/>
                <w:sz w:val="18"/>
                <w:szCs w:val="18"/>
                <w:highlight w:val="yellow"/>
              </w:rPr>
              <w:t>GHz；CPU芯片需通过安全可靠测评，其安全可靠测评等级不得低于I级，详情可从中国信息安全测评中心（www.itsec.gov.cn）和国家保密科技测评中心（www.nsstec.org.cn）网站查询。</w:t>
            </w:r>
          </w:p>
          <w:p w14:paraId="08D9AFA2">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内存：大于或等于</w:t>
            </w:r>
            <w:r>
              <w:rPr>
                <w:rFonts w:hint="eastAsia" w:ascii="宋体" w:hAnsi="宋体" w:cs="宋体"/>
                <w:color w:val="FF0000"/>
                <w:kern w:val="0"/>
                <w:sz w:val="18"/>
                <w:szCs w:val="18"/>
                <w:highlight w:val="yellow"/>
              </w:rPr>
              <w:t>32</w:t>
            </w:r>
            <w:r>
              <w:rPr>
                <w:rFonts w:ascii="宋体" w:hAnsi="宋体" w:cs="宋体"/>
                <w:color w:val="FF0000"/>
                <w:kern w:val="0"/>
                <w:sz w:val="18"/>
                <w:szCs w:val="18"/>
                <w:highlight w:val="yellow"/>
              </w:rPr>
              <w:t>GB DDR4；</w:t>
            </w:r>
          </w:p>
          <w:p w14:paraId="22337FD8">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硬盘：2块480GB（或以上）SSD固态硬盘，</w:t>
            </w:r>
            <w:r>
              <w:rPr>
                <w:rFonts w:hint="eastAsia" w:ascii="宋体" w:hAnsi="宋体" w:cs="宋体"/>
                <w:color w:val="FF0000"/>
                <w:kern w:val="0"/>
                <w:sz w:val="18"/>
                <w:szCs w:val="18"/>
                <w:highlight w:val="yellow"/>
              </w:rPr>
              <w:t>T</w:t>
            </w:r>
            <w:r>
              <w:rPr>
                <w:rFonts w:ascii="宋体" w:hAnsi="宋体" w:cs="宋体"/>
                <w:color w:val="FF0000"/>
                <w:kern w:val="0"/>
                <w:sz w:val="18"/>
                <w:szCs w:val="18"/>
                <w:highlight w:val="yellow"/>
              </w:rPr>
              <w:t>LC闪存颗粒</w:t>
            </w:r>
            <w:r>
              <w:rPr>
                <w:rFonts w:hint="eastAsia" w:ascii="宋体" w:hAnsi="宋体" w:cs="宋体"/>
                <w:color w:val="FF0000"/>
                <w:kern w:val="0"/>
                <w:sz w:val="18"/>
                <w:szCs w:val="18"/>
                <w:highlight w:val="yellow"/>
              </w:rPr>
              <w:t>，</w:t>
            </w:r>
            <w:r>
              <w:rPr>
                <w:rFonts w:ascii="宋体" w:hAnsi="宋体" w:cs="宋体"/>
                <w:color w:val="FF0000"/>
                <w:kern w:val="0"/>
                <w:sz w:val="18"/>
                <w:szCs w:val="18"/>
                <w:highlight w:val="yellow"/>
              </w:rPr>
              <w:t>读写混合型，擦写寿命：≥3 DWPD 5年；</w:t>
            </w:r>
          </w:p>
          <w:p w14:paraId="2CBC3878">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显卡：2个双屏3D显卡（</w:t>
            </w:r>
            <w:r>
              <w:rPr>
                <w:rFonts w:hint="eastAsia" w:ascii="宋体" w:hAnsi="宋体" w:cs="宋体"/>
                <w:color w:val="FF0000"/>
                <w:kern w:val="0"/>
                <w:sz w:val="18"/>
                <w:szCs w:val="18"/>
                <w:highlight w:val="yellow"/>
              </w:rPr>
              <w:t>每显卡</w:t>
            </w:r>
            <w:r>
              <w:rPr>
                <w:rFonts w:ascii="宋体" w:hAnsi="宋体" w:cs="宋体"/>
                <w:color w:val="FF0000"/>
                <w:kern w:val="0"/>
                <w:sz w:val="18"/>
                <w:szCs w:val="18"/>
                <w:highlight w:val="yellow"/>
              </w:rPr>
              <w:t>独立显存≥2GB）或1个四屏3D显卡（独立显存≥4GB），</w:t>
            </w:r>
            <w:r>
              <w:rPr>
                <w:rFonts w:hint="eastAsia" w:ascii="宋体" w:hAnsi="宋体" w:cs="宋体"/>
                <w:color w:val="FF0000"/>
                <w:kern w:val="0"/>
                <w:sz w:val="18"/>
                <w:szCs w:val="18"/>
                <w:highlight w:val="yellow"/>
              </w:rPr>
              <w:t>原生提供</w:t>
            </w:r>
            <w:r>
              <w:rPr>
                <w:rFonts w:ascii="宋体" w:hAnsi="宋体" w:cs="宋体"/>
                <w:color w:val="FF0000"/>
                <w:kern w:val="0"/>
                <w:sz w:val="18"/>
                <w:szCs w:val="18"/>
                <w:highlight w:val="yellow"/>
              </w:rPr>
              <w:t>DP</w:t>
            </w:r>
            <w:r>
              <w:rPr>
                <w:rFonts w:hint="eastAsia" w:ascii="宋体" w:hAnsi="宋体" w:cs="宋体"/>
                <w:color w:val="FF0000"/>
                <w:kern w:val="0"/>
                <w:sz w:val="18"/>
                <w:szCs w:val="18"/>
                <w:highlight w:val="yellow"/>
              </w:rPr>
              <w:t>输出接口</w:t>
            </w:r>
            <w:r>
              <w:rPr>
                <w:rFonts w:ascii="宋体" w:hAnsi="宋体" w:cs="宋体"/>
                <w:color w:val="FF0000"/>
                <w:kern w:val="0"/>
                <w:sz w:val="18"/>
                <w:szCs w:val="18"/>
                <w:highlight w:val="yellow"/>
              </w:rPr>
              <w:t>）；</w:t>
            </w:r>
          </w:p>
          <w:p w14:paraId="4BCF1382">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网卡：10/100/1000 自适应网口×4；</w:t>
            </w:r>
          </w:p>
          <w:p w14:paraId="622C39BE">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USB接口：≥4个；</w:t>
            </w:r>
          </w:p>
          <w:p w14:paraId="55B00DDB">
            <w:pPr>
              <w:spacing w:before="0" w:after="0" w:line="240" w:lineRule="auto"/>
              <w:ind w:firstLine="0"/>
              <w:jc w:val="left"/>
              <w:rPr>
                <w:rFonts w:hint="eastAsia" w:ascii="宋体" w:hAnsi="宋体" w:cs="宋体"/>
                <w:color w:val="FF0000"/>
                <w:kern w:val="0"/>
                <w:sz w:val="18"/>
                <w:szCs w:val="18"/>
                <w:highlight w:val="yellow"/>
              </w:rPr>
            </w:pPr>
            <w:r>
              <w:rPr>
                <w:rFonts w:hint="eastAsia" w:ascii="宋体" w:hAnsi="宋体" w:cs="宋体"/>
                <w:color w:val="FF0000"/>
                <w:kern w:val="0"/>
                <w:sz w:val="18"/>
                <w:szCs w:val="18"/>
                <w:highlight w:val="yellow"/>
              </w:rPr>
              <w:t>音频：具备音频输入、输出接口（可通过板载、声卡或USB转换方式），配置话筒和小型音箱（具体规格以现场需求为准，在合同签订时确定）；</w:t>
            </w:r>
          </w:p>
          <w:p w14:paraId="37BCF9A6">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其它：键盘、鼠标、电源线；</w:t>
            </w:r>
          </w:p>
          <w:p w14:paraId="67C21B23">
            <w:pPr>
              <w:adjustRightInd w:val="0"/>
              <w:snapToGrid w:val="0"/>
              <w:spacing w:before="0" w:after="0" w:line="240" w:lineRule="auto"/>
              <w:ind w:firstLine="0"/>
              <w:jc w:val="left"/>
              <w:rPr>
                <w:rFonts w:hint="eastAsia" w:ascii="宋体" w:hAnsi="宋体" w:cs="宋体"/>
                <w:kern w:val="0"/>
                <w:sz w:val="18"/>
                <w:szCs w:val="18"/>
                <w:highlight w:val="yellow"/>
              </w:rPr>
            </w:pPr>
            <w:r>
              <w:rPr>
                <w:rFonts w:ascii="宋体" w:hAnsi="宋体" w:cs="宋体"/>
                <w:color w:val="FF0000"/>
                <w:kern w:val="0"/>
                <w:sz w:val="18"/>
                <w:szCs w:val="18"/>
                <w:highlight w:val="yellow"/>
              </w:rPr>
              <w:t>售后服务：</w:t>
            </w:r>
            <w:r>
              <w:rPr>
                <w:rFonts w:hint="eastAsia" w:ascii="宋体" w:hAnsi="宋体" w:cs="宋体"/>
                <w:color w:val="FF0000"/>
                <w:kern w:val="0"/>
                <w:sz w:val="18"/>
                <w:szCs w:val="18"/>
                <w:highlight w:val="yellow"/>
              </w:rPr>
              <w:t>设备到货验收合格后，原厂提供</w:t>
            </w:r>
            <w:r>
              <w:rPr>
                <w:rFonts w:ascii="宋体" w:hAnsi="宋体" w:cs="宋体"/>
                <w:color w:val="FF0000"/>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p>
        </w:tc>
      </w:tr>
      <w:tr w14:paraId="7F93FB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0C44711F">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6</w:t>
            </w:r>
          </w:p>
        </w:tc>
        <w:tc>
          <w:tcPr>
            <w:tcW w:w="1560" w:type="dxa"/>
            <w:shd w:val="clear" w:color="000000" w:fill="FFFFFF"/>
            <w:vAlign w:val="center"/>
          </w:tcPr>
          <w:p w14:paraId="38B4692F">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工作站（机架式，ARM架构，三档）</w:t>
            </w:r>
          </w:p>
        </w:tc>
        <w:tc>
          <w:tcPr>
            <w:tcW w:w="5935" w:type="dxa"/>
            <w:shd w:val="clear" w:color="000000" w:fill="FFFFFF"/>
            <w:vAlign w:val="center"/>
          </w:tcPr>
          <w:p w14:paraId="7C340F61">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743EFE3C">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2FAC49B2">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1A43F77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6B34406F">
            <w:pPr>
              <w:adjustRightInd w:val="0"/>
              <w:snapToGrid w:val="0"/>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6</w:t>
            </w:r>
          </w:p>
        </w:tc>
        <w:tc>
          <w:tcPr>
            <w:tcW w:w="1560" w:type="dxa"/>
            <w:shd w:val="clear" w:color="000000" w:fill="FFFFFF"/>
            <w:vAlign w:val="center"/>
          </w:tcPr>
          <w:p w14:paraId="4E98C90D">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工作站（机架式，ARM架构，三档）</w:t>
            </w:r>
          </w:p>
        </w:tc>
        <w:tc>
          <w:tcPr>
            <w:tcW w:w="5935" w:type="dxa"/>
            <w:shd w:val="clear" w:color="000000" w:fill="FFFFFF"/>
            <w:vAlign w:val="center"/>
          </w:tcPr>
          <w:p w14:paraId="5665D2C2">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机架式工作站。</w:t>
            </w:r>
          </w:p>
          <w:p w14:paraId="1B5350EB">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外形：标准机柜安装，含机架安装套件，带安装导轨等；</w:t>
            </w:r>
          </w:p>
          <w:p w14:paraId="6654052F">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CPU：</w:t>
            </w:r>
            <w:r>
              <w:rPr>
                <w:rFonts w:hint="eastAsia" w:ascii="宋体" w:hAnsi="宋体" w:cs="宋体"/>
                <w:color w:val="FF0000"/>
                <w:kern w:val="0"/>
                <w:sz w:val="18"/>
                <w:szCs w:val="18"/>
                <w:highlight w:val="yellow"/>
              </w:rPr>
              <w:t>ARM架构</w:t>
            </w:r>
            <w:r>
              <w:rPr>
                <w:rFonts w:ascii="宋体" w:hAnsi="宋体" w:cs="宋体"/>
                <w:color w:val="FF0000"/>
                <w:kern w:val="0"/>
                <w:sz w:val="18"/>
                <w:szCs w:val="18"/>
                <w:highlight w:val="yellow"/>
              </w:rPr>
              <w:t>，总核数不低于</w:t>
            </w:r>
            <w:r>
              <w:rPr>
                <w:rFonts w:hint="eastAsia" w:ascii="宋体" w:hAnsi="宋体" w:cs="宋体"/>
                <w:color w:val="FF0000"/>
                <w:kern w:val="0"/>
                <w:sz w:val="18"/>
                <w:szCs w:val="18"/>
                <w:highlight w:val="yellow"/>
              </w:rPr>
              <w:t>8</w:t>
            </w:r>
            <w:r>
              <w:rPr>
                <w:rFonts w:ascii="宋体" w:hAnsi="宋体" w:cs="宋体"/>
                <w:color w:val="FF0000"/>
                <w:kern w:val="0"/>
                <w:sz w:val="18"/>
                <w:szCs w:val="18"/>
                <w:highlight w:val="yellow"/>
              </w:rPr>
              <w:t>核，原始主频≥</w:t>
            </w:r>
            <w:r>
              <w:rPr>
                <w:rFonts w:hint="eastAsia" w:ascii="宋体" w:hAnsi="宋体" w:cs="宋体"/>
                <w:color w:val="FF0000"/>
                <w:kern w:val="0"/>
                <w:sz w:val="18"/>
                <w:szCs w:val="18"/>
                <w:highlight w:val="yellow"/>
              </w:rPr>
              <w:t>2.1</w:t>
            </w:r>
            <w:r>
              <w:rPr>
                <w:rFonts w:ascii="宋体" w:hAnsi="宋体" w:cs="宋体"/>
                <w:color w:val="FF0000"/>
                <w:kern w:val="0"/>
                <w:sz w:val="18"/>
                <w:szCs w:val="18"/>
                <w:highlight w:val="yellow"/>
              </w:rPr>
              <w:t>GHz；CPU芯片需通过安全可靠测评，其安全可靠测评等级不得低于I级，详情可从中国信息安全测评中心（www.itsec.gov.cn）和国家保密科技测评中心（www.nsstec.org.cn）网站查询。</w:t>
            </w:r>
          </w:p>
          <w:p w14:paraId="4057D6A8">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内存：大于或等于</w:t>
            </w:r>
            <w:r>
              <w:rPr>
                <w:rFonts w:hint="eastAsia" w:ascii="宋体" w:hAnsi="宋体" w:cs="宋体"/>
                <w:color w:val="FF0000"/>
                <w:kern w:val="0"/>
                <w:sz w:val="18"/>
                <w:szCs w:val="18"/>
                <w:highlight w:val="yellow"/>
              </w:rPr>
              <w:t>32</w:t>
            </w:r>
            <w:r>
              <w:rPr>
                <w:rFonts w:ascii="宋体" w:hAnsi="宋体" w:cs="宋体"/>
                <w:color w:val="FF0000"/>
                <w:kern w:val="0"/>
                <w:sz w:val="18"/>
                <w:szCs w:val="18"/>
                <w:highlight w:val="yellow"/>
              </w:rPr>
              <w:t>GB DDR4；</w:t>
            </w:r>
          </w:p>
          <w:p w14:paraId="04D2CB2B">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硬盘：2块480GB（或以上）SSD固态硬盘，</w:t>
            </w:r>
            <w:r>
              <w:rPr>
                <w:rFonts w:hint="eastAsia" w:ascii="宋体" w:hAnsi="宋体" w:cs="宋体"/>
                <w:color w:val="FF0000"/>
                <w:kern w:val="0"/>
                <w:sz w:val="18"/>
                <w:szCs w:val="18"/>
                <w:highlight w:val="yellow"/>
              </w:rPr>
              <w:t>T</w:t>
            </w:r>
            <w:r>
              <w:rPr>
                <w:rFonts w:ascii="宋体" w:hAnsi="宋体" w:cs="宋体"/>
                <w:color w:val="FF0000"/>
                <w:kern w:val="0"/>
                <w:sz w:val="18"/>
                <w:szCs w:val="18"/>
                <w:highlight w:val="yellow"/>
              </w:rPr>
              <w:t>LC闪存颗粒</w:t>
            </w:r>
            <w:r>
              <w:rPr>
                <w:rFonts w:hint="eastAsia" w:ascii="宋体" w:hAnsi="宋体" w:cs="宋体"/>
                <w:color w:val="FF0000"/>
                <w:kern w:val="0"/>
                <w:sz w:val="18"/>
                <w:szCs w:val="18"/>
                <w:highlight w:val="yellow"/>
              </w:rPr>
              <w:t>，</w:t>
            </w:r>
            <w:r>
              <w:rPr>
                <w:rFonts w:ascii="宋体" w:hAnsi="宋体" w:cs="宋体"/>
                <w:color w:val="FF0000"/>
                <w:kern w:val="0"/>
                <w:sz w:val="18"/>
                <w:szCs w:val="18"/>
                <w:highlight w:val="yellow"/>
              </w:rPr>
              <w:t>读写混合型，擦写寿命：≥3 DWPD 5年；</w:t>
            </w:r>
          </w:p>
          <w:p w14:paraId="25C8E5D2">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显卡：2个双屏3D显卡（</w:t>
            </w:r>
            <w:r>
              <w:rPr>
                <w:rFonts w:hint="eastAsia" w:ascii="宋体" w:hAnsi="宋体" w:cs="宋体"/>
                <w:color w:val="FF0000"/>
                <w:kern w:val="0"/>
                <w:sz w:val="18"/>
                <w:szCs w:val="18"/>
                <w:highlight w:val="yellow"/>
              </w:rPr>
              <w:t>每显卡</w:t>
            </w:r>
            <w:r>
              <w:rPr>
                <w:rFonts w:ascii="宋体" w:hAnsi="宋体" w:cs="宋体"/>
                <w:color w:val="FF0000"/>
                <w:kern w:val="0"/>
                <w:sz w:val="18"/>
                <w:szCs w:val="18"/>
                <w:highlight w:val="yellow"/>
              </w:rPr>
              <w:t>独立显存≥2GB）或1个四屏3D显卡（独立显存≥4GB），</w:t>
            </w:r>
            <w:r>
              <w:rPr>
                <w:rFonts w:hint="eastAsia" w:ascii="宋体" w:hAnsi="宋体" w:cs="宋体"/>
                <w:color w:val="FF0000"/>
                <w:kern w:val="0"/>
                <w:sz w:val="18"/>
                <w:szCs w:val="18"/>
                <w:highlight w:val="yellow"/>
              </w:rPr>
              <w:t>原生提供</w:t>
            </w:r>
            <w:r>
              <w:rPr>
                <w:rFonts w:ascii="宋体" w:hAnsi="宋体" w:cs="宋体"/>
                <w:color w:val="FF0000"/>
                <w:kern w:val="0"/>
                <w:sz w:val="18"/>
                <w:szCs w:val="18"/>
                <w:highlight w:val="yellow"/>
              </w:rPr>
              <w:t>DP</w:t>
            </w:r>
            <w:r>
              <w:rPr>
                <w:rFonts w:hint="eastAsia" w:ascii="宋体" w:hAnsi="宋体" w:cs="宋体"/>
                <w:color w:val="FF0000"/>
                <w:kern w:val="0"/>
                <w:sz w:val="18"/>
                <w:szCs w:val="18"/>
                <w:highlight w:val="yellow"/>
              </w:rPr>
              <w:t>输出接口</w:t>
            </w:r>
            <w:r>
              <w:rPr>
                <w:rFonts w:ascii="宋体" w:hAnsi="宋体" w:cs="宋体"/>
                <w:color w:val="FF0000"/>
                <w:kern w:val="0"/>
                <w:sz w:val="18"/>
                <w:szCs w:val="18"/>
                <w:highlight w:val="yellow"/>
              </w:rPr>
              <w:t>）；</w:t>
            </w:r>
          </w:p>
          <w:p w14:paraId="272581C8">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网卡：10/100/1000 自适应网口×4；</w:t>
            </w:r>
          </w:p>
          <w:p w14:paraId="64F09CFC">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USB接口：≥4个；</w:t>
            </w:r>
          </w:p>
          <w:p w14:paraId="7DC36CC0">
            <w:pPr>
              <w:spacing w:before="0" w:after="0" w:line="240" w:lineRule="auto"/>
              <w:ind w:firstLine="0"/>
              <w:jc w:val="left"/>
              <w:rPr>
                <w:rFonts w:hint="eastAsia" w:ascii="宋体" w:hAnsi="宋体" w:cs="宋体"/>
                <w:color w:val="FF0000"/>
                <w:kern w:val="0"/>
                <w:sz w:val="18"/>
                <w:szCs w:val="18"/>
                <w:highlight w:val="yellow"/>
              </w:rPr>
            </w:pPr>
            <w:r>
              <w:rPr>
                <w:rFonts w:hint="eastAsia" w:ascii="宋体" w:hAnsi="宋体" w:cs="宋体"/>
                <w:color w:val="FF0000"/>
                <w:kern w:val="0"/>
                <w:sz w:val="18"/>
                <w:szCs w:val="18"/>
                <w:highlight w:val="yellow"/>
              </w:rPr>
              <w:t>音频：具备音频输入、输出接口（可通过板载、声卡或USB转换方式），配置话筒和小型音箱（具体规格以现场需求为准，在合同签订时确定）；</w:t>
            </w:r>
          </w:p>
          <w:p w14:paraId="43077F26">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其它：键盘、鼠标、电源线；</w:t>
            </w:r>
          </w:p>
          <w:p w14:paraId="11A5A1FC">
            <w:pPr>
              <w:adjustRightInd w:val="0"/>
              <w:snapToGrid w:val="0"/>
              <w:spacing w:before="0" w:after="0" w:line="240" w:lineRule="auto"/>
              <w:ind w:firstLine="0"/>
              <w:jc w:val="left"/>
              <w:rPr>
                <w:rFonts w:hint="eastAsia" w:ascii="宋体" w:hAnsi="宋体" w:cs="宋体"/>
                <w:kern w:val="0"/>
                <w:sz w:val="18"/>
                <w:szCs w:val="18"/>
              </w:rPr>
            </w:pPr>
            <w:r>
              <w:rPr>
                <w:rFonts w:ascii="宋体" w:hAnsi="宋体" w:cs="宋体"/>
                <w:color w:val="FF0000"/>
                <w:kern w:val="0"/>
                <w:sz w:val="18"/>
                <w:szCs w:val="18"/>
                <w:highlight w:val="yellow"/>
              </w:rPr>
              <w:t>售后服务：</w:t>
            </w:r>
            <w:r>
              <w:rPr>
                <w:rFonts w:hint="eastAsia" w:ascii="宋体" w:hAnsi="宋体" w:cs="宋体"/>
                <w:color w:val="FF0000"/>
                <w:kern w:val="0"/>
                <w:sz w:val="18"/>
                <w:szCs w:val="18"/>
                <w:highlight w:val="yellow"/>
              </w:rPr>
              <w:t>设备到货验收合格后，原厂提供</w:t>
            </w:r>
            <w:r>
              <w:rPr>
                <w:rFonts w:ascii="宋体" w:hAnsi="宋体" w:cs="宋体"/>
                <w:color w:val="FF0000"/>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p>
        </w:tc>
      </w:tr>
      <w:tr w14:paraId="22E4F4E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182F250D">
            <w:pPr>
              <w:adjustRightInd w:val="0"/>
              <w:snapToGrid w:val="0"/>
              <w:spacing w:before="0" w:after="0" w:line="240" w:lineRule="auto"/>
              <w:ind w:firstLine="0"/>
              <w:jc w:val="center"/>
              <w:rPr>
                <w:rFonts w:hint="default" w:ascii="宋体" w:hAnsi="宋体" w:cs="宋体"/>
                <w:kern w:val="0"/>
                <w:sz w:val="18"/>
                <w:szCs w:val="18"/>
                <w:lang w:val="en-US" w:eastAsia="zh-CN"/>
              </w:rPr>
            </w:pPr>
            <w:r>
              <w:rPr>
                <w:rFonts w:hint="eastAsia" w:ascii="宋体" w:hAnsi="宋体" w:cs="宋体"/>
                <w:kern w:val="0"/>
                <w:sz w:val="18"/>
                <w:szCs w:val="18"/>
                <w:lang w:val="en-US" w:eastAsia="zh-CN"/>
              </w:rPr>
              <w:t>7</w:t>
            </w:r>
          </w:p>
        </w:tc>
        <w:tc>
          <w:tcPr>
            <w:tcW w:w="1560" w:type="dxa"/>
            <w:shd w:val="clear" w:color="000000" w:fill="FFFFFF"/>
            <w:vAlign w:val="center"/>
          </w:tcPr>
          <w:p w14:paraId="18BE9338">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工作站（塔式，X86架构，一档）</w:t>
            </w:r>
          </w:p>
        </w:tc>
        <w:tc>
          <w:tcPr>
            <w:tcW w:w="5935" w:type="dxa"/>
            <w:shd w:val="clear" w:color="000000" w:fill="FFFFFF"/>
            <w:vAlign w:val="center"/>
          </w:tcPr>
          <w:p w14:paraId="7FD27621">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4C6FE95F">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7FF71C4B">
            <w:pPr>
              <w:adjustRightInd w:val="0"/>
              <w:snapToGrid w:val="0"/>
              <w:spacing w:before="0" w:after="0" w:line="240" w:lineRule="auto"/>
              <w:ind w:firstLine="0"/>
              <w:jc w:val="left"/>
              <w:rPr>
                <w:rFonts w:ascii="宋体" w:hAnsi="宋体" w:cs="宋体"/>
                <w:color w:val="FF0000"/>
                <w:kern w:val="0"/>
                <w:sz w:val="18"/>
                <w:szCs w:val="18"/>
                <w:highlight w:val="yellow"/>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6DB573A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3BC1E4B3">
            <w:pPr>
              <w:adjustRightInd w:val="0"/>
              <w:snapToGrid w:val="0"/>
              <w:spacing w:before="0" w:after="0" w:line="240" w:lineRule="auto"/>
              <w:ind w:firstLine="0"/>
              <w:jc w:val="center"/>
              <w:rPr>
                <w:rFonts w:hint="default" w:ascii="宋体" w:hAnsi="宋体" w:cs="宋体"/>
                <w:kern w:val="0"/>
                <w:sz w:val="18"/>
                <w:szCs w:val="18"/>
                <w:lang w:val="en-US" w:eastAsia="zh-CN"/>
              </w:rPr>
            </w:pPr>
            <w:r>
              <w:rPr>
                <w:rFonts w:hint="eastAsia" w:ascii="宋体" w:hAnsi="宋体" w:cs="宋体"/>
                <w:kern w:val="0"/>
                <w:sz w:val="18"/>
                <w:szCs w:val="18"/>
                <w:lang w:val="en-US" w:eastAsia="zh-CN"/>
              </w:rPr>
              <w:t>7</w:t>
            </w:r>
          </w:p>
        </w:tc>
        <w:tc>
          <w:tcPr>
            <w:tcW w:w="1560" w:type="dxa"/>
            <w:shd w:val="clear" w:color="000000" w:fill="FFFFFF"/>
            <w:vAlign w:val="center"/>
          </w:tcPr>
          <w:p w14:paraId="19E81213">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工作站（塔式，X86架构，一档）</w:t>
            </w:r>
          </w:p>
        </w:tc>
        <w:tc>
          <w:tcPr>
            <w:tcW w:w="5935" w:type="dxa"/>
            <w:shd w:val="clear" w:color="000000" w:fill="FFFFFF"/>
            <w:vAlign w:val="center"/>
          </w:tcPr>
          <w:p w14:paraId="63E0C6E8">
            <w:pPr>
              <w:adjustRightInd w:val="0"/>
              <w:snapToGrid w:val="0"/>
              <w:spacing w:before="0" w:after="0" w:line="240" w:lineRule="auto"/>
              <w:ind w:firstLine="0"/>
              <w:jc w:val="left"/>
              <w:rPr>
                <w:rFonts w:hint="eastAsia" w:ascii="宋体" w:hAnsi="宋体" w:cs="宋体"/>
                <w:color w:val="FF0000"/>
                <w:kern w:val="0"/>
                <w:sz w:val="18"/>
                <w:szCs w:val="18"/>
                <w:highlight w:val="yellow"/>
                <w:lang w:val="en-US" w:eastAsia="zh-CN"/>
              </w:rPr>
            </w:pPr>
            <w:r>
              <w:rPr>
                <w:rFonts w:hint="eastAsia" w:ascii="宋体" w:hAnsi="宋体" w:cs="宋体"/>
                <w:color w:val="FF0000"/>
                <w:kern w:val="0"/>
                <w:sz w:val="18"/>
                <w:szCs w:val="18"/>
                <w:highlight w:val="yellow"/>
                <w:lang w:val="en-US" w:eastAsia="zh-CN"/>
              </w:rPr>
              <w:t>塔式工作站。</w:t>
            </w:r>
          </w:p>
          <w:p w14:paraId="5A6B4E84">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CPU：X86</w:t>
            </w:r>
            <w:r>
              <w:rPr>
                <w:rFonts w:hint="eastAsia" w:ascii="宋体" w:hAnsi="宋体" w:cs="宋体"/>
                <w:kern w:val="0"/>
                <w:sz w:val="18"/>
                <w:szCs w:val="18"/>
                <w:highlight w:val="yellow"/>
              </w:rPr>
              <w:t>架构</w:t>
            </w:r>
            <w:r>
              <w:rPr>
                <w:rFonts w:ascii="宋体" w:hAnsi="宋体" w:cs="宋体"/>
                <w:kern w:val="0"/>
                <w:sz w:val="18"/>
                <w:szCs w:val="18"/>
                <w:highlight w:val="yellow"/>
              </w:rPr>
              <w:t>，总核数不低于</w:t>
            </w:r>
            <w:r>
              <w:rPr>
                <w:rFonts w:hint="eastAsia" w:ascii="宋体" w:hAnsi="宋体" w:cs="宋体"/>
                <w:kern w:val="0"/>
                <w:sz w:val="18"/>
                <w:szCs w:val="18"/>
                <w:highlight w:val="yellow"/>
              </w:rPr>
              <w:t>24</w:t>
            </w:r>
            <w:r>
              <w:rPr>
                <w:rFonts w:ascii="宋体" w:hAnsi="宋体" w:cs="宋体"/>
                <w:kern w:val="0"/>
                <w:sz w:val="18"/>
                <w:szCs w:val="18"/>
                <w:highlight w:val="yellow"/>
              </w:rPr>
              <w:t>核，原始主频≥2.</w:t>
            </w:r>
            <w:r>
              <w:rPr>
                <w:rFonts w:hint="eastAsia" w:ascii="宋体" w:hAnsi="宋体" w:cs="宋体"/>
                <w:kern w:val="0"/>
                <w:sz w:val="18"/>
                <w:szCs w:val="18"/>
                <w:highlight w:val="yellow"/>
              </w:rPr>
              <w:t>1</w:t>
            </w:r>
            <w:r>
              <w:rPr>
                <w:rFonts w:ascii="宋体" w:hAnsi="宋体" w:cs="宋体"/>
                <w:kern w:val="0"/>
                <w:sz w:val="18"/>
                <w:szCs w:val="18"/>
                <w:highlight w:val="yellow"/>
              </w:rPr>
              <w:t>GHz；CPU芯片需通过安全可靠测评，其安全可靠测评等级不得低于I级，详情可从中国信息安全测评中心（www.itsec.gov.cn）和国家保密科技测评中心（www.nsstec.org.cn）网站查询。</w:t>
            </w:r>
          </w:p>
          <w:p w14:paraId="2E7C2E28">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内存：大于或等于</w:t>
            </w:r>
            <w:r>
              <w:rPr>
                <w:rFonts w:hint="eastAsia" w:ascii="宋体" w:hAnsi="宋体" w:cs="宋体"/>
                <w:kern w:val="0"/>
                <w:sz w:val="18"/>
                <w:szCs w:val="18"/>
                <w:highlight w:val="yellow"/>
              </w:rPr>
              <w:t>64</w:t>
            </w:r>
            <w:r>
              <w:rPr>
                <w:rFonts w:ascii="宋体" w:hAnsi="宋体" w:cs="宋体"/>
                <w:kern w:val="0"/>
                <w:sz w:val="18"/>
                <w:szCs w:val="18"/>
                <w:highlight w:val="yellow"/>
              </w:rPr>
              <w:t>GB DDR4；</w:t>
            </w:r>
          </w:p>
          <w:p w14:paraId="37A7FAAE">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硬盘：2块480GB（或以上）SSD固态硬盘，</w:t>
            </w:r>
            <w:r>
              <w:rPr>
                <w:rFonts w:hint="eastAsia" w:ascii="宋体" w:hAnsi="宋体" w:cs="宋体"/>
                <w:kern w:val="0"/>
                <w:sz w:val="18"/>
                <w:szCs w:val="18"/>
                <w:highlight w:val="yellow"/>
              </w:rPr>
              <w:t>T</w:t>
            </w:r>
            <w:r>
              <w:rPr>
                <w:rFonts w:ascii="宋体" w:hAnsi="宋体" w:cs="宋体"/>
                <w:kern w:val="0"/>
                <w:sz w:val="18"/>
                <w:szCs w:val="18"/>
                <w:highlight w:val="yellow"/>
              </w:rPr>
              <w:t>LC闪存颗粒</w:t>
            </w:r>
            <w:r>
              <w:rPr>
                <w:rFonts w:hint="eastAsia" w:ascii="宋体" w:hAnsi="宋体" w:cs="宋体"/>
                <w:kern w:val="0"/>
                <w:sz w:val="18"/>
                <w:szCs w:val="18"/>
                <w:highlight w:val="yellow"/>
              </w:rPr>
              <w:t>，</w:t>
            </w:r>
            <w:r>
              <w:rPr>
                <w:rFonts w:ascii="宋体" w:hAnsi="宋体" w:cs="宋体"/>
                <w:kern w:val="0"/>
                <w:sz w:val="18"/>
                <w:szCs w:val="18"/>
                <w:highlight w:val="yellow"/>
              </w:rPr>
              <w:t>读写混合型，擦写寿命：≥3 DWPD 5年；</w:t>
            </w:r>
          </w:p>
          <w:p w14:paraId="55FE1A74">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显卡：2个双屏3D显卡（</w:t>
            </w:r>
            <w:r>
              <w:rPr>
                <w:rFonts w:hint="eastAsia" w:ascii="宋体" w:hAnsi="宋体" w:cs="宋体"/>
                <w:kern w:val="0"/>
                <w:sz w:val="18"/>
                <w:szCs w:val="18"/>
                <w:highlight w:val="yellow"/>
              </w:rPr>
              <w:t>每显卡</w:t>
            </w:r>
            <w:r>
              <w:rPr>
                <w:rFonts w:ascii="宋体" w:hAnsi="宋体" w:cs="宋体"/>
                <w:kern w:val="0"/>
                <w:sz w:val="18"/>
                <w:szCs w:val="18"/>
                <w:highlight w:val="yellow"/>
              </w:rPr>
              <w:t>独立显存≥2GB）或1个四屏3D显卡（独立显存≥4GB），</w:t>
            </w:r>
            <w:r>
              <w:rPr>
                <w:rFonts w:hint="eastAsia" w:ascii="宋体" w:hAnsi="宋体" w:cs="宋体"/>
                <w:kern w:val="0"/>
                <w:sz w:val="18"/>
                <w:szCs w:val="18"/>
                <w:highlight w:val="yellow"/>
              </w:rPr>
              <w:t>原生提供</w:t>
            </w:r>
            <w:r>
              <w:rPr>
                <w:rFonts w:ascii="宋体" w:hAnsi="宋体" w:cs="宋体"/>
                <w:kern w:val="0"/>
                <w:sz w:val="18"/>
                <w:szCs w:val="18"/>
                <w:highlight w:val="yellow"/>
              </w:rPr>
              <w:t>DP</w:t>
            </w:r>
            <w:r>
              <w:rPr>
                <w:rFonts w:hint="eastAsia" w:ascii="宋体" w:hAnsi="宋体" w:cs="宋体"/>
                <w:kern w:val="0"/>
                <w:sz w:val="18"/>
                <w:szCs w:val="18"/>
                <w:highlight w:val="yellow"/>
              </w:rPr>
              <w:t>输出接口</w:t>
            </w:r>
            <w:r>
              <w:rPr>
                <w:rFonts w:ascii="宋体" w:hAnsi="宋体" w:cs="宋体"/>
                <w:kern w:val="0"/>
                <w:sz w:val="18"/>
                <w:szCs w:val="18"/>
                <w:highlight w:val="yellow"/>
              </w:rPr>
              <w:t>）；</w:t>
            </w:r>
          </w:p>
          <w:p w14:paraId="698776B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网卡：10/100/1000 自适应网口×4；</w:t>
            </w:r>
          </w:p>
          <w:p w14:paraId="5E87DA88">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USB接口：≥4个；</w:t>
            </w:r>
          </w:p>
          <w:p w14:paraId="1EB9AD04">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音频：具备音频输入、输出接口（可通过板载、声卡或USB转换方式），配置话筒和小型音箱（具体规格以现场需求为准，在合同签订时确定）；</w:t>
            </w:r>
          </w:p>
          <w:p w14:paraId="5ED3680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其它：键盘、鼠标、电源线；</w:t>
            </w:r>
          </w:p>
          <w:p w14:paraId="56F99819">
            <w:pPr>
              <w:pStyle w:val="57"/>
              <w:ind w:left="0" w:leftChars="0" w:firstLine="0" w:firstLineChars="0"/>
              <w:rPr>
                <w:rFonts w:hint="default"/>
                <w:lang w:val="en-US" w:eastAsia="zh-CN"/>
              </w:rPr>
            </w:pPr>
            <w:r>
              <w:rPr>
                <w:rFonts w:ascii="宋体" w:hAnsi="宋体" w:cs="宋体"/>
                <w:kern w:val="0"/>
                <w:sz w:val="18"/>
                <w:szCs w:val="18"/>
                <w:highlight w:val="yellow"/>
              </w:rPr>
              <w:t>售后服务：</w:t>
            </w:r>
            <w:r>
              <w:rPr>
                <w:rFonts w:hint="eastAsia" w:ascii="宋体" w:hAnsi="宋体" w:cs="宋体"/>
                <w:kern w:val="0"/>
                <w:sz w:val="18"/>
                <w:szCs w:val="18"/>
                <w:highlight w:val="yellow"/>
              </w:rPr>
              <w:t>设备到货验收合格后，原厂提供</w:t>
            </w:r>
            <w:r>
              <w:rPr>
                <w:rFonts w:ascii="宋体" w:hAnsi="宋体" w:cs="宋体"/>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r>
              <w:rPr>
                <w:rFonts w:hint="eastAsia" w:ascii="宋体" w:hAnsi="宋体" w:cs="宋体"/>
                <w:kern w:val="0"/>
                <w:sz w:val="18"/>
                <w:szCs w:val="18"/>
                <w:highlight w:val="yellow"/>
              </w:rPr>
              <w:t>。</w:t>
            </w:r>
          </w:p>
        </w:tc>
      </w:tr>
      <w:tr w14:paraId="64AE4B8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2AC5EECF">
            <w:pPr>
              <w:adjustRightInd w:val="0"/>
              <w:snapToGrid w:val="0"/>
              <w:spacing w:before="0" w:after="0" w:line="240" w:lineRule="auto"/>
              <w:ind w:firstLine="0"/>
              <w:jc w:val="center"/>
              <w:rPr>
                <w:rFonts w:hint="default" w:ascii="宋体" w:hAnsi="宋体" w:cs="宋体"/>
                <w:kern w:val="0"/>
                <w:sz w:val="18"/>
                <w:szCs w:val="18"/>
                <w:lang w:val="en-US" w:eastAsia="zh-CN"/>
              </w:rPr>
            </w:pPr>
            <w:r>
              <w:rPr>
                <w:rFonts w:hint="eastAsia" w:ascii="宋体" w:hAnsi="宋体" w:cs="宋体"/>
                <w:kern w:val="0"/>
                <w:sz w:val="18"/>
                <w:szCs w:val="18"/>
                <w:lang w:val="en-US" w:eastAsia="zh-CN"/>
              </w:rPr>
              <w:t>8</w:t>
            </w:r>
          </w:p>
        </w:tc>
        <w:tc>
          <w:tcPr>
            <w:tcW w:w="1560" w:type="dxa"/>
            <w:shd w:val="clear" w:color="000000" w:fill="FFFFFF"/>
            <w:vAlign w:val="center"/>
          </w:tcPr>
          <w:p w14:paraId="7E97403D">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工作站（塔式，X86架构，</w:t>
            </w:r>
            <w:r>
              <w:rPr>
                <w:rFonts w:hint="eastAsia" w:ascii="宋体" w:hAnsi="宋体" w:cs="宋体"/>
                <w:kern w:val="0"/>
                <w:sz w:val="18"/>
                <w:szCs w:val="18"/>
                <w:highlight w:val="yellow"/>
                <w:lang w:val="en-US" w:eastAsia="zh-CN"/>
              </w:rPr>
              <w:t>二</w:t>
            </w:r>
            <w:r>
              <w:rPr>
                <w:rFonts w:hint="eastAsia" w:ascii="宋体" w:hAnsi="宋体" w:cs="宋体"/>
                <w:kern w:val="0"/>
                <w:sz w:val="18"/>
                <w:szCs w:val="18"/>
                <w:highlight w:val="yellow"/>
              </w:rPr>
              <w:t>档）</w:t>
            </w:r>
          </w:p>
        </w:tc>
        <w:tc>
          <w:tcPr>
            <w:tcW w:w="5935" w:type="dxa"/>
            <w:shd w:val="clear" w:color="000000" w:fill="FFFFFF"/>
            <w:vAlign w:val="center"/>
          </w:tcPr>
          <w:p w14:paraId="256EBA0A">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6844B826">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670AADBD">
            <w:pPr>
              <w:adjustRightInd w:val="0"/>
              <w:snapToGrid w:val="0"/>
              <w:spacing w:before="0" w:after="0" w:line="240" w:lineRule="auto"/>
              <w:ind w:firstLine="0"/>
              <w:jc w:val="left"/>
              <w:rPr>
                <w:rFonts w:ascii="宋体" w:hAnsi="宋体" w:cs="宋体"/>
                <w:color w:val="FF0000"/>
                <w:kern w:val="0"/>
                <w:sz w:val="18"/>
                <w:szCs w:val="18"/>
                <w:highlight w:val="yellow"/>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70027E3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0A556632">
            <w:pPr>
              <w:adjustRightInd w:val="0"/>
              <w:snapToGrid w:val="0"/>
              <w:spacing w:before="0" w:after="0" w:line="240" w:lineRule="auto"/>
              <w:ind w:firstLine="0"/>
              <w:jc w:val="center"/>
              <w:rPr>
                <w:rFonts w:hint="default" w:ascii="宋体" w:hAnsi="宋体" w:cs="宋体"/>
                <w:kern w:val="0"/>
                <w:sz w:val="18"/>
                <w:szCs w:val="18"/>
                <w:lang w:val="en-US" w:eastAsia="zh-CN"/>
              </w:rPr>
            </w:pPr>
            <w:r>
              <w:rPr>
                <w:rFonts w:hint="eastAsia" w:ascii="宋体" w:hAnsi="宋体" w:cs="宋体"/>
                <w:kern w:val="0"/>
                <w:sz w:val="18"/>
                <w:szCs w:val="18"/>
                <w:lang w:val="en-US" w:eastAsia="zh-CN"/>
              </w:rPr>
              <w:t>8</w:t>
            </w:r>
          </w:p>
        </w:tc>
        <w:tc>
          <w:tcPr>
            <w:tcW w:w="1560" w:type="dxa"/>
            <w:shd w:val="clear" w:color="000000" w:fill="FFFFFF"/>
            <w:vAlign w:val="center"/>
          </w:tcPr>
          <w:p w14:paraId="739F5F3B">
            <w:pPr>
              <w:adjustRightInd w:val="0"/>
              <w:snapToGrid w:val="0"/>
              <w:spacing w:before="0" w:after="0" w:line="240" w:lineRule="auto"/>
              <w:ind w:firstLine="0" w:firstLineChars="0"/>
              <w:jc w:val="left"/>
              <w:rPr>
                <w:rFonts w:hint="eastAsia" w:ascii="宋体" w:hAnsi="宋体" w:eastAsia="宋体" w:cs="宋体"/>
                <w:kern w:val="0"/>
                <w:sz w:val="18"/>
                <w:szCs w:val="18"/>
                <w:highlight w:val="yellow"/>
                <w:lang w:val="en-US" w:eastAsia="zh-CN" w:bidi="ar-SA"/>
              </w:rPr>
            </w:pPr>
            <w:r>
              <w:rPr>
                <w:rFonts w:hint="eastAsia" w:ascii="宋体" w:hAnsi="宋体" w:cs="宋体"/>
                <w:kern w:val="0"/>
                <w:sz w:val="18"/>
                <w:szCs w:val="18"/>
                <w:highlight w:val="yellow"/>
              </w:rPr>
              <w:t>工作站（塔式，X86架构，</w:t>
            </w:r>
            <w:r>
              <w:rPr>
                <w:rFonts w:hint="eastAsia" w:ascii="宋体" w:hAnsi="宋体" w:cs="宋体"/>
                <w:kern w:val="0"/>
                <w:sz w:val="18"/>
                <w:szCs w:val="18"/>
                <w:highlight w:val="yellow"/>
                <w:lang w:val="en-US" w:eastAsia="zh-CN"/>
              </w:rPr>
              <w:t>二</w:t>
            </w:r>
            <w:r>
              <w:rPr>
                <w:rFonts w:hint="eastAsia" w:ascii="宋体" w:hAnsi="宋体" w:cs="宋体"/>
                <w:kern w:val="0"/>
                <w:sz w:val="18"/>
                <w:szCs w:val="18"/>
                <w:highlight w:val="yellow"/>
              </w:rPr>
              <w:t>档）</w:t>
            </w:r>
          </w:p>
        </w:tc>
        <w:tc>
          <w:tcPr>
            <w:tcW w:w="5935" w:type="dxa"/>
            <w:shd w:val="clear" w:color="000000" w:fill="FFFFFF"/>
            <w:vAlign w:val="center"/>
          </w:tcPr>
          <w:p w14:paraId="1DE86C2E">
            <w:pPr>
              <w:adjustRightInd w:val="0"/>
              <w:snapToGrid w:val="0"/>
              <w:spacing w:before="0" w:after="0" w:line="240" w:lineRule="auto"/>
              <w:ind w:firstLine="0"/>
              <w:jc w:val="left"/>
              <w:rPr>
                <w:rFonts w:ascii="宋体" w:hAnsi="宋体" w:cs="宋体"/>
                <w:kern w:val="0"/>
                <w:sz w:val="18"/>
                <w:szCs w:val="18"/>
                <w:highlight w:val="yellow"/>
              </w:rPr>
            </w:pPr>
            <w:r>
              <w:rPr>
                <w:rFonts w:hint="eastAsia" w:ascii="宋体" w:hAnsi="宋体" w:cs="宋体"/>
                <w:color w:val="FF0000"/>
                <w:kern w:val="0"/>
                <w:sz w:val="18"/>
                <w:szCs w:val="18"/>
                <w:highlight w:val="yellow"/>
                <w:lang w:val="en-US" w:eastAsia="zh-CN"/>
              </w:rPr>
              <w:t>塔式工作站。</w:t>
            </w:r>
          </w:p>
          <w:p w14:paraId="622F0D6F">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CPU：X86</w:t>
            </w:r>
            <w:r>
              <w:rPr>
                <w:rFonts w:hint="eastAsia" w:ascii="宋体" w:hAnsi="宋体" w:cs="宋体"/>
                <w:kern w:val="0"/>
                <w:sz w:val="18"/>
                <w:szCs w:val="18"/>
                <w:highlight w:val="yellow"/>
              </w:rPr>
              <w:t>架构</w:t>
            </w:r>
            <w:r>
              <w:rPr>
                <w:rFonts w:ascii="宋体" w:hAnsi="宋体" w:cs="宋体"/>
                <w:kern w:val="0"/>
                <w:sz w:val="18"/>
                <w:szCs w:val="18"/>
                <w:highlight w:val="yellow"/>
              </w:rPr>
              <w:t>，</w:t>
            </w:r>
            <w:r>
              <w:rPr>
                <w:rFonts w:ascii="宋体" w:hAnsi="宋体" w:cs="宋体"/>
                <w:color w:val="FF0000"/>
                <w:kern w:val="0"/>
                <w:sz w:val="18"/>
                <w:szCs w:val="18"/>
                <w:highlight w:val="yellow"/>
              </w:rPr>
              <w:t>总核数不低于</w:t>
            </w:r>
            <w:r>
              <w:rPr>
                <w:rFonts w:hint="eastAsia" w:ascii="宋体" w:hAnsi="宋体" w:cs="宋体"/>
                <w:color w:val="FF0000"/>
                <w:kern w:val="0"/>
                <w:sz w:val="18"/>
                <w:szCs w:val="18"/>
                <w:highlight w:val="yellow"/>
              </w:rPr>
              <w:t>16</w:t>
            </w:r>
            <w:r>
              <w:rPr>
                <w:rFonts w:ascii="宋体" w:hAnsi="宋体" w:cs="宋体"/>
                <w:color w:val="FF0000"/>
                <w:kern w:val="0"/>
                <w:sz w:val="18"/>
                <w:szCs w:val="18"/>
                <w:highlight w:val="yellow"/>
              </w:rPr>
              <w:t>核，原始主频≥2.</w:t>
            </w:r>
            <w:r>
              <w:rPr>
                <w:rFonts w:hint="eastAsia" w:ascii="宋体" w:hAnsi="宋体" w:cs="宋体"/>
                <w:color w:val="FF0000"/>
                <w:kern w:val="0"/>
                <w:sz w:val="18"/>
                <w:szCs w:val="18"/>
                <w:highlight w:val="yellow"/>
              </w:rPr>
              <w:t>1</w:t>
            </w:r>
            <w:r>
              <w:rPr>
                <w:rFonts w:ascii="宋体" w:hAnsi="宋体" w:cs="宋体"/>
                <w:color w:val="FF0000"/>
                <w:kern w:val="0"/>
                <w:sz w:val="18"/>
                <w:szCs w:val="18"/>
                <w:highlight w:val="yellow"/>
              </w:rPr>
              <w:t>GHz；</w:t>
            </w:r>
            <w:r>
              <w:rPr>
                <w:rFonts w:ascii="宋体" w:hAnsi="宋体" w:cs="宋体"/>
                <w:kern w:val="0"/>
                <w:sz w:val="18"/>
                <w:szCs w:val="18"/>
                <w:highlight w:val="yellow"/>
              </w:rPr>
              <w:t>CPU芯片需通过安全可靠测评，其安全可靠测评等级不得低于I级，详情可从中国信息安全测评中心（www.itsec.gov.cn）和国家保密科技测评中心（www.nsstec.org.cn）网站查询。</w:t>
            </w:r>
          </w:p>
          <w:p w14:paraId="08B67AB8">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内存：大于或等于</w:t>
            </w:r>
            <w:r>
              <w:rPr>
                <w:rFonts w:hint="eastAsia" w:ascii="宋体" w:hAnsi="宋体" w:cs="宋体"/>
                <w:color w:val="FF0000"/>
                <w:kern w:val="0"/>
                <w:sz w:val="18"/>
                <w:szCs w:val="18"/>
                <w:highlight w:val="yellow"/>
              </w:rPr>
              <w:t>64</w:t>
            </w:r>
            <w:r>
              <w:rPr>
                <w:rFonts w:ascii="宋体" w:hAnsi="宋体" w:cs="宋体"/>
                <w:color w:val="FF0000"/>
                <w:kern w:val="0"/>
                <w:sz w:val="18"/>
                <w:szCs w:val="18"/>
                <w:highlight w:val="yellow"/>
              </w:rPr>
              <w:t>GB</w:t>
            </w:r>
            <w:r>
              <w:rPr>
                <w:rFonts w:ascii="宋体" w:hAnsi="宋体" w:cs="宋体"/>
                <w:kern w:val="0"/>
                <w:sz w:val="18"/>
                <w:szCs w:val="18"/>
                <w:highlight w:val="yellow"/>
              </w:rPr>
              <w:t xml:space="preserve"> DDR4；</w:t>
            </w:r>
          </w:p>
          <w:p w14:paraId="7F9328D1">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硬盘：2块480GB（或以上）SSD固态硬盘，</w:t>
            </w:r>
            <w:r>
              <w:rPr>
                <w:rFonts w:hint="eastAsia" w:ascii="宋体" w:hAnsi="宋体" w:cs="宋体"/>
                <w:kern w:val="0"/>
                <w:sz w:val="18"/>
                <w:szCs w:val="18"/>
                <w:highlight w:val="yellow"/>
              </w:rPr>
              <w:t>T</w:t>
            </w:r>
            <w:r>
              <w:rPr>
                <w:rFonts w:ascii="宋体" w:hAnsi="宋体" w:cs="宋体"/>
                <w:kern w:val="0"/>
                <w:sz w:val="18"/>
                <w:szCs w:val="18"/>
                <w:highlight w:val="yellow"/>
              </w:rPr>
              <w:t>LC闪存颗粒</w:t>
            </w:r>
            <w:r>
              <w:rPr>
                <w:rFonts w:hint="eastAsia" w:ascii="宋体" w:hAnsi="宋体" w:cs="宋体"/>
                <w:kern w:val="0"/>
                <w:sz w:val="18"/>
                <w:szCs w:val="18"/>
                <w:highlight w:val="yellow"/>
              </w:rPr>
              <w:t>，</w:t>
            </w:r>
            <w:r>
              <w:rPr>
                <w:rFonts w:ascii="宋体" w:hAnsi="宋体" w:cs="宋体"/>
                <w:kern w:val="0"/>
                <w:sz w:val="18"/>
                <w:szCs w:val="18"/>
                <w:highlight w:val="yellow"/>
              </w:rPr>
              <w:t>读写混合型，擦写寿命：≥3 DWPD 5年；</w:t>
            </w:r>
          </w:p>
          <w:p w14:paraId="40A29FA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显卡：2个双屏3D显卡（</w:t>
            </w:r>
            <w:r>
              <w:rPr>
                <w:rFonts w:hint="eastAsia" w:ascii="宋体" w:hAnsi="宋体" w:cs="宋体"/>
                <w:kern w:val="0"/>
                <w:sz w:val="18"/>
                <w:szCs w:val="18"/>
                <w:highlight w:val="yellow"/>
              </w:rPr>
              <w:t>每显卡</w:t>
            </w:r>
            <w:r>
              <w:rPr>
                <w:rFonts w:ascii="宋体" w:hAnsi="宋体" w:cs="宋体"/>
                <w:kern w:val="0"/>
                <w:sz w:val="18"/>
                <w:szCs w:val="18"/>
                <w:highlight w:val="yellow"/>
              </w:rPr>
              <w:t>独立显存≥2GB）或1个四屏3D显卡（独立显存≥4GB），</w:t>
            </w:r>
            <w:r>
              <w:rPr>
                <w:rFonts w:hint="eastAsia" w:ascii="宋体" w:hAnsi="宋体" w:cs="宋体"/>
                <w:kern w:val="0"/>
                <w:sz w:val="18"/>
                <w:szCs w:val="18"/>
                <w:highlight w:val="yellow"/>
              </w:rPr>
              <w:t>原生提供</w:t>
            </w:r>
            <w:r>
              <w:rPr>
                <w:rFonts w:ascii="宋体" w:hAnsi="宋体" w:cs="宋体"/>
                <w:kern w:val="0"/>
                <w:sz w:val="18"/>
                <w:szCs w:val="18"/>
                <w:highlight w:val="yellow"/>
              </w:rPr>
              <w:t>DP</w:t>
            </w:r>
            <w:r>
              <w:rPr>
                <w:rFonts w:hint="eastAsia" w:ascii="宋体" w:hAnsi="宋体" w:cs="宋体"/>
                <w:kern w:val="0"/>
                <w:sz w:val="18"/>
                <w:szCs w:val="18"/>
                <w:highlight w:val="yellow"/>
              </w:rPr>
              <w:t>输出接口</w:t>
            </w:r>
            <w:r>
              <w:rPr>
                <w:rFonts w:ascii="宋体" w:hAnsi="宋体" w:cs="宋体"/>
                <w:kern w:val="0"/>
                <w:sz w:val="18"/>
                <w:szCs w:val="18"/>
                <w:highlight w:val="yellow"/>
              </w:rPr>
              <w:t>）；</w:t>
            </w:r>
          </w:p>
          <w:p w14:paraId="39F68BEC">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网卡：10/100/1000 自适应网口×4；</w:t>
            </w:r>
          </w:p>
          <w:p w14:paraId="72F76E80">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USB接口：≥4个；</w:t>
            </w:r>
          </w:p>
          <w:p w14:paraId="77D05C7B">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音频：具备音频输入、输出接口（可通过板载、声卡或USB转换方式），配置话筒和小型音箱（具体规格以现场需求为准，在合同签订时确定）；</w:t>
            </w:r>
          </w:p>
          <w:p w14:paraId="373369A6">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highlight w:val="yellow"/>
              </w:rPr>
              <w:t>其它：键盘、鼠标、电源线；</w:t>
            </w:r>
          </w:p>
          <w:p w14:paraId="41D21323">
            <w:pPr>
              <w:adjustRightInd w:val="0"/>
              <w:snapToGrid w:val="0"/>
              <w:spacing w:before="0" w:after="0" w:line="240" w:lineRule="auto"/>
              <w:ind w:firstLine="0"/>
              <w:jc w:val="left"/>
              <w:rPr>
                <w:rFonts w:ascii="宋体" w:hAnsi="宋体" w:cs="宋体"/>
                <w:color w:val="FF0000"/>
                <w:kern w:val="0"/>
                <w:sz w:val="18"/>
                <w:szCs w:val="18"/>
                <w:highlight w:val="yellow"/>
              </w:rPr>
            </w:pPr>
            <w:r>
              <w:rPr>
                <w:rFonts w:ascii="宋体" w:hAnsi="宋体" w:cs="宋体"/>
                <w:kern w:val="0"/>
                <w:sz w:val="18"/>
                <w:szCs w:val="18"/>
                <w:highlight w:val="yellow"/>
              </w:rPr>
              <w:t>售后服务：</w:t>
            </w:r>
            <w:r>
              <w:rPr>
                <w:rFonts w:hint="eastAsia" w:ascii="宋体" w:hAnsi="宋体" w:cs="宋体"/>
                <w:kern w:val="0"/>
                <w:sz w:val="18"/>
                <w:szCs w:val="18"/>
                <w:highlight w:val="yellow"/>
              </w:rPr>
              <w:t>设备到货验收合格后，原厂提供</w:t>
            </w:r>
            <w:r>
              <w:rPr>
                <w:rFonts w:ascii="宋体" w:hAnsi="宋体" w:cs="宋体"/>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p>
        </w:tc>
      </w:tr>
      <w:tr w14:paraId="790EB6E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1ED7C681">
            <w:pPr>
              <w:adjustRightInd w:val="0"/>
              <w:snapToGrid w:val="0"/>
              <w:spacing w:before="0" w:after="0" w:line="240" w:lineRule="auto"/>
              <w:ind w:firstLine="0"/>
              <w:jc w:val="center"/>
              <w:rPr>
                <w:rFonts w:hint="default" w:ascii="宋体" w:hAnsi="宋体" w:cs="宋体"/>
                <w:kern w:val="0"/>
                <w:sz w:val="18"/>
                <w:szCs w:val="18"/>
                <w:lang w:val="en-US" w:eastAsia="zh-CN"/>
              </w:rPr>
            </w:pPr>
            <w:r>
              <w:rPr>
                <w:rFonts w:hint="eastAsia" w:ascii="宋体" w:hAnsi="宋体" w:cs="宋体"/>
                <w:kern w:val="0"/>
                <w:sz w:val="18"/>
                <w:szCs w:val="18"/>
                <w:lang w:val="en-US" w:eastAsia="zh-CN"/>
              </w:rPr>
              <w:t>9</w:t>
            </w:r>
          </w:p>
        </w:tc>
        <w:tc>
          <w:tcPr>
            <w:tcW w:w="1560" w:type="dxa"/>
            <w:shd w:val="clear" w:color="000000" w:fill="FFFFFF"/>
            <w:vAlign w:val="center"/>
          </w:tcPr>
          <w:p w14:paraId="4960F0AA">
            <w:pPr>
              <w:adjustRightInd w:val="0"/>
              <w:snapToGrid w:val="0"/>
              <w:spacing w:before="0" w:after="0" w:line="240" w:lineRule="auto"/>
              <w:ind w:firstLine="0" w:firstLineChars="0"/>
              <w:jc w:val="left"/>
              <w:rPr>
                <w:rFonts w:hint="eastAsia" w:ascii="宋体" w:hAnsi="宋体" w:cs="宋体"/>
                <w:kern w:val="0"/>
                <w:sz w:val="18"/>
                <w:szCs w:val="18"/>
                <w:highlight w:val="yellow"/>
              </w:rPr>
            </w:pPr>
            <w:r>
              <w:rPr>
                <w:rFonts w:hint="eastAsia" w:ascii="宋体" w:hAnsi="宋体" w:cs="宋体"/>
                <w:kern w:val="0"/>
                <w:sz w:val="18"/>
                <w:szCs w:val="18"/>
                <w:highlight w:val="yellow"/>
              </w:rPr>
              <w:t>工作站（塔式，X86架构，</w:t>
            </w:r>
            <w:r>
              <w:rPr>
                <w:rFonts w:hint="eastAsia" w:ascii="宋体" w:hAnsi="宋体" w:cs="宋体"/>
                <w:kern w:val="0"/>
                <w:sz w:val="18"/>
                <w:szCs w:val="18"/>
                <w:highlight w:val="yellow"/>
                <w:lang w:val="en-US" w:eastAsia="zh-CN"/>
              </w:rPr>
              <w:t>三</w:t>
            </w:r>
            <w:r>
              <w:rPr>
                <w:rFonts w:hint="eastAsia" w:ascii="宋体" w:hAnsi="宋体" w:cs="宋体"/>
                <w:kern w:val="0"/>
                <w:sz w:val="18"/>
                <w:szCs w:val="18"/>
                <w:highlight w:val="yellow"/>
              </w:rPr>
              <w:t>档）</w:t>
            </w:r>
          </w:p>
        </w:tc>
        <w:tc>
          <w:tcPr>
            <w:tcW w:w="5935" w:type="dxa"/>
            <w:shd w:val="clear" w:color="000000" w:fill="FFFFFF"/>
            <w:vAlign w:val="center"/>
          </w:tcPr>
          <w:p w14:paraId="53AA9CB2">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13C742B0">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099CDB22">
            <w:pPr>
              <w:adjustRightInd w:val="0"/>
              <w:snapToGrid w:val="0"/>
              <w:spacing w:before="0" w:after="0" w:line="240" w:lineRule="auto"/>
              <w:ind w:firstLine="0"/>
              <w:jc w:val="left"/>
              <w:rPr>
                <w:rFonts w:ascii="宋体" w:hAnsi="宋体" w:cs="宋体"/>
                <w:color w:val="FF0000"/>
                <w:kern w:val="0"/>
                <w:sz w:val="18"/>
                <w:szCs w:val="18"/>
                <w:highlight w:val="yellow"/>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5BC318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540126EE">
            <w:pPr>
              <w:adjustRightInd w:val="0"/>
              <w:snapToGrid w:val="0"/>
              <w:spacing w:before="0" w:after="0" w:line="240" w:lineRule="auto"/>
              <w:ind w:firstLine="0"/>
              <w:jc w:val="center"/>
              <w:rPr>
                <w:rFonts w:hint="default" w:ascii="宋体" w:hAnsi="宋体" w:cs="宋体"/>
                <w:kern w:val="0"/>
                <w:sz w:val="18"/>
                <w:szCs w:val="18"/>
                <w:lang w:val="en-US" w:eastAsia="zh-CN"/>
              </w:rPr>
            </w:pPr>
            <w:r>
              <w:rPr>
                <w:rFonts w:hint="eastAsia" w:ascii="宋体" w:hAnsi="宋体" w:cs="宋体"/>
                <w:kern w:val="0"/>
                <w:sz w:val="18"/>
                <w:szCs w:val="18"/>
                <w:lang w:val="en-US" w:eastAsia="zh-CN"/>
              </w:rPr>
              <w:t>9</w:t>
            </w:r>
          </w:p>
        </w:tc>
        <w:tc>
          <w:tcPr>
            <w:tcW w:w="1560" w:type="dxa"/>
            <w:shd w:val="clear" w:color="000000" w:fill="FFFFFF"/>
            <w:vAlign w:val="center"/>
          </w:tcPr>
          <w:p w14:paraId="3700A6EB">
            <w:pPr>
              <w:adjustRightInd w:val="0"/>
              <w:snapToGrid w:val="0"/>
              <w:spacing w:before="0" w:after="0" w:line="240" w:lineRule="auto"/>
              <w:ind w:firstLine="0" w:firstLineChars="0"/>
              <w:jc w:val="left"/>
              <w:rPr>
                <w:rFonts w:hint="eastAsia" w:ascii="宋体" w:hAnsi="宋体" w:eastAsia="宋体" w:cs="宋体"/>
                <w:kern w:val="0"/>
                <w:sz w:val="18"/>
                <w:szCs w:val="18"/>
                <w:highlight w:val="yellow"/>
                <w:lang w:val="en-US" w:eastAsia="zh-CN" w:bidi="ar-SA"/>
              </w:rPr>
            </w:pPr>
            <w:r>
              <w:rPr>
                <w:rFonts w:hint="eastAsia" w:ascii="宋体" w:hAnsi="宋体" w:cs="宋体"/>
                <w:kern w:val="0"/>
                <w:sz w:val="18"/>
                <w:szCs w:val="18"/>
                <w:highlight w:val="yellow"/>
              </w:rPr>
              <w:t>工作站（塔式，X86架构，</w:t>
            </w:r>
            <w:r>
              <w:rPr>
                <w:rFonts w:hint="eastAsia" w:ascii="宋体" w:hAnsi="宋体" w:cs="宋体"/>
                <w:kern w:val="0"/>
                <w:sz w:val="18"/>
                <w:szCs w:val="18"/>
                <w:highlight w:val="yellow"/>
                <w:lang w:val="en-US" w:eastAsia="zh-CN"/>
              </w:rPr>
              <w:t>三</w:t>
            </w:r>
            <w:r>
              <w:rPr>
                <w:rFonts w:hint="eastAsia" w:ascii="宋体" w:hAnsi="宋体" w:cs="宋体"/>
                <w:kern w:val="0"/>
                <w:sz w:val="18"/>
                <w:szCs w:val="18"/>
                <w:highlight w:val="yellow"/>
              </w:rPr>
              <w:t>档）</w:t>
            </w:r>
          </w:p>
        </w:tc>
        <w:tc>
          <w:tcPr>
            <w:tcW w:w="5935" w:type="dxa"/>
            <w:shd w:val="clear" w:color="000000" w:fill="FFFFFF"/>
            <w:vAlign w:val="center"/>
          </w:tcPr>
          <w:p w14:paraId="39B8747F">
            <w:pPr>
              <w:adjustRightInd w:val="0"/>
              <w:snapToGrid w:val="0"/>
              <w:spacing w:before="0" w:after="0" w:line="240" w:lineRule="auto"/>
              <w:ind w:firstLine="0"/>
              <w:jc w:val="left"/>
              <w:rPr>
                <w:rFonts w:ascii="宋体" w:hAnsi="宋体" w:cs="宋体"/>
                <w:kern w:val="0"/>
                <w:sz w:val="18"/>
                <w:szCs w:val="18"/>
                <w:highlight w:val="yellow"/>
              </w:rPr>
            </w:pPr>
            <w:r>
              <w:rPr>
                <w:rFonts w:hint="eastAsia" w:ascii="宋体" w:hAnsi="宋体" w:cs="宋体"/>
                <w:color w:val="FF0000"/>
                <w:kern w:val="0"/>
                <w:sz w:val="18"/>
                <w:szCs w:val="18"/>
                <w:highlight w:val="yellow"/>
                <w:lang w:val="en-US" w:eastAsia="zh-CN"/>
              </w:rPr>
              <w:t>塔式工作站。</w:t>
            </w:r>
          </w:p>
          <w:p w14:paraId="7F02ADA7">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CPU：X86</w:t>
            </w:r>
            <w:r>
              <w:rPr>
                <w:rFonts w:hint="eastAsia" w:ascii="宋体" w:hAnsi="宋体" w:cs="宋体"/>
                <w:color w:val="FF0000"/>
                <w:kern w:val="0"/>
                <w:sz w:val="18"/>
                <w:szCs w:val="18"/>
                <w:highlight w:val="yellow"/>
              </w:rPr>
              <w:t>架构</w:t>
            </w:r>
            <w:r>
              <w:rPr>
                <w:rFonts w:ascii="宋体" w:hAnsi="宋体" w:cs="宋体"/>
                <w:color w:val="FF0000"/>
                <w:kern w:val="0"/>
                <w:sz w:val="18"/>
                <w:szCs w:val="18"/>
                <w:highlight w:val="yellow"/>
              </w:rPr>
              <w:t>，总核数不低于</w:t>
            </w:r>
            <w:r>
              <w:rPr>
                <w:rFonts w:hint="eastAsia" w:ascii="宋体" w:hAnsi="宋体" w:cs="宋体"/>
                <w:color w:val="FF0000"/>
                <w:kern w:val="0"/>
                <w:sz w:val="18"/>
                <w:szCs w:val="18"/>
                <w:highlight w:val="yellow"/>
              </w:rPr>
              <w:t>8</w:t>
            </w:r>
            <w:r>
              <w:rPr>
                <w:rFonts w:ascii="宋体" w:hAnsi="宋体" w:cs="宋体"/>
                <w:color w:val="FF0000"/>
                <w:kern w:val="0"/>
                <w:sz w:val="18"/>
                <w:szCs w:val="18"/>
                <w:highlight w:val="yellow"/>
              </w:rPr>
              <w:t>核，原始主频≥</w:t>
            </w:r>
            <w:r>
              <w:rPr>
                <w:rFonts w:hint="eastAsia" w:ascii="宋体" w:hAnsi="宋体" w:cs="宋体"/>
                <w:color w:val="FF0000"/>
                <w:kern w:val="0"/>
                <w:sz w:val="18"/>
                <w:szCs w:val="18"/>
                <w:highlight w:val="yellow"/>
              </w:rPr>
              <w:t>2.1</w:t>
            </w:r>
            <w:r>
              <w:rPr>
                <w:rFonts w:ascii="宋体" w:hAnsi="宋体" w:cs="宋体"/>
                <w:color w:val="FF0000"/>
                <w:kern w:val="0"/>
                <w:sz w:val="18"/>
                <w:szCs w:val="18"/>
                <w:highlight w:val="yellow"/>
              </w:rPr>
              <w:t>GHz；CPU芯片需通过安全可靠测评，其安全可靠测评等级不得低于I级，详情可从中国信息安全测评中心（www.itsec.gov.cn）和国家保密科技测评中心（www.nsstec.org.cn）网站查询。</w:t>
            </w:r>
          </w:p>
          <w:p w14:paraId="2589FCE7">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内存：大于或等于</w:t>
            </w:r>
            <w:r>
              <w:rPr>
                <w:rFonts w:hint="eastAsia" w:ascii="宋体" w:hAnsi="宋体" w:cs="宋体"/>
                <w:color w:val="FF0000"/>
                <w:kern w:val="0"/>
                <w:sz w:val="18"/>
                <w:szCs w:val="18"/>
                <w:highlight w:val="yellow"/>
              </w:rPr>
              <w:t>32</w:t>
            </w:r>
            <w:r>
              <w:rPr>
                <w:rFonts w:ascii="宋体" w:hAnsi="宋体" w:cs="宋体"/>
                <w:color w:val="FF0000"/>
                <w:kern w:val="0"/>
                <w:sz w:val="18"/>
                <w:szCs w:val="18"/>
                <w:highlight w:val="yellow"/>
              </w:rPr>
              <w:t>GB DDR4；</w:t>
            </w:r>
          </w:p>
          <w:p w14:paraId="43DE2608">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硬盘：2块480GB（或以上）SSD固态硬盘，</w:t>
            </w:r>
            <w:r>
              <w:rPr>
                <w:rFonts w:hint="eastAsia" w:ascii="宋体" w:hAnsi="宋体" w:cs="宋体"/>
                <w:color w:val="FF0000"/>
                <w:kern w:val="0"/>
                <w:sz w:val="18"/>
                <w:szCs w:val="18"/>
                <w:highlight w:val="yellow"/>
              </w:rPr>
              <w:t>T</w:t>
            </w:r>
            <w:r>
              <w:rPr>
                <w:rFonts w:ascii="宋体" w:hAnsi="宋体" w:cs="宋体"/>
                <w:color w:val="FF0000"/>
                <w:kern w:val="0"/>
                <w:sz w:val="18"/>
                <w:szCs w:val="18"/>
                <w:highlight w:val="yellow"/>
              </w:rPr>
              <w:t>LC闪存颗粒</w:t>
            </w:r>
            <w:r>
              <w:rPr>
                <w:rFonts w:hint="eastAsia" w:ascii="宋体" w:hAnsi="宋体" w:cs="宋体"/>
                <w:color w:val="FF0000"/>
                <w:kern w:val="0"/>
                <w:sz w:val="18"/>
                <w:szCs w:val="18"/>
                <w:highlight w:val="yellow"/>
              </w:rPr>
              <w:t>，</w:t>
            </w:r>
            <w:r>
              <w:rPr>
                <w:rFonts w:ascii="宋体" w:hAnsi="宋体" w:cs="宋体"/>
                <w:color w:val="FF0000"/>
                <w:kern w:val="0"/>
                <w:sz w:val="18"/>
                <w:szCs w:val="18"/>
                <w:highlight w:val="yellow"/>
              </w:rPr>
              <w:t>读写混合型，擦写寿命：≥3 DWPD 5年；</w:t>
            </w:r>
          </w:p>
          <w:p w14:paraId="53D63402">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显卡：2个双屏3D显卡（</w:t>
            </w:r>
            <w:r>
              <w:rPr>
                <w:rFonts w:hint="eastAsia" w:ascii="宋体" w:hAnsi="宋体" w:cs="宋体"/>
                <w:color w:val="FF0000"/>
                <w:kern w:val="0"/>
                <w:sz w:val="18"/>
                <w:szCs w:val="18"/>
                <w:highlight w:val="yellow"/>
              </w:rPr>
              <w:t>每显卡</w:t>
            </w:r>
            <w:r>
              <w:rPr>
                <w:rFonts w:ascii="宋体" w:hAnsi="宋体" w:cs="宋体"/>
                <w:color w:val="FF0000"/>
                <w:kern w:val="0"/>
                <w:sz w:val="18"/>
                <w:szCs w:val="18"/>
                <w:highlight w:val="yellow"/>
              </w:rPr>
              <w:t>独立显存≥2GB）或1个四屏3D显卡（独立显存≥4GB），</w:t>
            </w:r>
            <w:r>
              <w:rPr>
                <w:rFonts w:hint="eastAsia" w:ascii="宋体" w:hAnsi="宋体" w:cs="宋体"/>
                <w:color w:val="FF0000"/>
                <w:kern w:val="0"/>
                <w:sz w:val="18"/>
                <w:szCs w:val="18"/>
                <w:highlight w:val="yellow"/>
              </w:rPr>
              <w:t>原生提供</w:t>
            </w:r>
            <w:r>
              <w:rPr>
                <w:rFonts w:ascii="宋体" w:hAnsi="宋体" w:cs="宋体"/>
                <w:color w:val="FF0000"/>
                <w:kern w:val="0"/>
                <w:sz w:val="18"/>
                <w:szCs w:val="18"/>
                <w:highlight w:val="yellow"/>
              </w:rPr>
              <w:t>DP</w:t>
            </w:r>
            <w:r>
              <w:rPr>
                <w:rFonts w:hint="eastAsia" w:ascii="宋体" w:hAnsi="宋体" w:cs="宋体"/>
                <w:color w:val="FF0000"/>
                <w:kern w:val="0"/>
                <w:sz w:val="18"/>
                <w:szCs w:val="18"/>
                <w:highlight w:val="yellow"/>
              </w:rPr>
              <w:t>输出接口</w:t>
            </w:r>
            <w:r>
              <w:rPr>
                <w:rFonts w:ascii="宋体" w:hAnsi="宋体" w:cs="宋体"/>
                <w:color w:val="FF0000"/>
                <w:kern w:val="0"/>
                <w:sz w:val="18"/>
                <w:szCs w:val="18"/>
                <w:highlight w:val="yellow"/>
              </w:rPr>
              <w:t>）；</w:t>
            </w:r>
          </w:p>
          <w:p w14:paraId="32B6EB8E">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网卡：10/100/1000 自适应网口×4；</w:t>
            </w:r>
          </w:p>
          <w:p w14:paraId="2F4A5403">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USB接口：≥4个；</w:t>
            </w:r>
          </w:p>
          <w:p w14:paraId="5E4D31BF">
            <w:pPr>
              <w:spacing w:before="0" w:after="0" w:line="240" w:lineRule="auto"/>
              <w:ind w:firstLine="0"/>
              <w:jc w:val="left"/>
              <w:rPr>
                <w:rFonts w:hint="eastAsia" w:ascii="宋体" w:hAnsi="宋体" w:cs="宋体"/>
                <w:color w:val="FF0000"/>
                <w:kern w:val="0"/>
                <w:sz w:val="18"/>
                <w:szCs w:val="18"/>
                <w:highlight w:val="yellow"/>
              </w:rPr>
            </w:pPr>
            <w:r>
              <w:rPr>
                <w:rFonts w:hint="eastAsia" w:ascii="宋体" w:hAnsi="宋体" w:cs="宋体"/>
                <w:color w:val="FF0000"/>
                <w:kern w:val="0"/>
                <w:sz w:val="18"/>
                <w:szCs w:val="18"/>
                <w:highlight w:val="yellow"/>
              </w:rPr>
              <w:t>音频：具备音频输入、输出接口（可通过板载、声卡或USB转换方式），配置话筒和小型音箱（具体规格以现场需求为准，在合同签订时确定）；</w:t>
            </w:r>
          </w:p>
          <w:p w14:paraId="50C741FB">
            <w:pPr>
              <w:spacing w:before="0" w:after="0" w:line="240" w:lineRule="auto"/>
              <w:ind w:firstLine="0"/>
              <w:jc w:val="left"/>
              <w:rPr>
                <w:rFonts w:hint="eastAsia" w:ascii="宋体" w:hAnsi="宋体" w:cs="宋体"/>
                <w:color w:val="FF0000"/>
                <w:kern w:val="0"/>
                <w:sz w:val="18"/>
                <w:szCs w:val="18"/>
                <w:highlight w:val="yellow"/>
              </w:rPr>
            </w:pPr>
            <w:r>
              <w:rPr>
                <w:rFonts w:ascii="宋体" w:hAnsi="宋体" w:cs="宋体"/>
                <w:color w:val="FF0000"/>
                <w:kern w:val="0"/>
                <w:sz w:val="18"/>
                <w:szCs w:val="18"/>
                <w:highlight w:val="yellow"/>
              </w:rPr>
              <w:t>其它：键盘、鼠标、电源线；</w:t>
            </w:r>
          </w:p>
          <w:p w14:paraId="59532029">
            <w:pPr>
              <w:adjustRightInd w:val="0"/>
              <w:snapToGrid w:val="0"/>
              <w:spacing w:before="0" w:after="0" w:line="240" w:lineRule="auto"/>
              <w:ind w:firstLine="0"/>
              <w:jc w:val="left"/>
              <w:rPr>
                <w:rFonts w:ascii="宋体" w:hAnsi="宋体" w:cs="宋体"/>
                <w:color w:val="FF0000"/>
                <w:kern w:val="0"/>
                <w:sz w:val="18"/>
                <w:szCs w:val="18"/>
                <w:highlight w:val="yellow"/>
              </w:rPr>
            </w:pPr>
            <w:r>
              <w:rPr>
                <w:rFonts w:ascii="宋体" w:hAnsi="宋体" w:cs="宋体"/>
                <w:color w:val="FF0000"/>
                <w:kern w:val="0"/>
                <w:sz w:val="18"/>
                <w:szCs w:val="18"/>
                <w:highlight w:val="yellow"/>
              </w:rPr>
              <w:t>售后服务：</w:t>
            </w:r>
            <w:r>
              <w:rPr>
                <w:rFonts w:hint="eastAsia" w:ascii="宋体" w:hAnsi="宋体" w:cs="宋体"/>
                <w:color w:val="FF0000"/>
                <w:kern w:val="0"/>
                <w:sz w:val="18"/>
                <w:szCs w:val="18"/>
                <w:highlight w:val="yellow"/>
              </w:rPr>
              <w:t>设备到货验收合格后，原厂提供</w:t>
            </w:r>
            <w:r>
              <w:rPr>
                <w:rFonts w:ascii="宋体" w:hAnsi="宋体" w:cs="宋体"/>
                <w:color w:val="FF0000"/>
                <w:kern w:val="0"/>
                <w:sz w:val="18"/>
                <w:szCs w:val="18"/>
                <w:highlight w:val="yellow"/>
              </w:rPr>
              <w:t>5年免费上门维修服务，人工、配件、交通等任何费用全免；每天24小时、每周7天，4小时到现场的原厂商支持，提供设备厂商服务承诺函（其中软件服务由软件原厂家提供，与服务器同年限免费升级服务）</w:t>
            </w:r>
          </w:p>
        </w:tc>
      </w:tr>
      <w:tr w14:paraId="1F9623C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3C7995E7">
            <w:pPr>
              <w:adjustRightInd w:val="0"/>
              <w:snapToGrid w:val="0"/>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10</w:t>
            </w:r>
          </w:p>
        </w:tc>
        <w:tc>
          <w:tcPr>
            <w:tcW w:w="1560" w:type="dxa"/>
            <w:shd w:val="clear" w:color="000000" w:fill="FFFFFF"/>
            <w:vAlign w:val="center"/>
          </w:tcPr>
          <w:p w14:paraId="1F789A8F">
            <w:pPr>
              <w:adjustRightInd w:val="0"/>
              <w:snapToGrid w:val="0"/>
              <w:spacing w:before="0" w:after="0"/>
              <w:ind w:firstLine="0"/>
              <w:jc w:val="left"/>
              <w:rPr>
                <w:color w:val="000000" w:themeColor="text1"/>
                <w:kern w:val="0"/>
                <w:sz w:val="18"/>
                <w:szCs w:val="18"/>
                <w:highlight w:val="yellow"/>
                <w:lang w:bidi="ar"/>
                <w14:textFill>
                  <w14:solidFill>
                    <w14:schemeClr w14:val="tx1"/>
                  </w14:solidFill>
                </w14:textFill>
              </w:rPr>
            </w:pPr>
            <w:r>
              <w:rPr>
                <w:color w:val="000000" w:themeColor="text1"/>
                <w:kern w:val="0"/>
                <w:sz w:val="18"/>
                <w:szCs w:val="18"/>
                <w:highlight w:val="yellow"/>
                <w:lang w:bidi="ar"/>
                <w14:textFill>
                  <w14:solidFill>
                    <w14:schemeClr w14:val="tx1"/>
                  </w14:solidFill>
                </w14:textFill>
              </w:rPr>
              <w:t>虚拟桌面终端</w:t>
            </w:r>
            <w:r>
              <w:rPr>
                <w:rFonts w:hint="eastAsia"/>
                <w:color w:val="000000" w:themeColor="text1"/>
                <w:kern w:val="0"/>
                <w:sz w:val="18"/>
                <w:szCs w:val="18"/>
                <w:highlight w:val="yellow"/>
                <w:lang w:bidi="ar"/>
                <w14:textFill>
                  <w14:solidFill>
                    <w14:schemeClr w14:val="tx1"/>
                  </w14:solidFill>
                </w14:textFill>
              </w:rPr>
              <w:t>（</w:t>
            </w:r>
            <w:r>
              <w:rPr>
                <w:color w:val="000000" w:themeColor="text1"/>
                <w:kern w:val="0"/>
                <w:sz w:val="18"/>
                <w:szCs w:val="18"/>
                <w:highlight w:val="yellow"/>
                <w14:textFill>
                  <w14:solidFill>
                    <w14:schemeClr w14:val="tx1"/>
                  </w14:solidFill>
                </w14:textFill>
              </w:rPr>
              <w:t>x86架构</w:t>
            </w:r>
            <w:r>
              <w:rPr>
                <w:rFonts w:hint="eastAsia"/>
                <w:color w:val="000000" w:themeColor="text1"/>
                <w:kern w:val="0"/>
                <w:sz w:val="18"/>
                <w:szCs w:val="18"/>
                <w:highlight w:val="yellow"/>
                <w:lang w:bidi="ar"/>
                <w14:textFill>
                  <w14:solidFill>
                    <w14:schemeClr w14:val="tx1"/>
                  </w14:solidFill>
                </w14:textFill>
              </w:rPr>
              <w:t>）</w:t>
            </w:r>
          </w:p>
        </w:tc>
        <w:tc>
          <w:tcPr>
            <w:tcW w:w="5935" w:type="dxa"/>
            <w:shd w:val="clear" w:color="000000" w:fill="FFFFFF"/>
            <w:vAlign w:val="center"/>
          </w:tcPr>
          <w:p w14:paraId="70CE190B">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w:t>
            </w:r>
          </w:p>
          <w:p w14:paraId="2DA3A492">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79ED4C54">
            <w:pPr>
              <w:spacing w:before="0" w:after="0" w:line="240" w:lineRule="auto"/>
              <w:ind w:firstLine="0"/>
              <w:jc w:val="left"/>
              <w:rPr>
                <w:color w:val="000000" w:themeColor="text1"/>
                <w:kern w:val="0"/>
                <w:sz w:val="18"/>
                <w:szCs w:val="18"/>
                <w:highlight w:val="yellow"/>
                <w14:textFill>
                  <w14:solidFill>
                    <w14:schemeClr w14:val="tx1"/>
                  </w14:solidFill>
                </w14:textFill>
              </w:rPr>
            </w:pPr>
            <w:r>
              <w:rPr>
                <w:rFonts w:hint="eastAsia" w:ascii="宋体" w:hAnsi="宋体" w:cs="宋体"/>
                <w:kern w:val="0"/>
                <w:sz w:val="18"/>
                <w:szCs w:val="18"/>
                <w:highlight w:val="yellow"/>
              </w:rPr>
              <w:t>2）</w:t>
            </w:r>
            <w:r>
              <w:rPr>
                <w:rFonts w:hint="eastAsia" w:ascii="宋体" w:hAnsi="宋体" w:cs="宋体"/>
                <w:sz w:val="18"/>
                <w:szCs w:val="18"/>
                <w:lang w:bidi="ar"/>
              </w:rPr>
              <w:t>CPU、硬盘颗粒、DRAM颗粒、BMC、网卡芯片、电源模块控制芯片、raid卡等配置信息需要同时提供安全可靠芯片证明材料及承诺函（格式见附件四）。</w:t>
            </w:r>
          </w:p>
        </w:tc>
      </w:tr>
      <w:tr w14:paraId="7A38818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5DE88840">
            <w:pPr>
              <w:adjustRightInd w:val="0"/>
              <w:snapToGrid w:val="0"/>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10</w:t>
            </w:r>
          </w:p>
        </w:tc>
        <w:tc>
          <w:tcPr>
            <w:tcW w:w="1560" w:type="dxa"/>
            <w:shd w:val="clear" w:color="000000" w:fill="FFFFFF"/>
            <w:vAlign w:val="center"/>
          </w:tcPr>
          <w:p w14:paraId="3CBFE71A">
            <w:pPr>
              <w:adjustRightInd w:val="0"/>
              <w:snapToGrid w:val="0"/>
              <w:spacing w:before="0" w:after="0"/>
              <w:ind w:firstLine="0"/>
              <w:jc w:val="left"/>
              <w:rPr>
                <w:color w:val="000000" w:themeColor="text1"/>
                <w:kern w:val="0"/>
                <w:sz w:val="18"/>
                <w:szCs w:val="18"/>
                <w:highlight w:val="yellow"/>
                <w:lang w:bidi="ar"/>
                <w14:textFill>
                  <w14:solidFill>
                    <w14:schemeClr w14:val="tx1"/>
                  </w14:solidFill>
                </w14:textFill>
              </w:rPr>
            </w:pPr>
            <w:r>
              <w:rPr>
                <w:color w:val="000000" w:themeColor="text1"/>
                <w:kern w:val="0"/>
                <w:sz w:val="18"/>
                <w:szCs w:val="18"/>
                <w:highlight w:val="yellow"/>
                <w:lang w:bidi="ar"/>
                <w14:textFill>
                  <w14:solidFill>
                    <w14:schemeClr w14:val="tx1"/>
                  </w14:solidFill>
                </w14:textFill>
              </w:rPr>
              <w:t>虚拟桌面终端</w:t>
            </w:r>
            <w:r>
              <w:rPr>
                <w:rFonts w:hint="eastAsia"/>
                <w:color w:val="000000" w:themeColor="text1"/>
                <w:kern w:val="0"/>
                <w:sz w:val="18"/>
                <w:szCs w:val="18"/>
                <w:highlight w:val="yellow"/>
                <w:lang w:bidi="ar"/>
                <w14:textFill>
                  <w14:solidFill>
                    <w14:schemeClr w14:val="tx1"/>
                  </w14:solidFill>
                </w14:textFill>
              </w:rPr>
              <w:t>（</w:t>
            </w:r>
            <w:r>
              <w:rPr>
                <w:color w:val="000000" w:themeColor="text1"/>
                <w:kern w:val="0"/>
                <w:sz w:val="18"/>
                <w:szCs w:val="18"/>
                <w:highlight w:val="yellow"/>
                <w14:textFill>
                  <w14:solidFill>
                    <w14:schemeClr w14:val="tx1"/>
                  </w14:solidFill>
                </w14:textFill>
              </w:rPr>
              <w:t>x86架构</w:t>
            </w:r>
            <w:r>
              <w:rPr>
                <w:rFonts w:hint="eastAsia"/>
                <w:color w:val="000000" w:themeColor="text1"/>
                <w:kern w:val="0"/>
                <w:sz w:val="18"/>
                <w:szCs w:val="18"/>
                <w:highlight w:val="yellow"/>
                <w:lang w:bidi="ar"/>
                <w14:textFill>
                  <w14:solidFill>
                    <w14:schemeClr w14:val="tx1"/>
                  </w14:solidFill>
                </w14:textFill>
              </w:rPr>
              <w:t>）</w:t>
            </w:r>
          </w:p>
        </w:tc>
        <w:tc>
          <w:tcPr>
            <w:tcW w:w="5935" w:type="dxa"/>
            <w:shd w:val="clear" w:color="000000" w:fill="FFFFFF"/>
            <w:vAlign w:val="center"/>
          </w:tcPr>
          <w:p w14:paraId="2911A0D8">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CPU：x86架构安全可控CPU，≥4核，主频≥2.0GHz；</w:t>
            </w:r>
          </w:p>
          <w:p w14:paraId="2454547D">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内存：≥4GB；</w:t>
            </w:r>
          </w:p>
          <w:p w14:paraId="523A06F7">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存储：≥32GB SSD；</w:t>
            </w:r>
          </w:p>
          <w:p w14:paraId="172A1D7B">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网卡：≥2个千兆网口；</w:t>
            </w:r>
          </w:p>
          <w:p w14:paraId="45B9B2CD">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5)</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显示接口：≥2个HDMI</w:t>
            </w:r>
            <w:r>
              <w:rPr>
                <w:rFonts w:hint="eastAsia"/>
                <w:color w:val="000000" w:themeColor="text1"/>
                <w:kern w:val="0"/>
                <w:sz w:val="18"/>
                <w:szCs w:val="18"/>
                <w14:textFill>
                  <w14:solidFill>
                    <w14:schemeClr w14:val="tx1"/>
                  </w14:solidFill>
                </w14:textFill>
              </w:rPr>
              <w:t>或DP输出接口</w:t>
            </w:r>
            <w:r>
              <w:rPr>
                <w:color w:val="000000" w:themeColor="text1"/>
                <w:kern w:val="0"/>
                <w:sz w:val="18"/>
                <w:szCs w:val="18"/>
                <w14:textFill>
                  <w14:solidFill>
                    <w14:schemeClr w14:val="tx1"/>
                  </w14:solidFill>
                </w14:textFill>
              </w:rPr>
              <w:t>；</w:t>
            </w:r>
          </w:p>
          <w:p w14:paraId="000D4861">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6)</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音频：支持音频输出，支持麦克风输入；</w:t>
            </w:r>
          </w:p>
          <w:p w14:paraId="189E65EA">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7)</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USB3.0≥4,USB2.0≥2；</w:t>
            </w:r>
          </w:p>
          <w:p w14:paraId="0FB89016">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外设支持：支持摄像头、指纹仪等安全外设，可按管理要求对USB外设进行开放和关闭管控；</w:t>
            </w:r>
          </w:p>
          <w:p w14:paraId="367C6777">
            <w:pPr>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9)</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终端操作系统：预装安全可控Linux操作系统。</w:t>
            </w:r>
          </w:p>
          <w:p w14:paraId="5D9A0ED9">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14:textFill>
                  <w14:solidFill>
                    <w14:schemeClr w14:val="tx1"/>
                  </w14:solidFill>
                </w14:textFill>
              </w:rPr>
              <w:t>10)</w:t>
            </w:r>
            <w:r>
              <w:rPr>
                <w:color w:val="000000" w:themeColor="text1"/>
                <w:kern w:val="0"/>
                <w:sz w:val="18"/>
                <w:szCs w:val="18"/>
                <w14:textFill>
                  <w14:solidFill>
                    <w14:schemeClr w14:val="tx1"/>
                  </w14:solidFill>
                </w14:textFill>
              </w:rPr>
              <w:tab/>
            </w:r>
            <w:r>
              <w:rPr>
                <w:color w:val="000000" w:themeColor="text1"/>
                <w:kern w:val="0"/>
                <w:sz w:val="18"/>
                <w:szCs w:val="18"/>
                <w14:textFill>
                  <w14:solidFill>
                    <w14:schemeClr w14:val="tx1"/>
                  </w14:solidFill>
                </w14:textFill>
              </w:rPr>
              <w:t>质保期：5年。</w:t>
            </w:r>
          </w:p>
        </w:tc>
      </w:tr>
      <w:tr w14:paraId="5DC1518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028" w:type="dxa"/>
            <w:shd w:val="clear" w:color="000000" w:fill="FFFFFF"/>
            <w:vAlign w:val="center"/>
          </w:tcPr>
          <w:p w14:paraId="2B301E71">
            <w:pPr>
              <w:adjustRightInd w:val="0"/>
              <w:snapToGrid w:val="0"/>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11</w:t>
            </w:r>
          </w:p>
        </w:tc>
        <w:tc>
          <w:tcPr>
            <w:tcW w:w="1560" w:type="dxa"/>
            <w:shd w:val="clear" w:color="000000" w:fill="FFFFFF"/>
            <w:vAlign w:val="center"/>
          </w:tcPr>
          <w:p w14:paraId="700CA539">
            <w:pPr>
              <w:adjustRightInd w:val="0"/>
              <w:snapToGrid w:val="0"/>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液晶显示器</w:t>
            </w:r>
          </w:p>
        </w:tc>
        <w:tc>
          <w:tcPr>
            <w:tcW w:w="5935" w:type="dxa"/>
            <w:shd w:val="clear" w:color="000000" w:fill="FFFFFF"/>
            <w:vAlign w:val="center"/>
          </w:tcPr>
          <w:p w14:paraId="302B632F">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专业级液晶显示器</w:t>
            </w:r>
          </w:p>
          <w:p w14:paraId="0B88D613">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光源类型：LED背光；</w:t>
            </w:r>
          </w:p>
          <w:p w14:paraId="1B893BC5">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尺寸：2</w:t>
            </w:r>
            <w:r>
              <w:rPr>
                <w:rFonts w:ascii="宋体" w:hAnsi="宋体" w:cs="宋体"/>
                <w:kern w:val="0"/>
                <w:sz w:val="18"/>
                <w:szCs w:val="18"/>
              </w:rPr>
              <w:t>4</w:t>
            </w:r>
            <w:r>
              <w:rPr>
                <w:rFonts w:hint="eastAsia" w:ascii="宋体" w:hAnsi="宋体" w:cs="宋体"/>
                <w:kern w:val="0"/>
                <w:sz w:val="18"/>
                <w:szCs w:val="18"/>
              </w:rPr>
              <w:t>"宽屏，宽高比16:10或16:9；</w:t>
            </w:r>
          </w:p>
          <w:p w14:paraId="7AC6B620">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物理分辨率：最高可支持4K；</w:t>
            </w:r>
          </w:p>
          <w:p w14:paraId="3445E75B">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亮度：不低于300nits；</w:t>
            </w:r>
          </w:p>
          <w:p w14:paraId="78C9601A">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对比度：静态对比度不低于1000:1；</w:t>
            </w:r>
          </w:p>
          <w:p w14:paraId="6078C1AD">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响应时间：≤5ms；</w:t>
            </w:r>
          </w:p>
          <w:p w14:paraId="13AAE9FC">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可视角度：水平≥178度，垂直≥178度；</w:t>
            </w:r>
          </w:p>
          <w:p w14:paraId="1EDF1DC0">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接口：支持VGA、DVI-I、DVI-D、DP（支持HDCP）、HDMI等接口，≥2个USB接口；</w:t>
            </w:r>
          </w:p>
          <w:p w14:paraId="708500E0">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底座：高度可调，水平、俯仰角度可调；</w:t>
            </w:r>
          </w:p>
          <w:p w14:paraId="397F7F12">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支架安装孔：支持VESA MIS-D安装标准；</w:t>
            </w:r>
          </w:p>
          <w:p w14:paraId="6B3AAC61">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附件：电源适配器、电源线，原装配套DVI线缆、DP线缆、HDMI线缆（电源线、视频线长度及类型根据现场需求提供）；</w:t>
            </w:r>
          </w:p>
          <w:p w14:paraId="44F3F315">
            <w:pPr>
              <w:adjustRightInd w:val="0"/>
              <w:snapToGrid w:val="0"/>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rPr>
              <w:t>售后服务：设备到货验收合格起，由原厂家提供5年免费上门维修服务，人工、配件、交通等任何费用全免；每天24小时、每周7天，8小时到现场的原厂商支持。</w:t>
            </w:r>
          </w:p>
        </w:tc>
      </w:tr>
    </w:tbl>
    <w:p w14:paraId="6AD9036A">
      <w:pPr>
        <w:spacing w:before="120" w:after="120"/>
        <w:ind w:firstLine="0"/>
      </w:pPr>
    </w:p>
    <w:p w14:paraId="4FD8B0E9">
      <w:pPr>
        <w:pStyle w:val="7"/>
        <w:widowControl/>
        <w:spacing w:line="360" w:lineRule="auto"/>
      </w:pPr>
      <w:r>
        <w:rPr>
          <w:rFonts w:hint="eastAsia"/>
        </w:rPr>
        <w:t>存储设备配置要求</w:t>
      </w:r>
    </w:p>
    <w:p w14:paraId="4707B9F4">
      <w:pPr>
        <w:spacing w:before="120" w:after="120"/>
        <w:ind w:firstLine="480"/>
      </w:pPr>
      <w:r>
        <w:rPr>
          <w:rFonts w:hint="eastAsia"/>
        </w:rPr>
        <w:t>磁盘阵列、SAN交换机最低配置要求如下表所示，</w:t>
      </w:r>
      <w:r>
        <w:t>产品应满足或不低于该配置要求</w:t>
      </w:r>
      <w:r>
        <w:rPr>
          <w:rFonts w:hint="eastAsia"/>
        </w:rPr>
        <w:t>：</w:t>
      </w:r>
    </w:p>
    <w:tbl>
      <w:tblPr>
        <w:tblStyle w:val="46"/>
        <w:tblW w:w="8523"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118"/>
        <w:gridCol w:w="1405"/>
        <w:gridCol w:w="6000"/>
      </w:tblGrid>
      <w:tr w14:paraId="0899F5D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37" w:hRule="atLeast"/>
          <w:tblHeader/>
        </w:trPr>
        <w:tc>
          <w:tcPr>
            <w:tcW w:w="1118" w:type="dxa"/>
            <w:vAlign w:val="center"/>
          </w:tcPr>
          <w:p w14:paraId="0E75A148">
            <w:pPr>
              <w:adjustRightInd w:val="0"/>
              <w:snapToGrid w:val="0"/>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序号</w:t>
            </w:r>
          </w:p>
        </w:tc>
        <w:tc>
          <w:tcPr>
            <w:tcW w:w="1405" w:type="dxa"/>
            <w:vAlign w:val="center"/>
          </w:tcPr>
          <w:p w14:paraId="51B90040">
            <w:pPr>
              <w:adjustRightInd w:val="0"/>
              <w:snapToGrid w:val="0"/>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设备名称</w:t>
            </w:r>
          </w:p>
        </w:tc>
        <w:tc>
          <w:tcPr>
            <w:tcW w:w="6000" w:type="dxa"/>
            <w:vAlign w:val="center"/>
          </w:tcPr>
          <w:p w14:paraId="414B80D3">
            <w:pPr>
              <w:adjustRightInd w:val="0"/>
              <w:snapToGrid w:val="0"/>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技术要求</w:t>
            </w:r>
          </w:p>
        </w:tc>
      </w:tr>
      <w:tr w14:paraId="640C63E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157A2FF9">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w:t>
            </w:r>
          </w:p>
        </w:tc>
        <w:tc>
          <w:tcPr>
            <w:tcW w:w="1405" w:type="dxa"/>
            <w:vAlign w:val="center"/>
          </w:tcPr>
          <w:p w14:paraId="0B8F33A2">
            <w:pPr>
              <w:adjustRightInd w:val="0"/>
              <w:snapToGrid w:val="0"/>
              <w:spacing w:before="0" w:after="0" w:line="240" w:lineRule="auto"/>
              <w:ind w:firstLine="0"/>
              <w:jc w:val="center"/>
              <w:rPr>
                <w:rFonts w:hint="eastAsia" w:ascii="宋体" w:hAnsi="宋体" w:cs="宋体"/>
                <w:kern w:val="0"/>
                <w:sz w:val="18"/>
                <w:szCs w:val="18"/>
              </w:rPr>
            </w:pPr>
            <w:bookmarkStart w:id="52" w:name="OLE_LINK1"/>
            <w:r>
              <w:rPr>
                <w:rFonts w:hint="eastAsia" w:ascii="宋体" w:hAnsi="宋体" w:cs="宋体"/>
                <w:kern w:val="0"/>
                <w:sz w:val="18"/>
                <w:szCs w:val="18"/>
              </w:rPr>
              <w:t>磁盘阵列</w:t>
            </w:r>
            <w:bookmarkEnd w:id="52"/>
            <w:r>
              <w:rPr>
                <w:rFonts w:hint="eastAsia" w:ascii="宋体" w:hAnsi="宋体" w:cs="宋体"/>
                <w:kern w:val="0"/>
                <w:sz w:val="18"/>
                <w:szCs w:val="18"/>
              </w:rPr>
              <w:t>（一档）</w:t>
            </w:r>
          </w:p>
        </w:tc>
        <w:tc>
          <w:tcPr>
            <w:tcW w:w="6000" w:type="dxa"/>
            <w:vAlign w:val="center"/>
          </w:tcPr>
          <w:p w14:paraId="0FBC8EF8">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4FC56DA6">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CPU、SSD颗粒、DRAM颗粒、网卡芯片等配置信息需要同时提供安全可靠芯片证明材料及承诺函（格式见附件四）。</w:t>
            </w:r>
          </w:p>
        </w:tc>
      </w:tr>
      <w:tr w14:paraId="4F2214E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4A626725">
            <w:pPr>
              <w:adjustRightInd w:val="0"/>
              <w:snapToGrid w:val="0"/>
              <w:spacing w:before="0" w:after="0" w:line="240" w:lineRule="auto"/>
              <w:ind w:firstLine="0"/>
              <w:jc w:val="center"/>
              <w:rPr>
                <w:rFonts w:hint="eastAsia" w:ascii="宋体" w:hAnsi="宋体" w:cs="宋体"/>
                <w:b/>
                <w:bCs/>
                <w:kern w:val="0"/>
                <w:sz w:val="18"/>
                <w:szCs w:val="18"/>
              </w:rPr>
            </w:pPr>
            <w:r>
              <w:rPr>
                <w:rFonts w:hint="eastAsia" w:ascii="宋体" w:hAnsi="宋体" w:cs="宋体"/>
                <w:kern w:val="0"/>
                <w:sz w:val="18"/>
                <w:szCs w:val="18"/>
              </w:rPr>
              <w:t>1</w:t>
            </w:r>
          </w:p>
        </w:tc>
        <w:tc>
          <w:tcPr>
            <w:tcW w:w="1405" w:type="dxa"/>
            <w:vAlign w:val="center"/>
          </w:tcPr>
          <w:p w14:paraId="3C1BCD6F">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磁盘阵列（一档）</w:t>
            </w:r>
          </w:p>
        </w:tc>
        <w:tc>
          <w:tcPr>
            <w:tcW w:w="6000" w:type="dxa"/>
            <w:vAlign w:val="center"/>
          </w:tcPr>
          <w:p w14:paraId="11A4F0BF">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原厂商产品（非OEM），性能不低于以下要求：</w:t>
            </w:r>
          </w:p>
          <w:p w14:paraId="7FB4858E">
            <w:pPr>
              <w:adjustRightInd w:val="0"/>
              <w:snapToGrid w:val="0"/>
              <w:spacing w:line="240" w:lineRule="auto"/>
              <w:ind w:firstLine="0"/>
              <w:jc w:val="left"/>
              <w:rPr>
                <w:rFonts w:cs="宋体"/>
                <w:kern w:val="0"/>
                <w:sz w:val="18"/>
                <w:szCs w:val="18"/>
              </w:rPr>
            </w:pPr>
            <w:r>
              <w:rPr>
                <w:rFonts w:hint="eastAsia" w:cs="宋体"/>
                <w:kern w:val="0"/>
                <w:sz w:val="18"/>
                <w:szCs w:val="18"/>
              </w:rPr>
              <w:t>体系结构：企业级高端存储系统；全冗余模块化体系结构；可横向扩展架构；</w:t>
            </w:r>
          </w:p>
          <w:p w14:paraId="4B74A54D">
            <w:pPr>
              <w:adjustRightInd w:val="0"/>
              <w:snapToGrid w:val="0"/>
              <w:spacing w:line="240" w:lineRule="auto"/>
              <w:ind w:firstLine="0"/>
              <w:jc w:val="left"/>
              <w:rPr>
                <w:rFonts w:cs="宋体"/>
                <w:kern w:val="0"/>
                <w:sz w:val="18"/>
                <w:szCs w:val="18"/>
              </w:rPr>
            </w:pPr>
            <w:r>
              <w:rPr>
                <w:rFonts w:hint="eastAsia" w:cs="宋体"/>
                <w:kern w:val="0"/>
                <w:sz w:val="18"/>
                <w:szCs w:val="18"/>
              </w:rPr>
              <w:t>原厂整柜安装及运输（或根据现场需要安装到用户提供的标准机柜中）；</w:t>
            </w:r>
          </w:p>
          <w:p w14:paraId="54F6599B">
            <w:pPr>
              <w:adjustRightInd w:val="0"/>
              <w:snapToGrid w:val="0"/>
              <w:spacing w:line="240" w:lineRule="auto"/>
              <w:ind w:firstLine="0"/>
              <w:jc w:val="left"/>
              <w:rPr>
                <w:rFonts w:cs="宋体"/>
                <w:kern w:val="0"/>
                <w:sz w:val="18"/>
                <w:szCs w:val="18"/>
              </w:rPr>
            </w:pPr>
            <w:r>
              <w:rPr>
                <w:rFonts w:hint="eastAsia" w:cs="宋体"/>
                <w:kern w:val="0"/>
                <w:sz w:val="18"/>
                <w:szCs w:val="18"/>
              </w:rPr>
              <w:t>磁盘阵列内置CPU与主机并行运作，所有的I/O都在磁盘阵列中完成；</w:t>
            </w:r>
          </w:p>
          <w:p w14:paraId="09D878F6">
            <w:pPr>
              <w:adjustRightInd w:val="0"/>
              <w:snapToGrid w:val="0"/>
              <w:spacing w:line="240" w:lineRule="auto"/>
              <w:ind w:firstLine="0"/>
              <w:jc w:val="left"/>
              <w:rPr>
                <w:rFonts w:cs="宋体"/>
                <w:kern w:val="0"/>
                <w:sz w:val="18"/>
                <w:szCs w:val="18"/>
              </w:rPr>
            </w:pPr>
            <w:r>
              <w:rPr>
                <w:rFonts w:hint="eastAsia" w:cs="宋体"/>
                <w:kern w:val="0"/>
                <w:sz w:val="18"/>
                <w:szCs w:val="18"/>
              </w:rPr>
              <w:t>自主可控要求：存储系列设备搭载除控制器外的国产自主研发芯片：存储设备中BMC管理芯片、SSD控制芯片，需提供相关国产自主研发芯片说明材料，包括芯片品牌、类型、型号、核数，同时提供芯片实物图片，芯片设计公司注册所在地必须为中华人民共和国境内，提供芯片设计公司营业执照复印件），加盖存储厂家公章或经授权的其他章并提供对应授权文件;</w:t>
            </w:r>
          </w:p>
          <w:p w14:paraId="50A52D30">
            <w:pPr>
              <w:adjustRightInd w:val="0"/>
              <w:snapToGrid w:val="0"/>
              <w:spacing w:line="240" w:lineRule="auto"/>
              <w:ind w:firstLine="0"/>
              <w:jc w:val="left"/>
              <w:rPr>
                <w:rFonts w:cs="宋体"/>
                <w:kern w:val="0"/>
                <w:sz w:val="18"/>
                <w:szCs w:val="18"/>
              </w:rPr>
            </w:pPr>
            <w:r>
              <w:rPr>
                <w:rFonts w:hint="eastAsia" w:cs="宋体"/>
                <w:kern w:val="0"/>
                <w:sz w:val="18"/>
                <w:szCs w:val="18"/>
              </w:rPr>
              <w:t>控制器：</w:t>
            </w:r>
            <w:r>
              <w:rPr>
                <w:rFonts w:hint="eastAsia" w:cs="宋体"/>
                <w:color w:val="FF0000"/>
                <w:kern w:val="0"/>
                <w:sz w:val="18"/>
                <w:szCs w:val="18"/>
              </w:rPr>
              <w:t>当前配置控制器数≥4个，支持最大控制器数≥16个（支持在线横向扩展，控制器之间要求采用高带宽、低时延的基于PCI-E、IB、Rapid-IO、无损以太网或者RDMA等方式高速互联）</w:t>
            </w:r>
            <w:r>
              <w:rPr>
                <w:rFonts w:hint="eastAsia" w:cs="宋体"/>
                <w:kern w:val="0"/>
                <w:sz w:val="18"/>
                <w:szCs w:val="18"/>
              </w:rPr>
              <w:t>，当前配置控制器可用缓存总容量≥1</w:t>
            </w:r>
            <w:r>
              <w:rPr>
                <w:rFonts w:cs="宋体"/>
                <w:kern w:val="0"/>
                <w:sz w:val="18"/>
                <w:szCs w:val="18"/>
              </w:rPr>
              <w:t>024</w:t>
            </w:r>
            <w:r>
              <w:rPr>
                <w:rFonts w:hint="eastAsia" w:cs="宋体"/>
                <w:kern w:val="0"/>
                <w:sz w:val="18"/>
                <w:szCs w:val="18"/>
              </w:rPr>
              <w:t>GB，最大可配置缓存≥4096GB；要求采用自主可控CPU；</w:t>
            </w:r>
          </w:p>
          <w:p w14:paraId="6BC370A3">
            <w:pPr>
              <w:ind w:firstLine="0"/>
              <w:rPr>
                <w:rFonts w:cs="宋体"/>
                <w:kern w:val="0"/>
                <w:sz w:val="18"/>
                <w:szCs w:val="18"/>
              </w:rPr>
            </w:pPr>
            <w:r>
              <w:rPr>
                <w:rFonts w:ascii="宋体" w:hAnsi="宋体" w:cs="宋体"/>
                <w:kern w:val="0"/>
                <w:sz w:val="18"/>
                <w:szCs w:val="18"/>
              </w:rPr>
              <w:t>I/O模块：要求当前存储系统的前端连接端口模块可扩展，并且支持前端连接端口模块热插拔，</w:t>
            </w:r>
            <w:r>
              <w:rPr>
                <w:rFonts w:hint="eastAsia" w:cs="宋体"/>
                <w:kern w:val="0"/>
                <w:sz w:val="18"/>
                <w:szCs w:val="18"/>
              </w:rPr>
              <w:t>支持可扩展前端主机接口数</w:t>
            </w:r>
            <w:r>
              <w:rPr>
                <w:rFonts w:cs="宋体"/>
                <w:kern w:val="0"/>
                <w:sz w:val="18"/>
                <w:szCs w:val="18"/>
              </w:rPr>
              <w:t xml:space="preserve"> </w:t>
            </w:r>
            <w:r>
              <w:rPr>
                <w:rFonts w:hint="eastAsia" w:cs="宋体"/>
                <w:kern w:val="0"/>
                <w:sz w:val="18"/>
                <w:szCs w:val="18"/>
              </w:rPr>
              <w:t>≥</w:t>
            </w:r>
            <w:r>
              <w:rPr>
                <w:rFonts w:cs="宋体"/>
                <w:kern w:val="0"/>
                <w:sz w:val="18"/>
                <w:szCs w:val="18"/>
              </w:rPr>
              <w:t xml:space="preserve"> 78</w:t>
            </w:r>
            <w:r>
              <w:rPr>
                <w:rFonts w:hint="eastAsia" w:cs="宋体"/>
                <w:kern w:val="0"/>
                <w:sz w:val="18"/>
                <w:szCs w:val="18"/>
              </w:rPr>
              <w:t>个</w:t>
            </w:r>
            <w:r>
              <w:rPr>
                <w:rFonts w:cs="宋体"/>
                <w:kern w:val="0"/>
                <w:sz w:val="18"/>
                <w:szCs w:val="18"/>
              </w:rPr>
              <w:t>16Gbps FC</w:t>
            </w:r>
            <w:r>
              <w:rPr>
                <w:rFonts w:hint="eastAsia" w:cs="宋体"/>
                <w:kern w:val="0"/>
                <w:sz w:val="18"/>
                <w:szCs w:val="18"/>
              </w:rPr>
              <w:t>端口；</w:t>
            </w:r>
          </w:p>
          <w:p w14:paraId="43C51420">
            <w:pPr>
              <w:pStyle w:val="57"/>
              <w:ind w:firstLine="0"/>
              <w:rPr>
                <w:rFonts w:hint="eastAsia" w:ascii="宋体" w:hAnsi="宋体" w:cs="宋体"/>
                <w:color w:val="auto"/>
                <w:sz w:val="18"/>
                <w:szCs w:val="18"/>
              </w:rPr>
            </w:pPr>
            <w:r>
              <w:rPr>
                <w:rFonts w:hint="eastAsia" w:ascii="宋体" w:hAnsi="宋体" w:cs="宋体"/>
                <w:color w:val="auto"/>
                <w:sz w:val="18"/>
                <w:szCs w:val="18"/>
              </w:rPr>
              <w:t>二级缓存：配置≥6*1.92TB SAS SSD作为二级缓存；</w:t>
            </w:r>
          </w:p>
          <w:p w14:paraId="7AA1F3A7">
            <w:pPr>
              <w:adjustRightInd w:val="0"/>
              <w:snapToGrid w:val="0"/>
              <w:spacing w:line="240" w:lineRule="auto"/>
              <w:ind w:firstLine="0"/>
              <w:jc w:val="left"/>
              <w:rPr>
                <w:rFonts w:cs="宋体"/>
                <w:kern w:val="0"/>
                <w:sz w:val="18"/>
                <w:szCs w:val="18"/>
              </w:rPr>
            </w:pPr>
            <w:r>
              <w:rPr>
                <w:rFonts w:hint="eastAsia" w:cs="宋体"/>
                <w:kern w:val="0"/>
                <w:sz w:val="18"/>
                <w:szCs w:val="18"/>
              </w:rPr>
              <w:t>Cache保护：系统遇到意外情况断电后,专用的后备电池单元能够将高速缓存中的数据转存到阵列磁盘中或缓存中数据存入专用flash中,确保数据不丢失；</w:t>
            </w:r>
          </w:p>
          <w:p w14:paraId="320D3A51">
            <w:pPr>
              <w:adjustRightInd w:val="0"/>
              <w:snapToGrid w:val="0"/>
              <w:spacing w:line="240" w:lineRule="auto"/>
              <w:ind w:firstLine="0"/>
              <w:jc w:val="left"/>
              <w:rPr>
                <w:rFonts w:cs="宋体"/>
                <w:kern w:val="0"/>
                <w:sz w:val="18"/>
                <w:szCs w:val="18"/>
              </w:rPr>
            </w:pPr>
            <w:r>
              <w:rPr>
                <w:rFonts w:hint="eastAsia" w:cs="宋体"/>
                <w:kern w:val="0"/>
                <w:sz w:val="18"/>
                <w:szCs w:val="18"/>
              </w:rPr>
              <w:t>支持的端口类型：FC-AL，FC-SW；</w:t>
            </w:r>
          </w:p>
          <w:p w14:paraId="4082F796">
            <w:pPr>
              <w:adjustRightInd w:val="0"/>
              <w:snapToGrid w:val="0"/>
              <w:spacing w:line="240" w:lineRule="auto"/>
              <w:ind w:firstLine="0"/>
              <w:jc w:val="left"/>
              <w:rPr>
                <w:rFonts w:cs="宋体"/>
                <w:kern w:val="0"/>
                <w:sz w:val="18"/>
                <w:szCs w:val="18"/>
              </w:rPr>
            </w:pPr>
            <w:r>
              <w:rPr>
                <w:rFonts w:hint="eastAsia" w:cs="宋体"/>
                <w:kern w:val="0"/>
                <w:sz w:val="18"/>
                <w:szCs w:val="18"/>
              </w:rPr>
              <w:t>端口工作方式：支持Active/Active以及Active/Standby工作模式；</w:t>
            </w:r>
          </w:p>
          <w:p w14:paraId="7B611E3D">
            <w:pPr>
              <w:adjustRightInd w:val="0"/>
              <w:snapToGrid w:val="0"/>
              <w:spacing w:line="240" w:lineRule="auto"/>
              <w:ind w:firstLine="0"/>
              <w:jc w:val="left"/>
              <w:rPr>
                <w:rFonts w:cs="宋体"/>
                <w:color w:val="FF0000"/>
                <w:kern w:val="0"/>
                <w:sz w:val="18"/>
                <w:szCs w:val="18"/>
              </w:rPr>
            </w:pPr>
            <w:r>
              <w:rPr>
                <w:rFonts w:hint="eastAsia" w:cs="宋体"/>
                <w:kern w:val="0"/>
                <w:sz w:val="18"/>
                <w:szCs w:val="18"/>
              </w:rPr>
              <w:t>需要能够提供的访问接口类型：</w:t>
            </w:r>
            <w:r>
              <w:rPr>
                <w:rFonts w:hint="eastAsia" w:cs="宋体"/>
                <w:color w:val="FF0000"/>
                <w:kern w:val="0"/>
                <w:sz w:val="18"/>
                <w:szCs w:val="18"/>
              </w:rPr>
              <w:t>8Gb FC、16GB FC；</w:t>
            </w:r>
          </w:p>
          <w:p w14:paraId="57D207D0">
            <w:pPr>
              <w:adjustRightInd w:val="0"/>
              <w:snapToGrid w:val="0"/>
              <w:spacing w:line="240" w:lineRule="auto"/>
              <w:ind w:firstLine="0"/>
              <w:jc w:val="left"/>
              <w:rPr>
                <w:rFonts w:cs="宋体"/>
                <w:kern w:val="0"/>
                <w:sz w:val="18"/>
                <w:szCs w:val="18"/>
              </w:rPr>
            </w:pPr>
            <w:r>
              <w:rPr>
                <w:rFonts w:hint="eastAsia" w:cs="宋体"/>
                <w:kern w:val="0"/>
                <w:sz w:val="18"/>
                <w:szCs w:val="18"/>
              </w:rPr>
              <w:t>协议支持：FC, CIFS, NFS；</w:t>
            </w:r>
          </w:p>
          <w:p w14:paraId="2F82A7EE">
            <w:pPr>
              <w:adjustRightInd w:val="0"/>
              <w:snapToGrid w:val="0"/>
              <w:spacing w:line="240" w:lineRule="auto"/>
              <w:ind w:firstLine="0"/>
              <w:jc w:val="left"/>
              <w:rPr>
                <w:rFonts w:cs="宋体"/>
                <w:kern w:val="0"/>
                <w:sz w:val="18"/>
                <w:szCs w:val="18"/>
              </w:rPr>
            </w:pPr>
            <w:r>
              <w:rPr>
                <w:rFonts w:hint="eastAsia" w:cs="宋体"/>
                <w:kern w:val="0"/>
                <w:sz w:val="18"/>
                <w:szCs w:val="18"/>
              </w:rPr>
              <w:t>当前配置前端主机端口数：≥</w:t>
            </w:r>
            <w:r>
              <w:rPr>
                <w:rFonts w:cs="宋体"/>
                <w:kern w:val="0"/>
                <w:sz w:val="18"/>
                <w:szCs w:val="18"/>
              </w:rPr>
              <w:t>32</w:t>
            </w:r>
            <w:r>
              <w:rPr>
                <w:rFonts w:hint="eastAsia" w:cs="宋体"/>
                <w:kern w:val="0"/>
                <w:sz w:val="18"/>
                <w:szCs w:val="18"/>
              </w:rPr>
              <w:t>个16Gb FC端口</w:t>
            </w:r>
            <w:r>
              <w:rPr>
                <w:rFonts w:hint="eastAsia" w:ascii="宋体" w:hAnsi="宋体" w:cs="宋体"/>
                <w:kern w:val="0"/>
                <w:sz w:val="18"/>
                <w:szCs w:val="18"/>
              </w:rPr>
              <w:t>（含多模光模块）</w:t>
            </w:r>
            <w:r>
              <w:rPr>
                <w:rFonts w:hint="eastAsia" w:cs="宋体"/>
                <w:kern w:val="0"/>
                <w:sz w:val="18"/>
                <w:szCs w:val="18"/>
              </w:rPr>
              <w:t>，可自动识别；</w:t>
            </w:r>
          </w:p>
          <w:p w14:paraId="4271287B">
            <w:pPr>
              <w:adjustRightInd w:val="0"/>
              <w:snapToGrid w:val="0"/>
              <w:spacing w:line="240" w:lineRule="auto"/>
              <w:ind w:firstLine="0"/>
              <w:jc w:val="left"/>
              <w:rPr>
                <w:rFonts w:cs="宋体"/>
                <w:kern w:val="0"/>
                <w:sz w:val="18"/>
                <w:szCs w:val="18"/>
              </w:rPr>
            </w:pPr>
            <w:r>
              <w:rPr>
                <w:rFonts w:hint="eastAsia" w:cs="宋体"/>
                <w:sz w:val="18"/>
                <w:szCs w:val="18"/>
                <w:lang w:bidi="ar"/>
              </w:rPr>
              <w:t>每控制器</w:t>
            </w:r>
            <w:r>
              <w:rPr>
                <w:rFonts w:hint="eastAsia" w:cs="宋体"/>
                <w:kern w:val="0"/>
                <w:sz w:val="18"/>
                <w:szCs w:val="18"/>
              </w:rPr>
              <w:t>支持最大前端主机接口数：≥2</w:t>
            </w:r>
            <w:r>
              <w:rPr>
                <w:rFonts w:cs="宋体"/>
                <w:kern w:val="0"/>
                <w:sz w:val="18"/>
                <w:szCs w:val="18"/>
              </w:rPr>
              <w:t>4</w:t>
            </w:r>
            <w:r>
              <w:rPr>
                <w:rFonts w:hint="eastAsia" w:cs="宋体"/>
                <w:kern w:val="0"/>
                <w:sz w:val="18"/>
                <w:szCs w:val="18"/>
              </w:rPr>
              <w:t>个16Gbps FC端口；</w:t>
            </w:r>
          </w:p>
          <w:p w14:paraId="0A2ADA6B">
            <w:pPr>
              <w:adjustRightInd w:val="0"/>
              <w:snapToGrid w:val="0"/>
              <w:spacing w:line="240" w:lineRule="auto"/>
              <w:ind w:firstLine="0"/>
              <w:jc w:val="left"/>
              <w:rPr>
                <w:rFonts w:cs="宋体"/>
                <w:kern w:val="0"/>
                <w:sz w:val="18"/>
                <w:szCs w:val="18"/>
              </w:rPr>
            </w:pPr>
            <w:r>
              <w:rPr>
                <w:rFonts w:hint="eastAsia" w:cs="宋体"/>
                <w:kern w:val="0"/>
                <w:sz w:val="18"/>
                <w:szCs w:val="18"/>
              </w:rPr>
              <w:t>支持的主机连接数：≥2000个。</w:t>
            </w:r>
          </w:p>
          <w:p w14:paraId="2909E548">
            <w:pPr>
              <w:adjustRightInd w:val="0"/>
              <w:snapToGrid w:val="0"/>
              <w:spacing w:line="240" w:lineRule="auto"/>
              <w:ind w:firstLine="0"/>
              <w:jc w:val="left"/>
              <w:rPr>
                <w:rFonts w:cs="宋体"/>
                <w:kern w:val="0"/>
                <w:sz w:val="18"/>
                <w:szCs w:val="18"/>
              </w:rPr>
            </w:pPr>
            <w:r>
              <w:rPr>
                <w:rFonts w:hint="eastAsia" w:cs="宋体"/>
                <w:kern w:val="0"/>
                <w:sz w:val="18"/>
                <w:szCs w:val="18"/>
              </w:rPr>
              <w:t>后端磁盘通道带宽：≥384Gb/s，端口类型为SAS 3.0；</w:t>
            </w:r>
          </w:p>
          <w:p w14:paraId="7BADCDA6">
            <w:pPr>
              <w:adjustRightInd w:val="0"/>
              <w:snapToGrid w:val="0"/>
              <w:spacing w:line="240" w:lineRule="auto"/>
              <w:ind w:firstLine="0"/>
              <w:jc w:val="left"/>
              <w:rPr>
                <w:rFonts w:cs="宋体"/>
                <w:kern w:val="0"/>
                <w:sz w:val="18"/>
                <w:szCs w:val="18"/>
              </w:rPr>
            </w:pPr>
            <w:r>
              <w:rPr>
                <w:rFonts w:hint="eastAsia" w:cs="宋体"/>
                <w:kern w:val="0"/>
                <w:sz w:val="18"/>
                <w:szCs w:val="18"/>
              </w:rPr>
              <w:t>支持磁盘驱动器：固态硬盘（SSD）、FC/SAS(转速10Krpm及以上，容量600GB及以上)、NL-SAS/SATA（转速7200rpm及以上，容量1TB及以上），支持以上三种磁盘混插；</w:t>
            </w:r>
          </w:p>
          <w:p w14:paraId="55B758FB">
            <w:pPr>
              <w:adjustRightInd w:val="0"/>
              <w:snapToGrid w:val="0"/>
              <w:spacing w:line="240" w:lineRule="auto"/>
              <w:ind w:firstLine="0"/>
              <w:jc w:val="left"/>
              <w:rPr>
                <w:rFonts w:cs="宋体"/>
                <w:kern w:val="0"/>
                <w:sz w:val="18"/>
                <w:szCs w:val="18"/>
              </w:rPr>
            </w:pPr>
            <w:r>
              <w:rPr>
                <w:rFonts w:hint="eastAsia" w:cs="宋体"/>
                <w:kern w:val="0"/>
                <w:sz w:val="18"/>
                <w:szCs w:val="18"/>
              </w:rPr>
              <w:t>支持后端最大磁盘数：≥1</w:t>
            </w:r>
            <w:r>
              <w:rPr>
                <w:rFonts w:cs="宋体"/>
                <w:kern w:val="0"/>
                <w:sz w:val="18"/>
                <w:szCs w:val="18"/>
              </w:rPr>
              <w:t>5</w:t>
            </w:r>
            <w:r>
              <w:rPr>
                <w:rFonts w:hint="eastAsia" w:cs="宋体"/>
                <w:kern w:val="0"/>
                <w:sz w:val="18"/>
                <w:szCs w:val="18"/>
              </w:rPr>
              <w:t>00块磁盘；</w:t>
            </w:r>
          </w:p>
          <w:p w14:paraId="75DD82CD">
            <w:pPr>
              <w:adjustRightInd w:val="0"/>
              <w:snapToGrid w:val="0"/>
              <w:spacing w:line="240" w:lineRule="auto"/>
              <w:ind w:firstLine="0"/>
              <w:jc w:val="left"/>
              <w:rPr>
                <w:rFonts w:cs="宋体"/>
                <w:kern w:val="0"/>
                <w:sz w:val="18"/>
                <w:szCs w:val="18"/>
              </w:rPr>
            </w:pPr>
            <w:r>
              <w:rPr>
                <w:rFonts w:hint="eastAsia" w:cs="宋体"/>
                <w:kern w:val="0"/>
                <w:sz w:val="18"/>
                <w:szCs w:val="18"/>
              </w:rPr>
              <w:t>支持多重并发访问；</w:t>
            </w:r>
          </w:p>
          <w:p w14:paraId="4DEFE8B6">
            <w:pPr>
              <w:adjustRightInd w:val="0"/>
              <w:snapToGrid w:val="0"/>
              <w:spacing w:line="240" w:lineRule="auto"/>
              <w:ind w:firstLine="0"/>
              <w:jc w:val="left"/>
              <w:rPr>
                <w:rFonts w:cs="宋体"/>
                <w:kern w:val="0"/>
                <w:sz w:val="18"/>
                <w:szCs w:val="18"/>
              </w:rPr>
            </w:pPr>
            <w:r>
              <w:rPr>
                <w:rFonts w:hint="eastAsia" w:cs="宋体"/>
                <w:kern w:val="0"/>
                <w:sz w:val="18"/>
                <w:szCs w:val="18"/>
              </w:rPr>
              <w:t>配置性能监控软件及多路径软件（不少于</w:t>
            </w:r>
            <w:r>
              <w:rPr>
                <w:rFonts w:cs="宋体"/>
                <w:kern w:val="0"/>
                <w:sz w:val="18"/>
                <w:szCs w:val="18"/>
              </w:rPr>
              <w:t>32</w:t>
            </w:r>
            <w:r>
              <w:rPr>
                <w:rFonts w:hint="eastAsia" w:cs="宋体"/>
                <w:kern w:val="0"/>
                <w:sz w:val="18"/>
                <w:szCs w:val="18"/>
              </w:rPr>
              <w:t>个主机连接），</w:t>
            </w:r>
            <w:r>
              <w:rPr>
                <w:rFonts w:cs="宋体"/>
                <w:kern w:val="0"/>
                <w:sz w:val="18"/>
                <w:szCs w:val="18"/>
              </w:rPr>
              <w:t>并支持与集中管控软件集成（提供集成接口并免费配合集成工作）</w:t>
            </w:r>
            <w:r>
              <w:rPr>
                <w:rFonts w:hint="eastAsia" w:cs="宋体"/>
                <w:kern w:val="0"/>
                <w:sz w:val="18"/>
                <w:szCs w:val="18"/>
              </w:rPr>
              <w:t>，多路径软件应该与存储设备、主流服务器及主流</w:t>
            </w:r>
            <w:r>
              <w:rPr>
                <w:rFonts w:hint="eastAsia" w:ascii="宋体" w:hAnsi="宋体" w:cs="宋体"/>
                <w:kern w:val="0"/>
                <w:sz w:val="18"/>
                <w:szCs w:val="18"/>
              </w:rPr>
              <w:t>自主可控</w:t>
            </w:r>
            <w:r>
              <w:rPr>
                <w:rFonts w:hint="eastAsia" w:cs="宋体"/>
                <w:kern w:val="0"/>
                <w:sz w:val="18"/>
                <w:szCs w:val="18"/>
              </w:rPr>
              <w:t>Linux操作系统兼容性良好；</w:t>
            </w:r>
          </w:p>
          <w:p w14:paraId="07BF59E0">
            <w:pPr>
              <w:adjustRightInd w:val="0"/>
              <w:snapToGrid w:val="0"/>
              <w:spacing w:line="240" w:lineRule="auto"/>
              <w:ind w:firstLine="0"/>
              <w:jc w:val="left"/>
              <w:rPr>
                <w:rFonts w:cs="宋体"/>
                <w:kern w:val="0"/>
                <w:sz w:val="18"/>
                <w:szCs w:val="18"/>
              </w:rPr>
            </w:pPr>
            <w:r>
              <w:rPr>
                <w:rFonts w:hint="eastAsia" w:cs="宋体"/>
                <w:kern w:val="0"/>
                <w:sz w:val="18"/>
                <w:szCs w:val="18"/>
              </w:rPr>
              <w:t>可以在不中断运行的情况下添加存储容量；</w:t>
            </w:r>
          </w:p>
          <w:p w14:paraId="52E78BFD">
            <w:pPr>
              <w:adjustRightInd w:val="0"/>
              <w:snapToGrid w:val="0"/>
              <w:spacing w:line="240" w:lineRule="auto"/>
              <w:ind w:firstLine="0"/>
              <w:jc w:val="left"/>
              <w:rPr>
                <w:rFonts w:cs="宋体"/>
                <w:kern w:val="0"/>
                <w:sz w:val="18"/>
                <w:szCs w:val="18"/>
              </w:rPr>
            </w:pPr>
            <w:r>
              <w:rPr>
                <w:rFonts w:hint="eastAsia" w:cs="宋体"/>
                <w:kern w:val="0"/>
                <w:sz w:val="18"/>
                <w:szCs w:val="18"/>
              </w:rPr>
              <w:t>支持I/O故障切换功能以及负载均衡功能；</w:t>
            </w:r>
          </w:p>
          <w:p w14:paraId="17F249CC">
            <w:pPr>
              <w:adjustRightInd w:val="0"/>
              <w:snapToGrid w:val="0"/>
              <w:spacing w:line="240" w:lineRule="auto"/>
              <w:ind w:firstLine="0"/>
              <w:jc w:val="left"/>
              <w:rPr>
                <w:rFonts w:cs="宋体"/>
                <w:kern w:val="0"/>
                <w:sz w:val="18"/>
                <w:szCs w:val="18"/>
              </w:rPr>
            </w:pPr>
            <w:r>
              <w:rPr>
                <w:rFonts w:hint="eastAsia" w:cs="宋体"/>
                <w:kern w:val="0"/>
                <w:sz w:val="18"/>
                <w:szCs w:val="18"/>
              </w:rPr>
              <w:t>支持全局热备盘；</w:t>
            </w:r>
          </w:p>
          <w:p w14:paraId="4505C544">
            <w:pPr>
              <w:adjustRightInd w:val="0"/>
              <w:snapToGrid w:val="0"/>
              <w:spacing w:line="240" w:lineRule="auto"/>
              <w:ind w:firstLine="0"/>
              <w:jc w:val="left"/>
              <w:rPr>
                <w:rFonts w:cs="宋体"/>
                <w:kern w:val="0"/>
                <w:sz w:val="18"/>
                <w:szCs w:val="18"/>
              </w:rPr>
            </w:pPr>
            <w:r>
              <w:rPr>
                <w:rFonts w:hint="eastAsia" w:cs="宋体"/>
                <w:kern w:val="0"/>
                <w:sz w:val="18"/>
                <w:szCs w:val="18"/>
              </w:rPr>
              <w:t>支持写缓存保护功能；</w:t>
            </w:r>
          </w:p>
          <w:p w14:paraId="096D975A">
            <w:pPr>
              <w:adjustRightInd w:val="0"/>
              <w:snapToGrid w:val="0"/>
              <w:spacing w:line="240" w:lineRule="auto"/>
              <w:ind w:firstLine="0"/>
              <w:jc w:val="left"/>
              <w:rPr>
                <w:rFonts w:cs="宋体"/>
                <w:kern w:val="0"/>
                <w:sz w:val="18"/>
                <w:szCs w:val="18"/>
              </w:rPr>
            </w:pPr>
            <w:r>
              <w:rPr>
                <w:rFonts w:hint="eastAsia" w:cs="宋体"/>
                <w:kern w:val="0"/>
                <w:sz w:val="18"/>
                <w:szCs w:val="18"/>
              </w:rPr>
              <w:t>具备对远程容灾支持能力；</w:t>
            </w:r>
          </w:p>
          <w:p w14:paraId="4C53FC69">
            <w:pPr>
              <w:adjustRightInd w:val="0"/>
              <w:snapToGrid w:val="0"/>
              <w:spacing w:line="240" w:lineRule="auto"/>
              <w:ind w:firstLine="0"/>
              <w:jc w:val="left"/>
              <w:rPr>
                <w:rFonts w:cs="宋体"/>
                <w:kern w:val="0"/>
                <w:sz w:val="18"/>
                <w:szCs w:val="18"/>
              </w:rPr>
            </w:pPr>
            <w:r>
              <w:rPr>
                <w:rFonts w:hint="eastAsia" w:cs="宋体"/>
                <w:kern w:val="0"/>
                <w:sz w:val="18"/>
                <w:szCs w:val="18"/>
              </w:rPr>
              <w:t>可进行SAN配置、性能分析、配置管理、故障诊断，支持快照以及克隆功能；</w:t>
            </w:r>
          </w:p>
          <w:p w14:paraId="4D072222">
            <w:pPr>
              <w:adjustRightInd w:val="0"/>
              <w:snapToGrid w:val="0"/>
              <w:spacing w:line="240" w:lineRule="auto"/>
              <w:ind w:firstLine="0"/>
              <w:jc w:val="left"/>
              <w:rPr>
                <w:rFonts w:cs="宋体"/>
                <w:kern w:val="0"/>
                <w:sz w:val="18"/>
                <w:szCs w:val="18"/>
              </w:rPr>
            </w:pPr>
            <w:r>
              <w:rPr>
                <w:rFonts w:hint="eastAsia" w:cs="宋体"/>
                <w:kern w:val="0"/>
                <w:sz w:val="18"/>
                <w:szCs w:val="18"/>
              </w:rPr>
              <w:t>配置自</w:t>
            </w:r>
            <w:r>
              <w:rPr>
                <w:rFonts w:cs="宋体"/>
                <w:kern w:val="0"/>
                <w:sz w:val="18"/>
                <w:szCs w:val="18"/>
              </w:rPr>
              <w:t>动分层存储功</w:t>
            </w:r>
            <w:r>
              <w:rPr>
                <w:rFonts w:hint="eastAsia" w:cs="宋体"/>
                <w:kern w:val="0"/>
                <w:sz w:val="18"/>
                <w:szCs w:val="18"/>
              </w:rPr>
              <w:t>能</w:t>
            </w:r>
            <w:r>
              <w:rPr>
                <w:rFonts w:cs="宋体"/>
                <w:kern w:val="0"/>
                <w:sz w:val="18"/>
                <w:szCs w:val="18"/>
              </w:rPr>
              <w:t>软件</w:t>
            </w:r>
            <w:r>
              <w:rPr>
                <w:rFonts w:hint="eastAsia" w:cs="宋体"/>
                <w:kern w:val="0"/>
                <w:sz w:val="18"/>
                <w:szCs w:val="18"/>
              </w:rPr>
              <w:t>及满足</w:t>
            </w:r>
            <w:r>
              <w:rPr>
                <w:rFonts w:cs="宋体"/>
                <w:kern w:val="0"/>
                <w:sz w:val="18"/>
                <w:szCs w:val="18"/>
              </w:rPr>
              <w:t>本期配置容量的使用许可；</w:t>
            </w:r>
          </w:p>
          <w:p w14:paraId="25B551F6">
            <w:pPr>
              <w:adjustRightInd w:val="0"/>
              <w:snapToGrid w:val="0"/>
              <w:spacing w:line="240" w:lineRule="auto"/>
              <w:ind w:firstLine="0"/>
              <w:jc w:val="left"/>
              <w:rPr>
                <w:rFonts w:cs="宋体"/>
                <w:kern w:val="0"/>
                <w:sz w:val="18"/>
                <w:szCs w:val="18"/>
              </w:rPr>
            </w:pPr>
            <w:r>
              <w:rPr>
                <w:rFonts w:hint="eastAsia" w:cs="宋体"/>
                <w:kern w:val="0"/>
                <w:sz w:val="18"/>
                <w:szCs w:val="18"/>
              </w:rPr>
              <w:t>支持各种主流操作系统以及主流数据库，各类型主流服务器集群运行模式下数据可靠、稳定；</w:t>
            </w:r>
          </w:p>
          <w:p w14:paraId="38161B84">
            <w:pPr>
              <w:adjustRightInd w:val="0"/>
              <w:snapToGrid w:val="0"/>
              <w:spacing w:line="240" w:lineRule="auto"/>
              <w:ind w:firstLine="0"/>
              <w:jc w:val="left"/>
              <w:rPr>
                <w:rFonts w:cs="宋体"/>
                <w:kern w:val="0"/>
                <w:sz w:val="18"/>
                <w:szCs w:val="18"/>
              </w:rPr>
            </w:pPr>
            <w:r>
              <w:rPr>
                <w:rFonts w:hint="eastAsia" w:cs="宋体"/>
                <w:kern w:val="0"/>
                <w:sz w:val="18"/>
                <w:szCs w:val="18"/>
              </w:rPr>
              <w:t>提供设备安装、运行所需要的所有必须软硬件；</w:t>
            </w:r>
          </w:p>
          <w:p w14:paraId="432A65ED">
            <w:pPr>
              <w:adjustRightInd w:val="0"/>
              <w:snapToGrid w:val="0"/>
              <w:spacing w:line="240" w:lineRule="auto"/>
              <w:ind w:firstLine="0"/>
              <w:jc w:val="left"/>
              <w:rPr>
                <w:rFonts w:cs="宋体"/>
                <w:kern w:val="0"/>
                <w:sz w:val="18"/>
                <w:szCs w:val="18"/>
              </w:rPr>
            </w:pPr>
            <w:r>
              <w:rPr>
                <w:rFonts w:hint="eastAsia" w:cs="宋体"/>
                <w:kern w:val="0"/>
                <w:sz w:val="18"/>
                <w:szCs w:val="18"/>
              </w:rPr>
              <w:t>电源和风扇：支持冗余电源，支持冗余散热风扇，电源和</w:t>
            </w:r>
            <w:r>
              <w:rPr>
                <w:rFonts w:cs="宋体"/>
                <w:kern w:val="0"/>
                <w:sz w:val="18"/>
                <w:szCs w:val="18"/>
              </w:rPr>
              <w:t>风扇模块要求满配</w:t>
            </w:r>
            <w:r>
              <w:rPr>
                <w:rFonts w:hint="eastAsia" w:cs="宋体"/>
                <w:kern w:val="0"/>
                <w:sz w:val="18"/>
                <w:szCs w:val="18"/>
              </w:rPr>
              <w:t>；</w:t>
            </w:r>
          </w:p>
          <w:p w14:paraId="4C95202B">
            <w:pPr>
              <w:adjustRightInd w:val="0"/>
              <w:snapToGrid w:val="0"/>
              <w:spacing w:line="240" w:lineRule="auto"/>
              <w:ind w:firstLine="0"/>
              <w:jc w:val="left"/>
              <w:rPr>
                <w:rFonts w:cs="宋体"/>
                <w:kern w:val="0"/>
                <w:sz w:val="18"/>
                <w:szCs w:val="18"/>
              </w:rPr>
            </w:pPr>
            <w:r>
              <w:rPr>
                <w:rFonts w:hint="eastAsia" w:cs="宋体"/>
                <w:kern w:val="0"/>
                <w:sz w:val="18"/>
                <w:szCs w:val="18"/>
              </w:rPr>
              <w:t>工作环境：在环境温度10°C 到 35°C，湿度40％ 到 60％（28°C时，无凝结）能正常工作；</w:t>
            </w:r>
          </w:p>
          <w:p w14:paraId="1000011E">
            <w:pPr>
              <w:adjustRightInd w:val="0"/>
              <w:snapToGrid w:val="0"/>
              <w:spacing w:before="0" w:after="0" w:line="240" w:lineRule="auto"/>
              <w:ind w:firstLine="0"/>
              <w:jc w:val="left"/>
              <w:rPr>
                <w:rFonts w:cs="宋体"/>
                <w:kern w:val="0"/>
                <w:sz w:val="18"/>
                <w:szCs w:val="18"/>
              </w:rPr>
            </w:pPr>
            <w:r>
              <w:rPr>
                <w:rFonts w:hint="eastAsia" w:ascii="宋体" w:hAnsi="宋体" w:cs="宋体"/>
                <w:kern w:val="0"/>
                <w:sz w:val="18"/>
                <w:szCs w:val="18"/>
              </w:rPr>
              <w:t>售后服务：设备到货验收合格后，</w:t>
            </w:r>
            <w:r>
              <w:rPr>
                <w:rFonts w:hint="eastAsia" w:cs="宋体"/>
                <w:kern w:val="0"/>
                <w:sz w:val="18"/>
                <w:szCs w:val="18"/>
              </w:rPr>
              <w:t>原厂家提供5年免费上门维修服务，人工、配件、交通等任何费用全免；每天24小时、每周7天，4小时到现场的原厂商支持，提供设备厂商服务承诺函；</w:t>
            </w:r>
          </w:p>
          <w:p w14:paraId="6B379A29">
            <w:pPr>
              <w:adjustRightInd w:val="0"/>
              <w:snapToGrid w:val="0"/>
              <w:spacing w:before="0" w:after="0" w:line="240" w:lineRule="auto"/>
              <w:ind w:firstLine="0"/>
              <w:jc w:val="left"/>
              <w:rPr>
                <w:rFonts w:cs="宋体"/>
                <w:kern w:val="0"/>
                <w:sz w:val="18"/>
                <w:szCs w:val="18"/>
              </w:rPr>
            </w:pPr>
            <w:r>
              <w:rPr>
                <w:rFonts w:hint="eastAsia" w:ascii="宋体" w:hAnsi="宋体" w:cs="宋体"/>
                <w:kern w:val="0"/>
                <w:sz w:val="18"/>
                <w:szCs w:val="18"/>
              </w:rPr>
              <w:t>授权：必须提供所涉及产品原厂商专项授权和原厂盖章的服务承诺函。</w:t>
            </w:r>
          </w:p>
        </w:tc>
      </w:tr>
      <w:tr w14:paraId="0E8BCD9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69898FA7">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w:t>
            </w:r>
          </w:p>
        </w:tc>
        <w:tc>
          <w:tcPr>
            <w:tcW w:w="1405" w:type="dxa"/>
            <w:vAlign w:val="center"/>
          </w:tcPr>
          <w:p w14:paraId="5D58E56A">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磁盘阵列（二档）</w:t>
            </w:r>
          </w:p>
        </w:tc>
        <w:tc>
          <w:tcPr>
            <w:tcW w:w="6000" w:type="dxa"/>
            <w:vAlign w:val="center"/>
          </w:tcPr>
          <w:p w14:paraId="3665F4FE">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★安全可靠：</w:t>
            </w:r>
          </w:p>
          <w:p w14:paraId="007473D1">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CPU、SSD颗粒、DRAM颗粒、网卡芯片等配置信息需要同时提供安全可靠芯片证明材料及承诺函（格式见附件四）。</w:t>
            </w:r>
          </w:p>
        </w:tc>
      </w:tr>
      <w:tr w14:paraId="0E00EA1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245B5B06">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w:t>
            </w:r>
          </w:p>
        </w:tc>
        <w:tc>
          <w:tcPr>
            <w:tcW w:w="1405" w:type="dxa"/>
            <w:vAlign w:val="center"/>
          </w:tcPr>
          <w:p w14:paraId="5FBFBE7F">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磁盘阵列（二档）</w:t>
            </w:r>
          </w:p>
        </w:tc>
        <w:tc>
          <w:tcPr>
            <w:tcW w:w="6000" w:type="dxa"/>
            <w:vAlign w:val="center"/>
          </w:tcPr>
          <w:p w14:paraId="59FBF101">
            <w:pPr>
              <w:adjustRightInd w:val="0"/>
              <w:snapToGrid w:val="0"/>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原厂商产品（非OEM），性能不低于以下要求：</w:t>
            </w:r>
          </w:p>
          <w:p w14:paraId="315993DF">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体系结构：统一数据存储系统，同时支持并提供NAS、IP SAN和FC SAN模式；全冗余模块化体系结构。</w:t>
            </w:r>
          </w:p>
          <w:p w14:paraId="548AAA0D">
            <w:pPr>
              <w:adjustRightInd w:val="0"/>
              <w:snapToGrid w:val="0"/>
              <w:spacing w:line="240" w:lineRule="auto"/>
              <w:ind w:firstLine="0"/>
              <w:jc w:val="left"/>
              <w:rPr>
                <w:rFonts w:cs="宋体"/>
                <w:kern w:val="0"/>
                <w:sz w:val="18"/>
                <w:szCs w:val="18"/>
              </w:rPr>
            </w:pPr>
            <w:r>
              <w:rPr>
                <w:rFonts w:hint="eastAsia" w:cs="宋体"/>
                <w:kern w:val="0"/>
                <w:sz w:val="18"/>
                <w:szCs w:val="18"/>
              </w:rPr>
              <w:t>自主可控要求：存储系列设备搭载除控制器外的国产自主研发芯片：存储设备中BMC管理芯片、SSD控制芯片，需提供相关国产自主研发芯片说明材料，包括芯片品牌、类型、型号、核数，同时提供芯片实物图片，芯片设计公司注册所在地必须为中华人民共和国境内，提供芯片设计公司营业执照复印件），加盖存储厂家公章或经授权的其他章并提供对应授权文件；</w:t>
            </w:r>
          </w:p>
          <w:p w14:paraId="66AA9EF8">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color w:val="FF0000"/>
                <w:kern w:val="0"/>
                <w:sz w:val="18"/>
                <w:szCs w:val="18"/>
              </w:rPr>
              <w:t>控制器：要求存储设备为冗余控制器结构，当前配置2个控制器，支持最大控制器数≥8个（支持在线横向扩展，控制器之间要求采用高带宽、低时延的基于PCI-E、IB、Rapid-IO、无损以太网或者RDMA等方式高速互联）。</w:t>
            </w:r>
            <w:r>
              <w:rPr>
                <w:rFonts w:hint="eastAsia" w:cs="宋体"/>
                <w:kern w:val="0"/>
                <w:sz w:val="18"/>
                <w:szCs w:val="18"/>
              </w:rPr>
              <w:t>要求采用自主可控CPU；</w:t>
            </w:r>
          </w:p>
          <w:p w14:paraId="3AA17FAA">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缓存保护：提供Cache缓存保护措施，支持停电数据保护。</w:t>
            </w:r>
          </w:p>
          <w:p w14:paraId="60AB61FD">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缓存配置：存储缓存总配置≥128GB,要求读/写缓存的大小可以在线调整，写缓存镜像。</w:t>
            </w:r>
          </w:p>
          <w:p w14:paraId="29DB20D2">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二级缓存：配置≥4*1.92TB SAS SSD作为二级缓存；</w:t>
            </w:r>
          </w:p>
          <w:p w14:paraId="5686E012">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I/O模块：</w:t>
            </w:r>
            <w:r>
              <w:rPr>
                <w:rFonts w:hint="eastAsia" w:ascii="宋体" w:hAnsi="宋体" w:cs="宋体"/>
                <w:color w:val="FF0000"/>
                <w:kern w:val="0"/>
                <w:sz w:val="18"/>
                <w:szCs w:val="18"/>
              </w:rPr>
              <w:t>要求存储系统的前端连接端口模块可扩展，并且支持前端连接端口模块热插拔，模块类型支持1Gbps、10Gbps网络接口、16Gb及以上速率光纤接口。</w:t>
            </w:r>
          </w:p>
          <w:p w14:paraId="0F4EECD5">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前端FC接口：要求存储系统至少配置8个16Gbps光纤端口（含多模光模块），每个控制器最大可扩展至16个16Gbps光纤端口。</w:t>
            </w:r>
          </w:p>
          <w:p w14:paraId="61E05622">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前端IP接口：要求存储系统至少支持8个10 GBase iSCSI 端口。</w:t>
            </w:r>
          </w:p>
          <w:p w14:paraId="76553D60">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后端带宽：要求存储后端带宽不小于96Gb/s。</w:t>
            </w:r>
          </w:p>
          <w:p w14:paraId="3F2082B6">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磁盘驱动器数量：要求存储系统能提供不少于1000块磁盘的扩充能力。</w:t>
            </w:r>
          </w:p>
          <w:p w14:paraId="5D435D40">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支持磁盘类型磁盘：要求存储系统可同时支持固态硬盘（SSD）、SAS硬盘，NL-SAS硬盘。</w:t>
            </w:r>
          </w:p>
          <w:p w14:paraId="7C5D57FB">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RAID方式：支持多种RAID存储方式。</w:t>
            </w:r>
          </w:p>
          <w:p w14:paraId="2405426E">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硬件冗余性：完全的硬件冗余，处理器、缓存、电源、风扇、适配卡、总线等都提供冗余，并保证在某硬件出问题时，能够进行自动切换，不出现单点故障。</w:t>
            </w:r>
          </w:p>
          <w:p w14:paraId="78D22E61">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电源和风扇：支持冗余电源，支持冗余散热风扇，电源和风扇模块要求满配；</w:t>
            </w:r>
          </w:p>
          <w:p w14:paraId="324A36D3">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软件要求：</w:t>
            </w:r>
          </w:p>
          <w:p w14:paraId="64261298">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存储管理软件：需提供图形化存储管理软件，支持带外管理。</w:t>
            </w:r>
          </w:p>
          <w:p w14:paraId="23A4382C">
            <w:pPr>
              <w:adjustRightInd w:val="0"/>
              <w:snapToGrid w:val="0"/>
              <w:spacing w:line="240" w:lineRule="auto"/>
              <w:ind w:firstLine="0"/>
              <w:jc w:val="left"/>
              <w:rPr>
                <w:rFonts w:cs="宋体"/>
                <w:kern w:val="0"/>
                <w:sz w:val="18"/>
                <w:szCs w:val="18"/>
              </w:rPr>
            </w:pPr>
            <w:r>
              <w:rPr>
                <w:rFonts w:hint="eastAsia" w:cs="宋体"/>
                <w:kern w:val="0"/>
                <w:sz w:val="18"/>
                <w:szCs w:val="18"/>
              </w:rPr>
              <w:t>配置性能监控软件及多路径软件（不少于</w:t>
            </w:r>
            <w:r>
              <w:rPr>
                <w:rFonts w:cs="宋体"/>
                <w:kern w:val="0"/>
                <w:sz w:val="18"/>
                <w:szCs w:val="18"/>
              </w:rPr>
              <w:t>16</w:t>
            </w:r>
            <w:r>
              <w:rPr>
                <w:rFonts w:hint="eastAsia" w:cs="宋体"/>
                <w:kern w:val="0"/>
                <w:sz w:val="18"/>
                <w:szCs w:val="18"/>
              </w:rPr>
              <w:t>个主机连接），</w:t>
            </w:r>
            <w:r>
              <w:rPr>
                <w:rFonts w:cs="宋体"/>
                <w:kern w:val="0"/>
                <w:sz w:val="18"/>
                <w:szCs w:val="18"/>
              </w:rPr>
              <w:t>并支持与集中管控软件集成（提供集成接口并免费配合集成工作）</w:t>
            </w:r>
            <w:r>
              <w:rPr>
                <w:rFonts w:hint="eastAsia" w:cs="宋体"/>
                <w:kern w:val="0"/>
                <w:sz w:val="18"/>
                <w:szCs w:val="18"/>
              </w:rPr>
              <w:t>，多路径软件应该与存储设备、主流服务器及主流</w:t>
            </w:r>
            <w:r>
              <w:rPr>
                <w:rFonts w:hint="eastAsia" w:ascii="宋体" w:hAnsi="宋体" w:cs="宋体"/>
                <w:kern w:val="0"/>
                <w:sz w:val="18"/>
                <w:szCs w:val="18"/>
              </w:rPr>
              <w:t>自主可控</w:t>
            </w:r>
            <w:r>
              <w:rPr>
                <w:rFonts w:hint="eastAsia" w:cs="宋体"/>
                <w:kern w:val="0"/>
                <w:sz w:val="18"/>
                <w:szCs w:val="18"/>
              </w:rPr>
              <w:t>Linux操作系统兼容性良好；</w:t>
            </w:r>
          </w:p>
          <w:p w14:paraId="6E0BB97D">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数据本地迁移：要求存储系统配置具有内部数据迁移功能的软件；基于存储系统本身的控制器实现数据在不同LUN之间的数据迁移，迁移和切换且无需中断应用访问。</w:t>
            </w:r>
          </w:p>
          <w:p w14:paraId="52D7D184">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数据通道安全(负载均衡/链路切换)：配置存储厂家原厂通道管理软件，实现对主机的多通道路径访问以及对应用透明的自动故障通道切换及负载均衡，具备在SAN环境中的负载均衡功能。</w:t>
            </w:r>
          </w:p>
          <w:p w14:paraId="3C8D9E61">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支持操作系统：能够同时支持主流自主可控Linux操作系统，支持服务器集群功能；</w:t>
            </w:r>
          </w:p>
          <w:p w14:paraId="2001B885">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SNMP告警提示： 支持SNMP，Email等方式的错误，警告告警方式。</w:t>
            </w:r>
          </w:p>
          <w:p w14:paraId="7D109284">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SMI-S性能佳监控：支持SMI-S公开标准的性能监控。</w:t>
            </w:r>
          </w:p>
          <w:p w14:paraId="7FD1C7BD">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服务及品质：</w:t>
            </w:r>
          </w:p>
          <w:p w14:paraId="2DE88C2E">
            <w:pPr>
              <w:adjustRightInd w:val="0"/>
              <w:snapToGrid w:val="0"/>
              <w:spacing w:line="240" w:lineRule="auto"/>
              <w:ind w:firstLine="0"/>
              <w:jc w:val="left"/>
              <w:rPr>
                <w:rFonts w:hint="eastAsia" w:ascii="宋体" w:hAnsi="宋体" w:cs="宋体"/>
                <w:kern w:val="0"/>
                <w:sz w:val="18"/>
                <w:szCs w:val="18"/>
              </w:rPr>
            </w:pPr>
            <w:r>
              <w:rPr>
                <w:rFonts w:hint="eastAsia" w:cs="宋体"/>
                <w:kern w:val="0"/>
                <w:sz w:val="18"/>
                <w:szCs w:val="18"/>
              </w:rPr>
              <w:t>工作环境：在环境温度10°C 到 35°C，湿度40％ 到 60％（28°C时，无凝结）能正常工作；</w:t>
            </w:r>
            <w:r>
              <w:rPr>
                <w:rFonts w:hint="eastAsia" w:ascii="宋体" w:hAnsi="宋体" w:cs="宋体"/>
                <w:kern w:val="0"/>
                <w:sz w:val="18"/>
                <w:szCs w:val="18"/>
              </w:rPr>
              <w:t>售后服务：设备到货验收合格后，</w:t>
            </w:r>
            <w:r>
              <w:rPr>
                <w:rFonts w:hint="eastAsia" w:cs="宋体"/>
                <w:kern w:val="0"/>
                <w:sz w:val="18"/>
                <w:szCs w:val="18"/>
              </w:rPr>
              <w:t>原厂家提供5年免费上门维修服务，人工、配件、交通等任何费用全免；每天24小时、每周7天，4小时到现场的原厂商支持，提供设备厂商服务承诺函；</w:t>
            </w:r>
          </w:p>
          <w:p w14:paraId="4D56978D">
            <w:pPr>
              <w:adjustRightInd w:val="0"/>
              <w:snapToGrid w:val="0"/>
              <w:spacing w:line="240" w:lineRule="auto"/>
              <w:ind w:firstLine="0"/>
              <w:jc w:val="left"/>
              <w:rPr>
                <w:rFonts w:cs="宋体"/>
                <w:kern w:val="0"/>
                <w:sz w:val="18"/>
                <w:szCs w:val="18"/>
              </w:rPr>
            </w:pPr>
            <w:r>
              <w:rPr>
                <w:rFonts w:hint="eastAsia" w:ascii="宋体" w:hAnsi="宋体" w:cs="宋体"/>
                <w:kern w:val="0"/>
                <w:sz w:val="18"/>
                <w:szCs w:val="18"/>
              </w:rPr>
              <w:t>授权：必须提供所涉及产品原厂商专项授权和原厂盖章的服务承诺函。</w:t>
            </w:r>
          </w:p>
        </w:tc>
      </w:tr>
      <w:tr w14:paraId="02E089B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542072F4">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3</w:t>
            </w:r>
          </w:p>
        </w:tc>
        <w:tc>
          <w:tcPr>
            <w:tcW w:w="1405" w:type="dxa"/>
            <w:vAlign w:val="center"/>
          </w:tcPr>
          <w:p w14:paraId="7BE6E03D">
            <w:pPr>
              <w:adjustRightInd w:val="0"/>
              <w:snapToGrid w:val="0"/>
              <w:spacing w:before="120" w:after="120" w:line="240" w:lineRule="auto"/>
              <w:ind w:firstLine="0"/>
              <w:jc w:val="center"/>
              <w:rPr>
                <w:rFonts w:hint="eastAsia" w:ascii="宋体" w:hAnsi="宋体" w:cs="宋体"/>
                <w:sz w:val="18"/>
                <w:szCs w:val="18"/>
              </w:rPr>
            </w:pPr>
            <w:r>
              <w:rPr>
                <w:rFonts w:hint="eastAsia"/>
                <w:sz w:val="18"/>
                <w:szCs w:val="18"/>
              </w:rPr>
              <w:t>阵列硬盘机框（一档）</w:t>
            </w:r>
          </w:p>
        </w:tc>
        <w:tc>
          <w:tcPr>
            <w:tcW w:w="6000" w:type="dxa"/>
            <w:vAlign w:val="center"/>
          </w:tcPr>
          <w:p w14:paraId="6335900D">
            <w:pPr>
              <w:adjustRightInd w:val="0"/>
              <w:snapToGrid w:val="0"/>
              <w:spacing w:before="120" w:after="120" w:line="240" w:lineRule="auto"/>
              <w:ind w:firstLine="0"/>
              <w:rPr>
                <w:sz w:val="18"/>
                <w:szCs w:val="18"/>
              </w:rPr>
            </w:pPr>
            <w:r>
              <w:rPr>
                <w:rFonts w:hint="eastAsia"/>
                <w:sz w:val="18"/>
                <w:szCs w:val="18"/>
              </w:rPr>
              <w:t>可部署不低于24块硬盘，与一档磁盘阵列配合使用。</w:t>
            </w:r>
          </w:p>
          <w:p w14:paraId="18E4215C">
            <w:pPr>
              <w:adjustRightInd w:val="0"/>
              <w:snapToGrid w:val="0"/>
              <w:spacing w:before="120" w:after="120" w:line="240" w:lineRule="auto"/>
              <w:ind w:firstLine="0"/>
              <w:rPr>
                <w:rFonts w:hint="eastAsia" w:ascii="宋体" w:hAnsi="宋体" w:cs="宋体"/>
                <w:sz w:val="18"/>
                <w:szCs w:val="18"/>
              </w:rPr>
            </w:pPr>
            <w:r>
              <w:rPr>
                <w:rFonts w:hint="eastAsia" w:ascii="宋体" w:hAnsi="宋体" w:cs="宋体"/>
                <w:kern w:val="0"/>
                <w:sz w:val="18"/>
                <w:szCs w:val="18"/>
              </w:rPr>
              <w:t>售后</w:t>
            </w:r>
            <w:r>
              <w:rPr>
                <w:rFonts w:ascii="宋体" w:hAnsi="宋体" w:cs="宋体"/>
                <w:kern w:val="0"/>
                <w:sz w:val="18"/>
                <w:szCs w:val="18"/>
              </w:rPr>
              <w:t>服务</w:t>
            </w:r>
            <w:r>
              <w:rPr>
                <w:rFonts w:hint="eastAsia" w:ascii="宋体" w:hAnsi="宋体" w:cs="宋体"/>
                <w:kern w:val="0"/>
                <w:sz w:val="18"/>
                <w:szCs w:val="18"/>
              </w:rPr>
              <w:t>：同</w:t>
            </w:r>
            <w:r>
              <w:rPr>
                <w:rFonts w:ascii="宋体" w:hAnsi="宋体" w:cs="宋体"/>
                <w:kern w:val="0"/>
                <w:sz w:val="18"/>
                <w:szCs w:val="18"/>
              </w:rPr>
              <w:t>配套</w:t>
            </w:r>
            <w:r>
              <w:rPr>
                <w:rFonts w:hint="eastAsia" w:ascii="宋体" w:hAnsi="宋体" w:cs="宋体"/>
                <w:kern w:val="0"/>
                <w:sz w:val="18"/>
                <w:szCs w:val="18"/>
              </w:rPr>
              <w:t>磁盘</w:t>
            </w:r>
            <w:r>
              <w:rPr>
                <w:rFonts w:ascii="宋体" w:hAnsi="宋体" w:cs="宋体"/>
                <w:kern w:val="0"/>
                <w:sz w:val="18"/>
                <w:szCs w:val="18"/>
              </w:rPr>
              <w:t>阵列</w:t>
            </w:r>
          </w:p>
        </w:tc>
      </w:tr>
      <w:tr w14:paraId="7A06428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7B0FC2EF">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4</w:t>
            </w:r>
          </w:p>
        </w:tc>
        <w:tc>
          <w:tcPr>
            <w:tcW w:w="1405" w:type="dxa"/>
            <w:vAlign w:val="center"/>
          </w:tcPr>
          <w:p w14:paraId="26B65765">
            <w:pPr>
              <w:adjustRightInd w:val="0"/>
              <w:snapToGrid w:val="0"/>
              <w:spacing w:before="120" w:after="120" w:line="240" w:lineRule="auto"/>
              <w:ind w:firstLine="0"/>
              <w:jc w:val="center"/>
              <w:rPr>
                <w:rFonts w:hint="eastAsia" w:ascii="宋体" w:hAnsi="宋体" w:cs="宋体"/>
                <w:sz w:val="18"/>
                <w:szCs w:val="18"/>
              </w:rPr>
            </w:pPr>
            <w:r>
              <w:rPr>
                <w:rFonts w:hint="eastAsia"/>
                <w:sz w:val="18"/>
                <w:szCs w:val="18"/>
              </w:rPr>
              <w:t>阵列硬盘机框（二档）</w:t>
            </w:r>
          </w:p>
        </w:tc>
        <w:tc>
          <w:tcPr>
            <w:tcW w:w="6000" w:type="dxa"/>
            <w:vAlign w:val="center"/>
          </w:tcPr>
          <w:p w14:paraId="3C437EF4">
            <w:pPr>
              <w:adjustRightInd w:val="0"/>
              <w:snapToGrid w:val="0"/>
              <w:spacing w:before="120" w:after="120" w:line="240" w:lineRule="auto"/>
              <w:ind w:firstLine="0"/>
              <w:rPr>
                <w:sz w:val="18"/>
                <w:szCs w:val="18"/>
              </w:rPr>
            </w:pPr>
            <w:r>
              <w:rPr>
                <w:rFonts w:hint="eastAsia"/>
                <w:sz w:val="18"/>
                <w:szCs w:val="18"/>
              </w:rPr>
              <w:t>可部署不低于24块硬盘，与二档磁盘阵列配合使用。</w:t>
            </w:r>
          </w:p>
          <w:p w14:paraId="046A3880">
            <w:pPr>
              <w:adjustRightInd w:val="0"/>
              <w:snapToGrid w:val="0"/>
              <w:spacing w:before="120" w:after="120" w:line="240" w:lineRule="auto"/>
              <w:ind w:firstLine="0"/>
              <w:rPr>
                <w:rFonts w:hint="eastAsia" w:ascii="宋体" w:hAnsi="宋体" w:cs="宋体"/>
                <w:sz w:val="18"/>
                <w:szCs w:val="18"/>
              </w:rPr>
            </w:pPr>
            <w:r>
              <w:rPr>
                <w:rFonts w:hint="eastAsia" w:ascii="宋体" w:hAnsi="宋体" w:cs="宋体"/>
                <w:kern w:val="0"/>
                <w:sz w:val="18"/>
                <w:szCs w:val="18"/>
              </w:rPr>
              <w:t>售后</w:t>
            </w:r>
            <w:r>
              <w:rPr>
                <w:rFonts w:ascii="宋体" w:hAnsi="宋体" w:cs="宋体"/>
                <w:kern w:val="0"/>
                <w:sz w:val="18"/>
                <w:szCs w:val="18"/>
              </w:rPr>
              <w:t>服务</w:t>
            </w:r>
            <w:r>
              <w:rPr>
                <w:rFonts w:hint="eastAsia" w:ascii="宋体" w:hAnsi="宋体" w:cs="宋体"/>
                <w:kern w:val="0"/>
                <w:sz w:val="18"/>
                <w:szCs w:val="18"/>
              </w:rPr>
              <w:t>：同</w:t>
            </w:r>
            <w:r>
              <w:rPr>
                <w:rFonts w:ascii="宋体" w:hAnsi="宋体" w:cs="宋体"/>
                <w:kern w:val="0"/>
                <w:sz w:val="18"/>
                <w:szCs w:val="18"/>
              </w:rPr>
              <w:t>配套</w:t>
            </w:r>
            <w:r>
              <w:rPr>
                <w:rFonts w:hint="eastAsia" w:ascii="宋体" w:hAnsi="宋体" w:cs="宋体"/>
                <w:kern w:val="0"/>
                <w:sz w:val="18"/>
                <w:szCs w:val="18"/>
              </w:rPr>
              <w:t>磁盘</w:t>
            </w:r>
            <w:r>
              <w:rPr>
                <w:rFonts w:ascii="宋体" w:hAnsi="宋体" w:cs="宋体"/>
                <w:kern w:val="0"/>
                <w:sz w:val="18"/>
                <w:szCs w:val="18"/>
              </w:rPr>
              <w:t>阵列</w:t>
            </w:r>
          </w:p>
        </w:tc>
      </w:tr>
      <w:tr w14:paraId="072EC48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5D32AEBF">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5</w:t>
            </w:r>
          </w:p>
        </w:tc>
        <w:tc>
          <w:tcPr>
            <w:tcW w:w="1405" w:type="dxa"/>
            <w:vAlign w:val="center"/>
          </w:tcPr>
          <w:p w14:paraId="7C66CBB2">
            <w:pPr>
              <w:adjustRightInd w:val="0"/>
              <w:snapToGrid w:val="0"/>
              <w:spacing w:before="120" w:after="120" w:line="240" w:lineRule="auto"/>
              <w:ind w:firstLine="0"/>
              <w:jc w:val="center"/>
              <w:rPr>
                <w:rFonts w:hint="eastAsia" w:ascii="宋体" w:hAnsi="宋体" w:cs="宋体"/>
                <w:sz w:val="18"/>
                <w:szCs w:val="18"/>
              </w:rPr>
            </w:pPr>
            <w:r>
              <w:rPr>
                <w:rFonts w:hint="eastAsia"/>
                <w:sz w:val="18"/>
                <w:szCs w:val="18"/>
              </w:rPr>
              <w:t>阵列硬盘（一档）</w:t>
            </w:r>
          </w:p>
        </w:tc>
        <w:tc>
          <w:tcPr>
            <w:tcW w:w="6000" w:type="dxa"/>
            <w:vAlign w:val="center"/>
          </w:tcPr>
          <w:p w14:paraId="0EA1649A">
            <w:pPr>
              <w:adjustRightInd w:val="0"/>
              <w:snapToGrid w:val="0"/>
              <w:spacing w:before="120" w:after="120" w:line="240" w:lineRule="auto"/>
              <w:ind w:firstLine="0"/>
              <w:rPr>
                <w:sz w:val="18"/>
                <w:szCs w:val="18"/>
              </w:rPr>
            </w:pPr>
            <w:r>
              <w:rPr>
                <w:rFonts w:hint="eastAsia"/>
                <w:sz w:val="18"/>
                <w:szCs w:val="18"/>
              </w:rPr>
              <w:t>≥8TB NL</w:t>
            </w:r>
            <w:r>
              <w:rPr>
                <w:rFonts w:hint="eastAsia"/>
                <w:sz w:val="18"/>
                <w:szCs w:val="18"/>
                <w:lang w:val="en-US" w:eastAsia="zh-CN"/>
              </w:rPr>
              <w:t>-</w:t>
            </w:r>
            <w:r>
              <w:rPr>
                <w:rFonts w:hint="eastAsia"/>
                <w:sz w:val="18"/>
                <w:szCs w:val="18"/>
              </w:rPr>
              <w:t>SAS HDD（或以上） 6Gb/s SAS硬盘，与一档磁盘阵列配合使用。</w:t>
            </w:r>
          </w:p>
          <w:p w14:paraId="609D2203">
            <w:pPr>
              <w:adjustRightInd w:val="0"/>
              <w:snapToGrid w:val="0"/>
              <w:spacing w:before="120" w:after="120" w:line="240" w:lineRule="auto"/>
              <w:ind w:firstLine="0"/>
              <w:rPr>
                <w:rFonts w:hint="eastAsia" w:ascii="宋体" w:hAnsi="宋体" w:cs="宋体"/>
                <w:sz w:val="18"/>
                <w:szCs w:val="18"/>
              </w:rPr>
            </w:pPr>
            <w:r>
              <w:rPr>
                <w:rFonts w:hint="eastAsia" w:ascii="宋体" w:hAnsi="宋体" w:cs="宋体"/>
                <w:kern w:val="0"/>
                <w:sz w:val="18"/>
                <w:szCs w:val="18"/>
              </w:rPr>
              <w:t>售后</w:t>
            </w:r>
            <w:r>
              <w:rPr>
                <w:rFonts w:ascii="宋体" w:hAnsi="宋体" w:cs="宋体"/>
                <w:kern w:val="0"/>
                <w:sz w:val="18"/>
                <w:szCs w:val="18"/>
              </w:rPr>
              <w:t>服务</w:t>
            </w:r>
            <w:r>
              <w:rPr>
                <w:rFonts w:hint="eastAsia" w:ascii="宋体" w:hAnsi="宋体" w:cs="宋体"/>
                <w:kern w:val="0"/>
                <w:sz w:val="18"/>
                <w:szCs w:val="18"/>
              </w:rPr>
              <w:t>：同</w:t>
            </w:r>
            <w:r>
              <w:rPr>
                <w:rFonts w:ascii="宋体" w:hAnsi="宋体" w:cs="宋体"/>
                <w:kern w:val="0"/>
                <w:sz w:val="18"/>
                <w:szCs w:val="18"/>
              </w:rPr>
              <w:t>配套</w:t>
            </w:r>
            <w:r>
              <w:rPr>
                <w:rFonts w:hint="eastAsia" w:ascii="宋体" w:hAnsi="宋体" w:cs="宋体"/>
                <w:kern w:val="0"/>
                <w:sz w:val="18"/>
                <w:szCs w:val="18"/>
              </w:rPr>
              <w:t>磁盘</w:t>
            </w:r>
            <w:r>
              <w:rPr>
                <w:rFonts w:ascii="宋体" w:hAnsi="宋体" w:cs="宋体"/>
                <w:kern w:val="0"/>
                <w:sz w:val="18"/>
                <w:szCs w:val="18"/>
              </w:rPr>
              <w:t>阵列</w:t>
            </w:r>
          </w:p>
        </w:tc>
      </w:tr>
      <w:tr w14:paraId="5FB0836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2836370D">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6</w:t>
            </w:r>
          </w:p>
        </w:tc>
        <w:tc>
          <w:tcPr>
            <w:tcW w:w="1405" w:type="dxa"/>
            <w:vAlign w:val="center"/>
          </w:tcPr>
          <w:p w14:paraId="42EAB68E">
            <w:pPr>
              <w:adjustRightInd w:val="0"/>
              <w:snapToGrid w:val="0"/>
              <w:spacing w:before="120" w:after="120" w:line="240" w:lineRule="auto"/>
              <w:ind w:firstLine="0"/>
              <w:jc w:val="left"/>
              <w:rPr>
                <w:sz w:val="18"/>
                <w:szCs w:val="18"/>
              </w:rPr>
            </w:pPr>
            <w:r>
              <w:rPr>
                <w:rFonts w:hint="eastAsia"/>
                <w:sz w:val="18"/>
                <w:szCs w:val="18"/>
              </w:rPr>
              <w:t>阵列硬盘（二档）</w:t>
            </w:r>
          </w:p>
        </w:tc>
        <w:tc>
          <w:tcPr>
            <w:tcW w:w="6000" w:type="dxa"/>
            <w:vAlign w:val="center"/>
          </w:tcPr>
          <w:p w14:paraId="416A2E57">
            <w:pPr>
              <w:adjustRightInd w:val="0"/>
              <w:snapToGrid w:val="0"/>
              <w:spacing w:before="120" w:after="120" w:line="240" w:lineRule="auto"/>
              <w:ind w:firstLine="0"/>
              <w:rPr>
                <w:sz w:val="18"/>
                <w:szCs w:val="18"/>
              </w:rPr>
            </w:pPr>
            <w:r>
              <w:rPr>
                <w:rFonts w:hint="eastAsia"/>
                <w:sz w:val="18"/>
                <w:szCs w:val="18"/>
              </w:rPr>
              <w:t>≥8TB NL</w:t>
            </w:r>
            <w:r>
              <w:rPr>
                <w:rFonts w:hint="eastAsia"/>
                <w:sz w:val="18"/>
                <w:szCs w:val="18"/>
                <w:lang w:val="en-US" w:eastAsia="zh-CN"/>
              </w:rPr>
              <w:t>-</w:t>
            </w:r>
            <w:r>
              <w:rPr>
                <w:rFonts w:hint="eastAsia"/>
                <w:sz w:val="18"/>
                <w:szCs w:val="18"/>
              </w:rPr>
              <w:t>SAS HDD（或以上） 6Gb/s SAS</w:t>
            </w:r>
            <w:bookmarkStart w:id="93" w:name="_GoBack"/>
            <w:bookmarkEnd w:id="93"/>
            <w:r>
              <w:rPr>
                <w:rFonts w:hint="eastAsia"/>
                <w:sz w:val="18"/>
                <w:szCs w:val="18"/>
              </w:rPr>
              <w:t>硬盘，与二档磁盘阵列配合使用。</w:t>
            </w:r>
          </w:p>
          <w:p w14:paraId="2180A7C2">
            <w:pPr>
              <w:adjustRightInd w:val="0"/>
              <w:snapToGrid w:val="0"/>
              <w:spacing w:before="120" w:after="120" w:line="240" w:lineRule="auto"/>
              <w:ind w:firstLine="0"/>
              <w:jc w:val="left"/>
              <w:rPr>
                <w:sz w:val="18"/>
                <w:szCs w:val="18"/>
              </w:rPr>
            </w:pPr>
            <w:r>
              <w:rPr>
                <w:rFonts w:hint="eastAsia"/>
                <w:sz w:val="18"/>
                <w:szCs w:val="18"/>
              </w:rPr>
              <w:t>售后服务：同配套磁盘阵列</w:t>
            </w:r>
          </w:p>
        </w:tc>
      </w:tr>
      <w:tr w14:paraId="52C401E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11AD3280">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7</w:t>
            </w:r>
          </w:p>
        </w:tc>
        <w:tc>
          <w:tcPr>
            <w:tcW w:w="1405" w:type="dxa"/>
            <w:vAlign w:val="center"/>
          </w:tcPr>
          <w:p w14:paraId="3C77218E">
            <w:pPr>
              <w:adjustRightInd w:val="0"/>
              <w:snapToGrid w:val="0"/>
              <w:spacing w:before="120" w:after="120" w:line="240" w:lineRule="auto"/>
              <w:ind w:firstLine="0"/>
              <w:jc w:val="center"/>
              <w:rPr>
                <w:sz w:val="18"/>
                <w:szCs w:val="18"/>
              </w:rPr>
            </w:pPr>
            <w:r>
              <w:rPr>
                <w:rFonts w:hint="eastAsia"/>
                <w:sz w:val="18"/>
                <w:szCs w:val="18"/>
              </w:rPr>
              <w:t>24口SAN交换机（一档）</w:t>
            </w:r>
          </w:p>
        </w:tc>
        <w:tc>
          <w:tcPr>
            <w:tcW w:w="6000" w:type="dxa"/>
            <w:vAlign w:val="center"/>
          </w:tcPr>
          <w:p w14:paraId="414F223F">
            <w:pPr>
              <w:adjustRightInd w:val="0"/>
              <w:snapToGrid w:val="0"/>
              <w:spacing w:before="120" w:after="120" w:line="240" w:lineRule="auto"/>
              <w:ind w:firstLine="0"/>
              <w:jc w:val="left"/>
              <w:rPr>
                <w:color w:val="EE0000"/>
                <w:sz w:val="18"/>
                <w:szCs w:val="18"/>
                <w:lang w:val="en"/>
              </w:rPr>
            </w:pPr>
            <w:r>
              <w:rPr>
                <w:color w:val="EE0000"/>
                <w:sz w:val="18"/>
                <w:szCs w:val="18"/>
                <w:lang w:val="en"/>
              </w:rPr>
              <w:t>≥24端口，配置双电源，具有速度自动检测功能，支持32Gbps并可向后兼容16、8Gbps 光纤通道链路，24口激活（配置32Gb多模光模块），标配24根5米单模光纤跳线（可根据现场实际需要调整）</w:t>
            </w:r>
            <w:r>
              <w:rPr>
                <w:rFonts w:hint="eastAsia"/>
                <w:color w:val="EE0000"/>
                <w:sz w:val="18"/>
                <w:szCs w:val="18"/>
                <w:lang w:val="en"/>
              </w:rPr>
              <w:br w:type="textWrapping"/>
            </w:r>
            <w:r>
              <w:rPr>
                <w:color w:val="EE0000"/>
                <w:sz w:val="18"/>
                <w:szCs w:val="18"/>
                <w:lang w:val="en"/>
              </w:rPr>
              <w:t>可以使用 GUI、SNMP 和 Telnet 通过光纤网络进行远程访问和远程管理。</w:t>
            </w:r>
          </w:p>
          <w:p w14:paraId="13E1A6AD">
            <w:pPr>
              <w:adjustRightInd w:val="0"/>
              <w:snapToGrid w:val="0"/>
              <w:spacing w:before="120" w:after="120" w:line="240" w:lineRule="auto"/>
              <w:ind w:firstLine="0"/>
              <w:jc w:val="left"/>
              <w:rPr>
                <w:color w:val="EE0000"/>
                <w:sz w:val="18"/>
                <w:szCs w:val="18"/>
                <w:lang w:val="en"/>
              </w:rPr>
            </w:pPr>
            <w:r>
              <w:rPr>
                <w:color w:val="EE0000"/>
                <w:sz w:val="18"/>
                <w:szCs w:val="18"/>
                <w:lang w:val="en"/>
              </w:rPr>
              <w:t>售后服务：同配套磁盘阵列</w:t>
            </w:r>
          </w:p>
        </w:tc>
      </w:tr>
      <w:tr w14:paraId="3F70C26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4488F612">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8</w:t>
            </w:r>
          </w:p>
        </w:tc>
        <w:tc>
          <w:tcPr>
            <w:tcW w:w="1405" w:type="dxa"/>
            <w:vAlign w:val="center"/>
          </w:tcPr>
          <w:p w14:paraId="5554E881">
            <w:pPr>
              <w:adjustRightInd w:val="0"/>
              <w:snapToGrid w:val="0"/>
              <w:spacing w:before="120" w:after="120" w:line="240" w:lineRule="auto"/>
              <w:ind w:firstLine="0"/>
              <w:jc w:val="center"/>
              <w:rPr>
                <w:sz w:val="18"/>
                <w:szCs w:val="18"/>
              </w:rPr>
            </w:pPr>
            <w:r>
              <w:rPr>
                <w:rFonts w:hint="eastAsia"/>
                <w:sz w:val="18"/>
                <w:szCs w:val="18"/>
              </w:rPr>
              <w:t>24口SAN交换机（二档）</w:t>
            </w:r>
          </w:p>
        </w:tc>
        <w:tc>
          <w:tcPr>
            <w:tcW w:w="6000" w:type="dxa"/>
            <w:vAlign w:val="center"/>
          </w:tcPr>
          <w:p w14:paraId="35688025">
            <w:pPr>
              <w:adjustRightInd w:val="0"/>
              <w:snapToGrid w:val="0"/>
              <w:spacing w:before="120" w:after="120" w:line="240" w:lineRule="auto"/>
              <w:ind w:firstLine="0"/>
              <w:jc w:val="left"/>
              <w:rPr>
                <w:color w:val="EE0000"/>
                <w:sz w:val="18"/>
                <w:szCs w:val="18"/>
                <w:lang w:val="en"/>
              </w:rPr>
            </w:pPr>
            <w:r>
              <w:rPr>
                <w:color w:val="EE0000"/>
                <w:sz w:val="18"/>
                <w:szCs w:val="18"/>
                <w:lang w:val="en"/>
              </w:rPr>
              <w:t>≥24端口，配置双电源，具有速度自动检测功能，支持32Gbps并可向后兼容16、8Gbps 光纤通道链路，8口激活（配置32Gb多模光模块），标配8根5米单模光纤跳线（可根据现场实际需要调整）</w:t>
            </w:r>
            <w:r>
              <w:rPr>
                <w:rFonts w:hint="eastAsia"/>
                <w:color w:val="EE0000"/>
                <w:sz w:val="18"/>
                <w:szCs w:val="18"/>
                <w:lang w:val="en"/>
              </w:rPr>
              <w:br w:type="textWrapping"/>
            </w:r>
            <w:r>
              <w:rPr>
                <w:color w:val="EE0000"/>
                <w:sz w:val="18"/>
                <w:szCs w:val="18"/>
                <w:lang w:val="en"/>
              </w:rPr>
              <w:t>可以使用 GUI、SNMP 和 Telnet 通过光纤网络进行远程访问和远程管理。</w:t>
            </w:r>
          </w:p>
          <w:p w14:paraId="0508D8C5">
            <w:pPr>
              <w:adjustRightInd w:val="0"/>
              <w:snapToGrid w:val="0"/>
              <w:spacing w:before="120" w:after="120" w:line="240" w:lineRule="auto"/>
              <w:ind w:firstLine="0"/>
              <w:jc w:val="left"/>
              <w:rPr>
                <w:color w:val="EE0000"/>
                <w:sz w:val="18"/>
                <w:szCs w:val="18"/>
                <w:lang w:val="en"/>
              </w:rPr>
            </w:pPr>
            <w:r>
              <w:rPr>
                <w:color w:val="EE0000"/>
                <w:sz w:val="18"/>
                <w:szCs w:val="18"/>
                <w:lang w:val="en"/>
              </w:rPr>
              <w:t>售后服务：同配套磁盘阵列</w:t>
            </w:r>
          </w:p>
        </w:tc>
      </w:tr>
      <w:tr w14:paraId="17DA927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 w:hRule="atLeast"/>
        </w:trPr>
        <w:tc>
          <w:tcPr>
            <w:tcW w:w="1118" w:type="dxa"/>
            <w:vAlign w:val="center"/>
          </w:tcPr>
          <w:p w14:paraId="63DFA6AA">
            <w:pPr>
              <w:adjustRightInd w:val="0"/>
              <w:snapToGrid w:val="0"/>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9</w:t>
            </w:r>
          </w:p>
        </w:tc>
        <w:tc>
          <w:tcPr>
            <w:tcW w:w="1405" w:type="dxa"/>
            <w:vAlign w:val="center"/>
          </w:tcPr>
          <w:p w14:paraId="1609A426">
            <w:pPr>
              <w:adjustRightInd w:val="0"/>
              <w:snapToGrid w:val="0"/>
              <w:spacing w:before="120" w:after="120" w:line="240" w:lineRule="auto"/>
              <w:ind w:firstLine="0"/>
              <w:jc w:val="center"/>
              <w:rPr>
                <w:rFonts w:hint="eastAsia" w:ascii="宋体" w:hAnsi="宋体" w:cs="宋体"/>
                <w:sz w:val="18"/>
                <w:szCs w:val="18"/>
              </w:rPr>
            </w:pPr>
            <w:r>
              <w:rPr>
                <w:rFonts w:hint="eastAsia"/>
                <w:sz w:val="18"/>
                <w:szCs w:val="18"/>
              </w:rPr>
              <w:t>48口SAN交换机</w:t>
            </w:r>
          </w:p>
        </w:tc>
        <w:tc>
          <w:tcPr>
            <w:tcW w:w="6000" w:type="dxa"/>
            <w:vAlign w:val="center"/>
          </w:tcPr>
          <w:p w14:paraId="0AEAF7DC">
            <w:pPr>
              <w:adjustRightInd w:val="0"/>
              <w:snapToGrid w:val="0"/>
              <w:spacing w:before="120" w:after="120" w:line="240" w:lineRule="auto"/>
              <w:ind w:firstLine="0"/>
              <w:jc w:val="left"/>
              <w:rPr>
                <w:color w:val="EE0000"/>
                <w:sz w:val="18"/>
                <w:szCs w:val="18"/>
                <w:lang w:val="en"/>
              </w:rPr>
            </w:pPr>
            <w:r>
              <w:rPr>
                <w:color w:val="EE0000"/>
                <w:sz w:val="18"/>
                <w:szCs w:val="18"/>
                <w:lang w:val="en"/>
              </w:rPr>
              <w:t>≥</w:t>
            </w:r>
            <w:r>
              <w:rPr>
                <w:rFonts w:hint="eastAsia"/>
                <w:color w:val="EE0000"/>
                <w:sz w:val="18"/>
                <w:szCs w:val="18"/>
                <w:lang w:val="en"/>
              </w:rPr>
              <w:t>48</w:t>
            </w:r>
            <w:r>
              <w:rPr>
                <w:color w:val="EE0000"/>
                <w:sz w:val="18"/>
                <w:szCs w:val="18"/>
                <w:lang w:val="en"/>
              </w:rPr>
              <w:t>端口，配置双电源，具有速度自动检测功能，支持64Gbps并可向后兼容32、16、8Gbps光纤通道链路，48口激活（配置32Gb多模光模块），标配48根5米单模光纤跳线（可根据现场实际需要调整）</w:t>
            </w:r>
            <w:r>
              <w:rPr>
                <w:rFonts w:hint="eastAsia"/>
                <w:color w:val="EE0000"/>
                <w:sz w:val="18"/>
                <w:szCs w:val="18"/>
                <w:lang w:val="en"/>
              </w:rPr>
              <w:br w:type="textWrapping"/>
            </w:r>
            <w:r>
              <w:rPr>
                <w:color w:val="EE0000"/>
                <w:sz w:val="18"/>
                <w:szCs w:val="18"/>
                <w:lang w:val="en"/>
              </w:rPr>
              <w:t>可以使用 GUI、SNMP 和 Telnet 通过光纤网络进行远程访问和远程管理。</w:t>
            </w:r>
          </w:p>
          <w:p w14:paraId="73337348">
            <w:pPr>
              <w:adjustRightInd w:val="0"/>
              <w:snapToGrid w:val="0"/>
              <w:spacing w:before="120" w:after="120" w:line="240" w:lineRule="auto"/>
              <w:ind w:firstLine="0"/>
              <w:jc w:val="left"/>
              <w:rPr>
                <w:sz w:val="18"/>
                <w:szCs w:val="18"/>
                <w:lang w:val="en"/>
              </w:rPr>
            </w:pPr>
            <w:r>
              <w:rPr>
                <w:color w:val="EE0000"/>
                <w:sz w:val="18"/>
                <w:szCs w:val="18"/>
                <w:lang w:val="en"/>
              </w:rPr>
              <w:t>售后服务：同配套磁盘阵列</w:t>
            </w:r>
          </w:p>
        </w:tc>
      </w:tr>
    </w:tbl>
    <w:p w14:paraId="3732664E">
      <w:pPr>
        <w:spacing w:before="120" w:after="120"/>
        <w:ind w:firstLine="480"/>
      </w:pPr>
    </w:p>
    <w:p w14:paraId="238B8E36">
      <w:pPr>
        <w:pStyle w:val="7"/>
        <w:widowControl/>
        <w:spacing w:line="360" w:lineRule="auto"/>
      </w:pPr>
      <w:r>
        <w:rPr>
          <w:rFonts w:hint="eastAsia"/>
        </w:rPr>
        <w:t>网络设施配置要求</w:t>
      </w:r>
    </w:p>
    <w:p w14:paraId="3BDB7938">
      <w:pPr>
        <w:pStyle w:val="409"/>
        <w:snapToGrid/>
        <w:spacing w:before="120" w:after="120" w:line="360" w:lineRule="auto"/>
        <w:ind w:firstLine="480"/>
        <w:rPr>
          <w:rFonts w:hint="eastAsia"/>
          <w:sz w:val="24"/>
          <w:szCs w:val="24"/>
        </w:rPr>
      </w:pPr>
      <w:r>
        <w:rPr>
          <w:rFonts w:hint="eastAsia"/>
          <w:sz w:val="24"/>
          <w:szCs w:val="24"/>
        </w:rPr>
        <w:t>网络设施包括路由器、交换机及网络连接线缆，最低配置要求如下表所示，</w:t>
      </w:r>
      <w:r>
        <w:rPr>
          <w:sz w:val="24"/>
          <w:szCs w:val="24"/>
        </w:rPr>
        <w:t>产品应满足或不低于该配置要求</w:t>
      </w:r>
      <w:r>
        <w:rPr>
          <w:rFonts w:hint="eastAsia"/>
          <w:sz w:val="24"/>
          <w:szCs w:val="24"/>
        </w:rPr>
        <w:t xml:space="preserve">： </w:t>
      </w:r>
    </w:p>
    <w:tbl>
      <w:tblPr>
        <w:tblStyle w:val="46"/>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1520"/>
        <w:gridCol w:w="6494"/>
      </w:tblGrid>
      <w:tr w14:paraId="07D0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blHeader/>
        </w:trPr>
        <w:tc>
          <w:tcPr>
            <w:tcW w:w="1210" w:type="dxa"/>
            <w:vAlign w:val="center"/>
          </w:tcPr>
          <w:p w14:paraId="6DC63DBF">
            <w:pPr>
              <w:spacing w:before="120" w:after="12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序号</w:t>
            </w:r>
          </w:p>
        </w:tc>
        <w:tc>
          <w:tcPr>
            <w:tcW w:w="1520" w:type="dxa"/>
            <w:vAlign w:val="center"/>
          </w:tcPr>
          <w:p w14:paraId="693BB182">
            <w:pPr>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设备名称</w:t>
            </w:r>
          </w:p>
        </w:tc>
        <w:tc>
          <w:tcPr>
            <w:tcW w:w="6494" w:type="dxa"/>
            <w:vAlign w:val="center"/>
          </w:tcPr>
          <w:p w14:paraId="3215C270">
            <w:pPr>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技术要求</w:t>
            </w:r>
          </w:p>
        </w:tc>
      </w:tr>
      <w:tr w14:paraId="4386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77F909FC">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w:t>
            </w:r>
          </w:p>
        </w:tc>
        <w:tc>
          <w:tcPr>
            <w:tcW w:w="1520" w:type="dxa"/>
            <w:vAlign w:val="center"/>
          </w:tcPr>
          <w:p w14:paraId="28010587">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核心交换机(一档1类)</w:t>
            </w:r>
          </w:p>
        </w:tc>
        <w:tc>
          <w:tcPr>
            <w:tcW w:w="6494" w:type="dxa"/>
            <w:vAlign w:val="center"/>
          </w:tcPr>
          <w:p w14:paraId="4A3DE4FC">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74D6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1576EEA2">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1</w:t>
            </w:r>
          </w:p>
        </w:tc>
        <w:tc>
          <w:tcPr>
            <w:tcW w:w="1520" w:type="dxa"/>
            <w:vAlign w:val="center"/>
          </w:tcPr>
          <w:p w14:paraId="0EAD8696">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核心交换机(一档1类)</w:t>
            </w:r>
          </w:p>
        </w:tc>
        <w:tc>
          <w:tcPr>
            <w:tcW w:w="6494" w:type="dxa"/>
            <w:vAlign w:val="center"/>
          </w:tcPr>
          <w:p w14:paraId="3210D1C7">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交换机采用同一品牌；</w:t>
            </w:r>
          </w:p>
          <w:p w14:paraId="4A4C9C5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不低于以下要求：</w:t>
            </w:r>
          </w:p>
          <w:p w14:paraId="78171976">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机架式安装，可安装到工业标准机柜中，含机架安装套件；全分布式处理，主控引擎和交换网板物理分离，支持可扩展物理独立交换网板不少于4块；</w:t>
            </w:r>
          </w:p>
          <w:p w14:paraId="2938ABDF">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3层万兆骨干核心交换；</w:t>
            </w:r>
          </w:p>
          <w:p w14:paraId="7E2641FB">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配置冗余主控和冗余交换网板，满配主控和交换网板；</w:t>
            </w:r>
          </w:p>
          <w:p w14:paraId="1CBE2E53">
            <w:pPr>
              <w:adjustRightInd w:val="0"/>
              <w:snapToGrid w:val="0"/>
              <w:spacing w:before="0" w:after="0" w:line="240" w:lineRule="auto"/>
              <w:ind w:firstLine="0"/>
              <w:jc w:val="left"/>
              <w:rPr>
                <w:highlight w:val="yellow"/>
              </w:rPr>
            </w:pPr>
            <w:r>
              <w:rPr>
                <w:color w:val="000000" w:themeColor="text1"/>
                <w:kern w:val="0"/>
                <w:sz w:val="18"/>
                <w:szCs w:val="18"/>
                <w:highlight w:val="yellow"/>
                <w14:textFill>
                  <w14:solidFill>
                    <w14:schemeClr w14:val="tx1"/>
                  </w14:solidFill>
                </w14:textFill>
              </w:rPr>
              <w:t>配置冗余交流电源模块及冗余风扇模块；电源和风扇满配；设备机箱（包括业务板卡区）宜采用后出风风道设计；</w:t>
            </w:r>
          </w:p>
          <w:p w14:paraId="4703EE9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w:t>
            </w:r>
            <w:r>
              <w:rPr>
                <w:rFonts w:hint="eastAsia"/>
                <w:color w:val="000000" w:themeColor="text1"/>
                <w:kern w:val="0"/>
                <w:sz w:val="18"/>
                <w:szCs w:val="18"/>
                <w:highlight w:val="yellow"/>
                <w14:textFill>
                  <w14:solidFill>
                    <w14:schemeClr w14:val="tx1"/>
                  </w14:solidFill>
                </w14:textFill>
              </w:rPr>
              <w:t>24</w:t>
            </w:r>
            <w:r>
              <w:rPr>
                <w:color w:val="000000" w:themeColor="text1"/>
                <w:kern w:val="0"/>
                <w:sz w:val="18"/>
                <w:szCs w:val="18"/>
                <w:highlight w:val="yellow"/>
                <w14:textFill>
                  <w14:solidFill>
                    <w14:schemeClr w14:val="tx1"/>
                  </w14:solidFill>
                </w14:textFill>
              </w:rPr>
              <w:t>个10/100/1000M自适应电口，支持扩展到</w:t>
            </w:r>
            <w:r>
              <w:rPr>
                <w:rFonts w:hint="eastAsia"/>
                <w:color w:val="000000" w:themeColor="text1"/>
                <w:kern w:val="0"/>
                <w:sz w:val="18"/>
                <w:szCs w:val="18"/>
                <w:highlight w:val="yellow"/>
                <w14:textFill>
                  <w14:solidFill>
                    <w14:schemeClr w14:val="tx1"/>
                  </w14:solidFill>
                </w14:textFill>
              </w:rPr>
              <w:t>96</w:t>
            </w:r>
            <w:r>
              <w:rPr>
                <w:color w:val="000000" w:themeColor="text1"/>
                <w:kern w:val="0"/>
                <w:sz w:val="18"/>
                <w:szCs w:val="18"/>
                <w:highlight w:val="yellow"/>
                <w14:textFill>
                  <w14:solidFill>
                    <w14:schemeClr w14:val="tx1"/>
                  </w14:solidFill>
                </w14:textFill>
              </w:rPr>
              <w:t>个以上；</w:t>
            </w:r>
          </w:p>
          <w:p w14:paraId="7CE5A2F2">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w:t>
            </w:r>
            <w:r>
              <w:rPr>
                <w:rFonts w:hint="eastAsia"/>
                <w:color w:val="000000" w:themeColor="text1"/>
                <w:kern w:val="0"/>
                <w:sz w:val="18"/>
                <w:szCs w:val="18"/>
                <w:highlight w:val="yellow"/>
                <w14:textFill>
                  <w14:solidFill>
                    <w14:schemeClr w14:val="tx1"/>
                  </w14:solidFill>
                </w14:textFill>
              </w:rPr>
              <w:t>24</w:t>
            </w:r>
            <w:r>
              <w:rPr>
                <w:color w:val="000000" w:themeColor="text1"/>
                <w:kern w:val="0"/>
                <w:sz w:val="18"/>
                <w:szCs w:val="18"/>
                <w:highlight w:val="yellow"/>
                <w14:textFill>
                  <w14:solidFill>
                    <w14:schemeClr w14:val="tx1"/>
                  </w14:solidFill>
                </w14:textFill>
              </w:rPr>
              <w:t>个千兆光纤接口（本期配置至少24个千兆</w:t>
            </w:r>
            <w:r>
              <w:rPr>
                <w:rFonts w:hint="eastAsia"/>
                <w:color w:val="000000" w:themeColor="text1"/>
                <w:kern w:val="0"/>
                <w:sz w:val="18"/>
                <w:szCs w:val="18"/>
                <w:highlight w:val="yellow"/>
                <w14:textFill>
                  <w14:solidFill>
                    <w14:schemeClr w14:val="tx1"/>
                  </w14:solidFill>
                </w14:textFill>
              </w:rPr>
              <w:t>单</w:t>
            </w:r>
            <w:r>
              <w:rPr>
                <w:color w:val="000000" w:themeColor="text1"/>
                <w:kern w:val="0"/>
                <w:sz w:val="18"/>
                <w:szCs w:val="18"/>
                <w:highlight w:val="yellow"/>
                <w14:textFill>
                  <w14:solidFill>
                    <w14:schemeClr w14:val="tx1"/>
                  </w14:solidFill>
                </w14:textFill>
              </w:rPr>
              <w:t>模光模块），支持扩展到96个以上；</w:t>
            </w:r>
          </w:p>
          <w:p w14:paraId="10A91AA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配置不少于96个万兆光纤接口（本期配置4个万兆单模光模块，72个万兆多模光模块），支持扩展到192个以上；</w:t>
            </w:r>
          </w:p>
          <w:p w14:paraId="4270FC98">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rFonts w:hint="eastAsia"/>
                <w:color w:val="000000" w:themeColor="text1"/>
                <w:kern w:val="0"/>
                <w:sz w:val="18"/>
                <w:szCs w:val="18"/>
                <w:highlight w:val="yellow"/>
                <w14:textFill>
                  <w14:solidFill>
                    <w14:schemeClr w14:val="tx1"/>
                  </w14:solidFill>
                </w14:textFill>
              </w:rPr>
              <w:t>配置不少于4个100GE</w:t>
            </w:r>
            <w:r>
              <w:rPr>
                <w:color w:val="000000" w:themeColor="text1"/>
                <w:kern w:val="0"/>
                <w:sz w:val="18"/>
                <w:szCs w:val="18"/>
                <w:highlight w:val="yellow"/>
                <w14:textFill>
                  <w14:solidFill>
                    <w14:schemeClr w14:val="tx1"/>
                  </w14:solidFill>
                </w14:textFill>
              </w:rPr>
              <w:t>光纤接口（本期配置4个</w:t>
            </w:r>
            <w:r>
              <w:rPr>
                <w:rFonts w:hint="eastAsia"/>
                <w:color w:val="000000" w:themeColor="text1"/>
                <w:kern w:val="0"/>
                <w:sz w:val="18"/>
                <w:szCs w:val="18"/>
                <w:highlight w:val="yellow"/>
                <w14:textFill>
                  <w14:solidFill>
                    <w14:schemeClr w14:val="tx1"/>
                  </w14:solidFill>
                </w14:textFill>
              </w:rPr>
              <w:t>100GE多模光模块</w:t>
            </w:r>
            <w:r>
              <w:rPr>
                <w:color w:val="000000" w:themeColor="text1"/>
                <w:kern w:val="0"/>
                <w:sz w:val="18"/>
                <w:szCs w:val="18"/>
                <w:highlight w:val="yellow"/>
                <w14:textFill>
                  <w14:solidFill>
                    <w14:schemeClr w14:val="tx1"/>
                  </w14:solidFill>
                </w14:textFill>
              </w:rPr>
              <w:t>），支持扩展到</w:t>
            </w:r>
            <w:r>
              <w:rPr>
                <w:rFonts w:hint="eastAsia"/>
                <w:color w:val="000000" w:themeColor="text1"/>
                <w:kern w:val="0"/>
                <w:sz w:val="18"/>
                <w:szCs w:val="18"/>
                <w:highlight w:val="yellow"/>
                <w14:textFill>
                  <w14:solidFill>
                    <w14:schemeClr w14:val="tx1"/>
                  </w14:solidFill>
                </w14:textFill>
              </w:rPr>
              <w:t>12</w:t>
            </w:r>
            <w:r>
              <w:rPr>
                <w:color w:val="000000" w:themeColor="text1"/>
                <w:kern w:val="0"/>
                <w:sz w:val="18"/>
                <w:szCs w:val="18"/>
                <w:highlight w:val="yellow"/>
                <w14:textFill>
                  <w14:solidFill>
                    <w14:schemeClr w14:val="tx1"/>
                  </w14:solidFill>
                </w14:textFill>
              </w:rPr>
              <w:t>个以上；</w:t>
            </w:r>
          </w:p>
          <w:p w14:paraId="03973155">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业务槽位数≥7；</w:t>
            </w:r>
          </w:p>
          <w:p w14:paraId="5A4C42C0">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交换容量≥24Tbps；</w:t>
            </w:r>
          </w:p>
          <w:p w14:paraId="3AA9946B">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二、三层包转发能力≥4096Mpps；</w:t>
            </w:r>
          </w:p>
          <w:p w14:paraId="16AFB07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每槽带宽≥480Gbps；</w:t>
            </w:r>
          </w:p>
          <w:p w14:paraId="6D1114F9">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支持VLAN数目≥4K；</w:t>
            </w:r>
          </w:p>
          <w:p w14:paraId="435E958F">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支持静态、RIP、OSPF、IS-IS、BGP、LDP等协议；</w:t>
            </w:r>
          </w:p>
          <w:p w14:paraId="1E9C6797">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支持RIPng、OSPFv6、IS-ISv6、BGP4+forIPv6等路由协议；</w:t>
            </w:r>
          </w:p>
          <w:p w14:paraId="713EE11F">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所有模块支持IPv4、IPv6路由转发；</w:t>
            </w:r>
          </w:p>
          <w:p w14:paraId="144F573A">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支持VLAN间的访问控制列表；</w:t>
            </w:r>
          </w:p>
          <w:p w14:paraId="42D21460">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必须支持流量采集功能；</w:t>
            </w:r>
          </w:p>
          <w:p w14:paraId="10648B95">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支持跨板流量镜像功能；</w:t>
            </w:r>
          </w:p>
          <w:p w14:paraId="7C4B8B66">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提供广播风暴抑制功能；</w:t>
            </w:r>
          </w:p>
          <w:p w14:paraId="792FB1B3">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支持在线设备批量补丁，配置文件，启动文件等自动按需下发升级；支持坏件零配置更换升级；</w:t>
            </w:r>
          </w:p>
          <w:p w14:paraId="35C124BA">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支持N:1虚拟化，实现跨设备链路捆绑；</w:t>
            </w:r>
          </w:p>
          <w:p w14:paraId="4DAAC16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支持本机和远端交换机的端口镜像功能；</w:t>
            </w:r>
          </w:p>
          <w:p w14:paraId="2ACB1B83">
            <w:pPr>
              <w:adjustRightInd w:val="0"/>
              <w:snapToGrid w:val="0"/>
              <w:spacing w:before="0" w:after="0" w:line="240" w:lineRule="auto"/>
              <w:ind w:firstLine="0"/>
              <w:jc w:val="left"/>
              <w:rPr>
                <w:color w:val="FF0000"/>
                <w:kern w:val="0"/>
                <w:sz w:val="18"/>
                <w:szCs w:val="18"/>
                <w:highlight w:val="yellow"/>
              </w:rPr>
            </w:pPr>
            <w:r>
              <w:rPr>
                <w:color w:val="FF0000"/>
                <w:kern w:val="0"/>
                <w:sz w:val="18"/>
                <w:szCs w:val="18"/>
                <w:highlight w:val="yellow"/>
              </w:rPr>
              <w:t>黑启动时间宜≤10min；</w:t>
            </w:r>
          </w:p>
          <w:p w14:paraId="4CEB2ACF">
            <w:pPr>
              <w:spacing w:before="0" w:after="0" w:line="240" w:lineRule="auto"/>
              <w:ind w:firstLine="0"/>
              <w:jc w:val="left"/>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售后服务：设备到货验收合格后，原厂提供5年免费上门维修服务，人工、配件、交通等任何费用全免；每天24小时、每周7天，4小时到现场的原厂商支持；提供原厂授权和原厂服务承诺函。</w:t>
            </w:r>
          </w:p>
        </w:tc>
      </w:tr>
      <w:tr w14:paraId="7850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5684A561">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2</w:t>
            </w:r>
          </w:p>
        </w:tc>
        <w:tc>
          <w:tcPr>
            <w:tcW w:w="1520" w:type="dxa"/>
            <w:vAlign w:val="center"/>
          </w:tcPr>
          <w:p w14:paraId="39C96A42">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核心交换机(一档2类)</w:t>
            </w:r>
          </w:p>
        </w:tc>
        <w:tc>
          <w:tcPr>
            <w:tcW w:w="6494" w:type="dxa"/>
            <w:vAlign w:val="center"/>
          </w:tcPr>
          <w:p w14:paraId="7EFE2EA7">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10B5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4D843C16">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2</w:t>
            </w:r>
          </w:p>
        </w:tc>
        <w:tc>
          <w:tcPr>
            <w:tcW w:w="1520" w:type="dxa"/>
            <w:vAlign w:val="center"/>
          </w:tcPr>
          <w:p w14:paraId="6501E431">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核心交换机(一档2类)</w:t>
            </w:r>
          </w:p>
        </w:tc>
        <w:tc>
          <w:tcPr>
            <w:tcW w:w="6494" w:type="dxa"/>
            <w:vAlign w:val="center"/>
          </w:tcPr>
          <w:p w14:paraId="149C2197">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交换机采用同一品牌；</w:t>
            </w:r>
          </w:p>
          <w:p w14:paraId="44C16603">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不低于以下要求：</w:t>
            </w:r>
          </w:p>
          <w:p w14:paraId="4A7357DB">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机架式安装，可安装到工业标准机柜中，含机架安装套件；全分布式处理，主控引擎和交换网板物理分离，支持可扩展物理独立交换网板不少于2块；</w:t>
            </w:r>
          </w:p>
          <w:p w14:paraId="45FE536F">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3层万兆骨干核心交换；</w:t>
            </w:r>
          </w:p>
          <w:p w14:paraId="48D3B239">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配置冗余主控和冗余交换网板，满配主控和交换网板；</w:t>
            </w:r>
          </w:p>
          <w:p w14:paraId="7C6919EF">
            <w:pPr>
              <w:adjustRightInd w:val="0"/>
              <w:snapToGrid w:val="0"/>
              <w:spacing w:before="0" w:after="0" w:line="240" w:lineRule="auto"/>
              <w:ind w:firstLine="0"/>
              <w:jc w:val="left"/>
              <w:rPr>
                <w:highlight w:val="yellow"/>
              </w:rPr>
            </w:pPr>
            <w:r>
              <w:rPr>
                <w:color w:val="000000" w:themeColor="text1"/>
                <w:kern w:val="0"/>
                <w:sz w:val="18"/>
                <w:szCs w:val="18"/>
                <w:highlight w:val="yellow"/>
                <w14:textFill>
                  <w14:solidFill>
                    <w14:schemeClr w14:val="tx1"/>
                  </w14:solidFill>
                </w14:textFill>
              </w:rPr>
              <w:t>配置冗余交流电源模块及冗余风扇模块；电源和风扇满配；设备机箱（包括业务板卡区）宜采用后出风风道设计；</w:t>
            </w:r>
          </w:p>
          <w:p w14:paraId="6714CEDF">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w:t>
            </w:r>
            <w:r>
              <w:rPr>
                <w:rFonts w:hint="eastAsia"/>
                <w:color w:val="000000" w:themeColor="text1"/>
                <w:kern w:val="0"/>
                <w:sz w:val="18"/>
                <w:szCs w:val="18"/>
                <w:highlight w:val="yellow"/>
                <w14:textFill>
                  <w14:solidFill>
                    <w14:schemeClr w14:val="tx1"/>
                  </w14:solidFill>
                </w14:textFill>
              </w:rPr>
              <w:t>24</w:t>
            </w:r>
            <w:r>
              <w:rPr>
                <w:color w:val="000000" w:themeColor="text1"/>
                <w:kern w:val="0"/>
                <w:sz w:val="18"/>
                <w:szCs w:val="18"/>
                <w:highlight w:val="yellow"/>
                <w14:textFill>
                  <w14:solidFill>
                    <w14:schemeClr w14:val="tx1"/>
                  </w14:solidFill>
                </w14:textFill>
              </w:rPr>
              <w:t>个10/100/1000M自适应电口，支持扩展到</w:t>
            </w:r>
            <w:r>
              <w:rPr>
                <w:rFonts w:hint="eastAsia"/>
                <w:color w:val="000000" w:themeColor="text1"/>
                <w:kern w:val="0"/>
                <w:sz w:val="18"/>
                <w:szCs w:val="18"/>
                <w:highlight w:val="yellow"/>
                <w14:textFill>
                  <w14:solidFill>
                    <w14:schemeClr w14:val="tx1"/>
                  </w14:solidFill>
                </w14:textFill>
              </w:rPr>
              <w:t>96</w:t>
            </w:r>
            <w:r>
              <w:rPr>
                <w:color w:val="000000" w:themeColor="text1"/>
                <w:kern w:val="0"/>
                <w:sz w:val="18"/>
                <w:szCs w:val="18"/>
                <w:highlight w:val="yellow"/>
                <w14:textFill>
                  <w14:solidFill>
                    <w14:schemeClr w14:val="tx1"/>
                  </w14:solidFill>
                </w14:textFill>
              </w:rPr>
              <w:t>个以上；</w:t>
            </w:r>
          </w:p>
          <w:p w14:paraId="2451345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配置不少于24个千兆光纤接口（本期配置至少12个千兆</w:t>
            </w:r>
            <w:r>
              <w:rPr>
                <w:rFonts w:hint="eastAsia"/>
                <w:color w:val="000000" w:themeColor="text1"/>
                <w:kern w:val="0"/>
                <w:sz w:val="18"/>
                <w:szCs w:val="18"/>
                <w:highlight w:val="yellow"/>
                <w14:textFill>
                  <w14:solidFill>
                    <w14:schemeClr w14:val="tx1"/>
                  </w14:solidFill>
                </w14:textFill>
              </w:rPr>
              <w:t>单</w:t>
            </w:r>
            <w:r>
              <w:rPr>
                <w:color w:val="000000" w:themeColor="text1"/>
                <w:kern w:val="0"/>
                <w:sz w:val="18"/>
                <w:szCs w:val="18"/>
                <w:highlight w:val="yellow"/>
                <w14:textFill>
                  <w14:solidFill>
                    <w14:schemeClr w14:val="tx1"/>
                  </w14:solidFill>
                </w14:textFill>
              </w:rPr>
              <w:t>模光模块），支持扩展到96个以上；</w:t>
            </w:r>
          </w:p>
          <w:p w14:paraId="5A5142E5">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配置不少于64个万兆光纤接口（本期配置4个万兆单模光模块，48个万兆多模光模块），支持扩展到192个以上；</w:t>
            </w:r>
          </w:p>
          <w:p w14:paraId="7A8036D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业务槽位数≥7；</w:t>
            </w:r>
          </w:p>
          <w:p w14:paraId="23C596CD">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交换容量≥24Tbps；</w:t>
            </w:r>
          </w:p>
          <w:p w14:paraId="6E36FA21">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二、三层包转发能力≥4096Mpps；</w:t>
            </w:r>
          </w:p>
          <w:p w14:paraId="4E26C50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每槽带宽≥480Gbps；</w:t>
            </w:r>
          </w:p>
          <w:p w14:paraId="4060FC33">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支持VLAN数目≥4K；</w:t>
            </w:r>
          </w:p>
          <w:p w14:paraId="63B810E2">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支持静态、RIP、OSPF、IS-IS、BGP、LDP等协议；</w:t>
            </w:r>
          </w:p>
          <w:p w14:paraId="276C9E92">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支持RIPng、OSPFv6、IS-ISv6、BGP4+forIPv6等路由协议；</w:t>
            </w:r>
          </w:p>
          <w:p w14:paraId="0D0C132B">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所有模块支持IPv4、IPv6路由转发；</w:t>
            </w:r>
          </w:p>
          <w:p w14:paraId="2348211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支持VLAN间的访问控制列表；</w:t>
            </w:r>
          </w:p>
          <w:p w14:paraId="2129C88B">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必须支持流量采集功能；</w:t>
            </w:r>
          </w:p>
          <w:p w14:paraId="5AFF52E3">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支持跨板流量镜像功能；</w:t>
            </w:r>
          </w:p>
          <w:p w14:paraId="101BB8DE">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提供广播风暴抑制功能；</w:t>
            </w:r>
          </w:p>
          <w:p w14:paraId="128FCD6E">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支持在线设备批量补丁，配置文件，启动文件等自动按需下发升级；支持坏件零配置更换升级；</w:t>
            </w:r>
          </w:p>
          <w:p w14:paraId="31C8B1F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支持N:1虚拟化，实现跨设备链路捆绑；</w:t>
            </w:r>
          </w:p>
          <w:p w14:paraId="7B5FB1EF">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支持本机和远端交换机的端口镜像功能；</w:t>
            </w:r>
          </w:p>
          <w:p w14:paraId="213A04EE">
            <w:pPr>
              <w:adjustRightInd w:val="0"/>
              <w:snapToGrid w:val="0"/>
              <w:spacing w:before="0" w:after="0" w:line="240" w:lineRule="auto"/>
              <w:ind w:firstLine="0"/>
              <w:jc w:val="left"/>
              <w:rPr>
                <w:color w:val="FF0000"/>
                <w:highlight w:val="yellow"/>
              </w:rPr>
            </w:pPr>
            <w:r>
              <w:rPr>
                <w:color w:val="FF0000"/>
                <w:kern w:val="0"/>
                <w:sz w:val="18"/>
                <w:szCs w:val="18"/>
                <w:highlight w:val="yellow"/>
              </w:rPr>
              <w:t>黑启动时间宜≤10min；</w:t>
            </w:r>
          </w:p>
          <w:p w14:paraId="49DBCF8A">
            <w:pPr>
              <w:spacing w:before="0" w:after="0" w:line="240" w:lineRule="auto"/>
              <w:ind w:firstLine="0"/>
              <w:jc w:val="left"/>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售后服务：设备到货验收合格后，原厂提供5年免费上门维修服务，人工、配件、交通等任何费用全免；每天24小时、每周7天，4小时到现场的原厂商支持；提供原厂授权和原厂服务承诺函。</w:t>
            </w:r>
          </w:p>
        </w:tc>
      </w:tr>
      <w:tr w14:paraId="40613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26AD55D0">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3</w:t>
            </w:r>
          </w:p>
        </w:tc>
        <w:tc>
          <w:tcPr>
            <w:tcW w:w="1520" w:type="dxa"/>
            <w:vAlign w:val="center"/>
          </w:tcPr>
          <w:p w14:paraId="62C1CECC">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核心交换机(一档</w:t>
            </w:r>
            <w:r>
              <w:rPr>
                <w:rFonts w:ascii="宋体" w:hAnsi="宋体" w:cs="宋体"/>
                <w:kern w:val="0"/>
                <w:sz w:val="18"/>
                <w:szCs w:val="18"/>
                <w:highlight w:val="yellow"/>
              </w:rPr>
              <w:t>3</w:t>
            </w:r>
            <w:r>
              <w:rPr>
                <w:rFonts w:hint="eastAsia" w:ascii="宋体" w:hAnsi="宋体" w:cs="宋体"/>
                <w:kern w:val="0"/>
                <w:sz w:val="18"/>
                <w:szCs w:val="18"/>
                <w:highlight w:val="yellow"/>
              </w:rPr>
              <w:t>类)</w:t>
            </w:r>
          </w:p>
        </w:tc>
        <w:tc>
          <w:tcPr>
            <w:tcW w:w="6494" w:type="dxa"/>
            <w:vAlign w:val="center"/>
          </w:tcPr>
          <w:p w14:paraId="402757D4">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4DCB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6BF583BD">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3</w:t>
            </w:r>
          </w:p>
        </w:tc>
        <w:tc>
          <w:tcPr>
            <w:tcW w:w="1520" w:type="dxa"/>
            <w:vAlign w:val="center"/>
          </w:tcPr>
          <w:p w14:paraId="44CBD88E">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核心交换机(一档</w:t>
            </w:r>
            <w:r>
              <w:rPr>
                <w:rFonts w:ascii="宋体" w:hAnsi="宋体" w:cs="宋体"/>
                <w:kern w:val="0"/>
                <w:sz w:val="18"/>
                <w:szCs w:val="18"/>
                <w:highlight w:val="yellow"/>
              </w:rPr>
              <w:t>3</w:t>
            </w:r>
            <w:r>
              <w:rPr>
                <w:rFonts w:hint="eastAsia" w:ascii="宋体" w:hAnsi="宋体" w:cs="宋体"/>
                <w:kern w:val="0"/>
                <w:sz w:val="18"/>
                <w:szCs w:val="18"/>
                <w:highlight w:val="yellow"/>
              </w:rPr>
              <w:t>类)</w:t>
            </w:r>
          </w:p>
        </w:tc>
        <w:tc>
          <w:tcPr>
            <w:tcW w:w="6494" w:type="dxa"/>
            <w:vAlign w:val="center"/>
          </w:tcPr>
          <w:p w14:paraId="5B3F92D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交换机采用同一品牌；</w:t>
            </w:r>
          </w:p>
          <w:p w14:paraId="30F0C7A7">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不低于以下要求：</w:t>
            </w:r>
          </w:p>
          <w:p w14:paraId="20281614">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机架式安装，可安装到工业标准机柜中，含机架安装套件；全分布式处理，主控引擎和交换网板物理分离，支持可扩展物理独立交换网板不少于2块；</w:t>
            </w:r>
          </w:p>
          <w:p w14:paraId="3CE3D0E3">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3层万兆骨干核心交换；</w:t>
            </w:r>
          </w:p>
          <w:p w14:paraId="0AD16338">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配置冗余主控和冗余交换网板，满配主控和交换网板；</w:t>
            </w:r>
          </w:p>
          <w:p w14:paraId="1DD80B27">
            <w:pPr>
              <w:adjustRightInd w:val="0"/>
              <w:snapToGrid w:val="0"/>
              <w:spacing w:before="0" w:after="0" w:line="240" w:lineRule="auto"/>
              <w:ind w:firstLine="0"/>
              <w:jc w:val="left"/>
              <w:rPr>
                <w:highlight w:val="yellow"/>
              </w:rPr>
            </w:pPr>
            <w:r>
              <w:rPr>
                <w:color w:val="000000" w:themeColor="text1"/>
                <w:kern w:val="0"/>
                <w:sz w:val="18"/>
                <w:szCs w:val="18"/>
                <w:highlight w:val="yellow"/>
                <w14:textFill>
                  <w14:solidFill>
                    <w14:schemeClr w14:val="tx1"/>
                  </w14:solidFill>
                </w14:textFill>
              </w:rPr>
              <w:t>配置冗余交流电源模块及冗余风扇模块；电源和风扇满配；设备机箱（包括业务板卡区）宜采用后出风风道设计；</w:t>
            </w:r>
          </w:p>
          <w:p w14:paraId="0430864D">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w:t>
            </w:r>
            <w:r>
              <w:rPr>
                <w:rFonts w:hint="eastAsia"/>
                <w:color w:val="000000" w:themeColor="text1"/>
                <w:kern w:val="0"/>
                <w:sz w:val="18"/>
                <w:szCs w:val="18"/>
                <w:highlight w:val="yellow"/>
                <w14:textFill>
                  <w14:solidFill>
                    <w14:schemeClr w14:val="tx1"/>
                  </w14:solidFill>
                </w14:textFill>
              </w:rPr>
              <w:t>12</w:t>
            </w:r>
            <w:r>
              <w:rPr>
                <w:color w:val="000000" w:themeColor="text1"/>
                <w:kern w:val="0"/>
                <w:sz w:val="18"/>
                <w:szCs w:val="18"/>
                <w:highlight w:val="yellow"/>
                <w14:textFill>
                  <w14:solidFill>
                    <w14:schemeClr w14:val="tx1"/>
                  </w14:solidFill>
                </w14:textFill>
              </w:rPr>
              <w:t>个千兆光纤接口（本期配置至少</w:t>
            </w:r>
            <w:r>
              <w:rPr>
                <w:rFonts w:hint="eastAsia"/>
                <w:color w:val="000000" w:themeColor="text1"/>
                <w:kern w:val="0"/>
                <w:sz w:val="18"/>
                <w:szCs w:val="18"/>
                <w:highlight w:val="yellow"/>
                <w14:textFill>
                  <w14:solidFill>
                    <w14:schemeClr w14:val="tx1"/>
                  </w14:solidFill>
                </w14:textFill>
              </w:rPr>
              <w:t>12</w:t>
            </w:r>
            <w:r>
              <w:rPr>
                <w:color w:val="000000" w:themeColor="text1"/>
                <w:kern w:val="0"/>
                <w:sz w:val="18"/>
                <w:szCs w:val="18"/>
                <w:highlight w:val="yellow"/>
                <w14:textFill>
                  <w14:solidFill>
                    <w14:schemeClr w14:val="tx1"/>
                  </w14:solidFill>
                </w14:textFill>
              </w:rPr>
              <w:t>个千兆</w:t>
            </w:r>
            <w:r>
              <w:rPr>
                <w:rFonts w:hint="eastAsia"/>
                <w:color w:val="000000" w:themeColor="text1"/>
                <w:kern w:val="0"/>
                <w:sz w:val="18"/>
                <w:szCs w:val="18"/>
                <w:highlight w:val="yellow"/>
                <w14:textFill>
                  <w14:solidFill>
                    <w14:schemeClr w14:val="tx1"/>
                  </w14:solidFill>
                </w14:textFill>
              </w:rPr>
              <w:t>单</w:t>
            </w:r>
            <w:r>
              <w:rPr>
                <w:color w:val="000000" w:themeColor="text1"/>
                <w:kern w:val="0"/>
                <w:sz w:val="18"/>
                <w:szCs w:val="18"/>
                <w:highlight w:val="yellow"/>
                <w14:textFill>
                  <w14:solidFill>
                    <w14:schemeClr w14:val="tx1"/>
                  </w14:solidFill>
                </w14:textFill>
              </w:rPr>
              <w:t>模光模块），支持扩展到</w:t>
            </w:r>
            <w:r>
              <w:rPr>
                <w:rFonts w:hint="eastAsia"/>
                <w:color w:val="000000" w:themeColor="text1"/>
                <w:kern w:val="0"/>
                <w:sz w:val="18"/>
                <w:szCs w:val="18"/>
                <w:highlight w:val="yellow"/>
                <w14:textFill>
                  <w14:solidFill>
                    <w14:schemeClr w14:val="tx1"/>
                  </w14:solidFill>
                </w14:textFill>
              </w:rPr>
              <w:t>48</w:t>
            </w:r>
            <w:r>
              <w:rPr>
                <w:color w:val="000000" w:themeColor="text1"/>
                <w:kern w:val="0"/>
                <w:sz w:val="18"/>
                <w:szCs w:val="18"/>
                <w:highlight w:val="yellow"/>
                <w14:textFill>
                  <w14:solidFill>
                    <w14:schemeClr w14:val="tx1"/>
                  </w14:solidFill>
                </w14:textFill>
              </w:rPr>
              <w:t>个以上；</w:t>
            </w:r>
          </w:p>
          <w:p w14:paraId="549CF51D">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配置不少于64个万兆光纤接口（本期配置4个万兆单模光模块，32个万兆多模光模块），支持扩展到96个以上；</w:t>
            </w:r>
          </w:p>
          <w:p w14:paraId="24743BC5">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rFonts w:hint="eastAsia"/>
                <w:color w:val="000000" w:themeColor="text1"/>
                <w:kern w:val="0"/>
                <w:sz w:val="18"/>
                <w:szCs w:val="18"/>
                <w:highlight w:val="yellow"/>
                <w14:textFill>
                  <w14:solidFill>
                    <w14:schemeClr w14:val="tx1"/>
                  </w14:solidFill>
                </w14:textFill>
              </w:rPr>
              <w:t>配置不少于4个100GE</w:t>
            </w:r>
            <w:r>
              <w:rPr>
                <w:color w:val="000000" w:themeColor="text1"/>
                <w:kern w:val="0"/>
                <w:sz w:val="18"/>
                <w:szCs w:val="18"/>
                <w:highlight w:val="yellow"/>
                <w14:textFill>
                  <w14:solidFill>
                    <w14:schemeClr w14:val="tx1"/>
                  </w14:solidFill>
                </w14:textFill>
              </w:rPr>
              <w:t>光纤接口（本期配置4个</w:t>
            </w:r>
            <w:r>
              <w:rPr>
                <w:rFonts w:hint="eastAsia"/>
                <w:color w:val="000000" w:themeColor="text1"/>
                <w:kern w:val="0"/>
                <w:sz w:val="18"/>
                <w:szCs w:val="18"/>
                <w:highlight w:val="yellow"/>
                <w14:textFill>
                  <w14:solidFill>
                    <w14:schemeClr w14:val="tx1"/>
                  </w14:solidFill>
                </w14:textFill>
              </w:rPr>
              <w:t>100GE多模光模块</w:t>
            </w:r>
            <w:r>
              <w:rPr>
                <w:color w:val="000000" w:themeColor="text1"/>
                <w:kern w:val="0"/>
                <w:sz w:val="18"/>
                <w:szCs w:val="18"/>
                <w:highlight w:val="yellow"/>
                <w14:textFill>
                  <w14:solidFill>
                    <w14:schemeClr w14:val="tx1"/>
                  </w14:solidFill>
                </w14:textFill>
              </w:rPr>
              <w:t>），支持扩展到</w:t>
            </w:r>
            <w:r>
              <w:rPr>
                <w:rFonts w:hint="eastAsia"/>
                <w:color w:val="000000" w:themeColor="text1"/>
                <w:kern w:val="0"/>
                <w:sz w:val="18"/>
                <w:szCs w:val="18"/>
                <w:highlight w:val="yellow"/>
                <w14:textFill>
                  <w14:solidFill>
                    <w14:schemeClr w14:val="tx1"/>
                  </w14:solidFill>
                </w14:textFill>
              </w:rPr>
              <w:t>12</w:t>
            </w:r>
            <w:r>
              <w:rPr>
                <w:color w:val="000000" w:themeColor="text1"/>
                <w:kern w:val="0"/>
                <w:sz w:val="18"/>
                <w:szCs w:val="18"/>
                <w:highlight w:val="yellow"/>
                <w14:textFill>
                  <w14:solidFill>
                    <w14:schemeClr w14:val="tx1"/>
                  </w14:solidFill>
                </w14:textFill>
              </w:rPr>
              <w:t>个以上；</w:t>
            </w:r>
          </w:p>
          <w:p w14:paraId="1A25AD11">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配置不少于24个10/100/1000M自适应电口；</w:t>
            </w:r>
          </w:p>
          <w:p w14:paraId="326D1701">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业务槽位数≥7；</w:t>
            </w:r>
          </w:p>
          <w:p w14:paraId="1E185330">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交换容量≥24Tbps；</w:t>
            </w:r>
          </w:p>
          <w:p w14:paraId="263C1967">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二、三层包转发能力≥4096Mpps；</w:t>
            </w:r>
          </w:p>
          <w:p w14:paraId="6AA74A66">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每槽带宽≥480Gbps；</w:t>
            </w:r>
          </w:p>
          <w:p w14:paraId="2EDE1DE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支持VLAN数目≥4K；</w:t>
            </w:r>
          </w:p>
          <w:p w14:paraId="1A2EABA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支持静态、RIP、OSPF、IS-IS、BGP、LDP等协议；</w:t>
            </w:r>
          </w:p>
          <w:p w14:paraId="0B7C9D29">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支持RIPng、OSPFv6、IS-ISv6、BGP4+forIPv6等路由协议；</w:t>
            </w:r>
          </w:p>
          <w:p w14:paraId="46A5DFCC">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所有模块支持IPv4、IPv6路由转发；</w:t>
            </w:r>
          </w:p>
          <w:p w14:paraId="64876DE6">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支持VLAN间的访问控制列表；</w:t>
            </w:r>
          </w:p>
          <w:p w14:paraId="3A8FF3C3">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必须支持流量采集功能；</w:t>
            </w:r>
          </w:p>
          <w:p w14:paraId="3F874633">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支持跨板流量镜像功能；</w:t>
            </w:r>
          </w:p>
          <w:p w14:paraId="439CDB82">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提供广播风暴抑制功能；</w:t>
            </w:r>
          </w:p>
          <w:p w14:paraId="739DE0EA">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支持在线设备批量补丁，配置文件，启动文件等自动按需下发升级；支持坏件零配置更换升级；</w:t>
            </w:r>
          </w:p>
          <w:p w14:paraId="0ACA7748">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支持N:1虚拟化，实现跨设备链路捆绑；</w:t>
            </w:r>
          </w:p>
          <w:p w14:paraId="144ECBD1">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支持本机和远端交换机的端口镜像功能；</w:t>
            </w:r>
          </w:p>
          <w:p w14:paraId="2DEDCF6B">
            <w:pPr>
              <w:adjustRightInd w:val="0"/>
              <w:snapToGrid w:val="0"/>
              <w:spacing w:before="0" w:after="0" w:line="240" w:lineRule="auto"/>
              <w:ind w:firstLine="0"/>
              <w:jc w:val="left"/>
              <w:rPr>
                <w:color w:val="FF0000"/>
                <w:highlight w:val="yellow"/>
              </w:rPr>
            </w:pPr>
            <w:r>
              <w:rPr>
                <w:color w:val="FF0000"/>
                <w:kern w:val="0"/>
                <w:sz w:val="18"/>
                <w:szCs w:val="18"/>
                <w:highlight w:val="yellow"/>
              </w:rPr>
              <w:t>黑启动时间宜≤10min；</w:t>
            </w:r>
          </w:p>
          <w:p w14:paraId="173B0215">
            <w:pPr>
              <w:spacing w:before="0" w:after="0" w:line="240" w:lineRule="auto"/>
              <w:ind w:firstLine="0"/>
              <w:jc w:val="left"/>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售后服务：设备到货验收合格后，原厂提供5年免费上门维修服务，人工、配件、交通等任何费用全免；每天24小时、每周7天，4小时到现场的原厂商支持；提供原厂授权和原厂服务承诺函。</w:t>
            </w:r>
          </w:p>
        </w:tc>
      </w:tr>
      <w:tr w14:paraId="220C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16F9976C">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4</w:t>
            </w:r>
          </w:p>
        </w:tc>
        <w:tc>
          <w:tcPr>
            <w:tcW w:w="1520" w:type="dxa"/>
            <w:vAlign w:val="center"/>
          </w:tcPr>
          <w:p w14:paraId="0032C309">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核心交换机(二档)</w:t>
            </w:r>
          </w:p>
        </w:tc>
        <w:tc>
          <w:tcPr>
            <w:tcW w:w="6494" w:type="dxa"/>
            <w:vAlign w:val="center"/>
          </w:tcPr>
          <w:p w14:paraId="3670D79C">
            <w:pPr>
              <w:spacing w:before="0" w:after="0" w:line="240" w:lineRule="auto"/>
              <w:ind w:firstLine="0"/>
              <w:jc w:val="left"/>
              <w:rPr>
                <w:color w:val="000000" w:themeColor="text1"/>
                <w:kern w:val="0"/>
                <w:sz w:val="18"/>
                <w:szCs w:val="18"/>
                <w:highlight w:val="yellow"/>
                <w14:textFill>
                  <w14:solidFill>
                    <w14:schemeClr w14:val="tx1"/>
                  </w14:solidFill>
                </w14:textFill>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2086A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4A8D6CF0">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4</w:t>
            </w:r>
          </w:p>
        </w:tc>
        <w:tc>
          <w:tcPr>
            <w:tcW w:w="1520" w:type="dxa"/>
            <w:vAlign w:val="center"/>
          </w:tcPr>
          <w:p w14:paraId="2E990CA7">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核心交换机(二档)</w:t>
            </w:r>
          </w:p>
        </w:tc>
        <w:tc>
          <w:tcPr>
            <w:tcW w:w="6494" w:type="dxa"/>
            <w:vAlign w:val="center"/>
          </w:tcPr>
          <w:p w14:paraId="408737DD">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交换机采用同一品牌；</w:t>
            </w:r>
          </w:p>
          <w:p w14:paraId="1E76E0E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不低于以下要求：</w:t>
            </w:r>
          </w:p>
          <w:p w14:paraId="519F63B9">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机架式安装；</w:t>
            </w:r>
          </w:p>
          <w:p w14:paraId="6AC18D91">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企业级交换机；</w:t>
            </w:r>
          </w:p>
          <w:p w14:paraId="1E60D9F5">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3层万兆骨干核心交换；</w:t>
            </w:r>
          </w:p>
          <w:p w14:paraId="04963D29">
            <w:pPr>
              <w:adjustRightInd w:val="0"/>
              <w:snapToGrid w:val="0"/>
              <w:spacing w:before="0" w:after="0" w:line="240" w:lineRule="auto"/>
              <w:ind w:firstLine="0"/>
              <w:jc w:val="left"/>
              <w:rPr>
                <w:highlight w:val="yellow"/>
              </w:rPr>
            </w:pPr>
            <w:r>
              <w:rPr>
                <w:color w:val="000000" w:themeColor="text1"/>
                <w:kern w:val="0"/>
                <w:sz w:val="18"/>
                <w:szCs w:val="18"/>
                <w:highlight w:val="yellow"/>
                <w14:textFill>
                  <w14:solidFill>
                    <w14:schemeClr w14:val="tx1"/>
                  </w14:solidFill>
                </w14:textFill>
              </w:rPr>
              <w:t>采用分布式转发架构；</w:t>
            </w:r>
          </w:p>
          <w:p w14:paraId="12B5075E">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w:t>
            </w:r>
            <w:r>
              <w:rPr>
                <w:rFonts w:hint="eastAsia"/>
                <w:color w:val="000000" w:themeColor="text1"/>
                <w:kern w:val="0"/>
                <w:sz w:val="18"/>
                <w:szCs w:val="18"/>
                <w:highlight w:val="yellow"/>
                <w14:textFill>
                  <w14:solidFill>
                    <w14:schemeClr w14:val="tx1"/>
                  </w14:solidFill>
                </w14:textFill>
              </w:rPr>
              <w:t>24</w:t>
            </w:r>
            <w:r>
              <w:rPr>
                <w:color w:val="000000" w:themeColor="text1"/>
                <w:kern w:val="0"/>
                <w:sz w:val="18"/>
                <w:szCs w:val="18"/>
                <w:highlight w:val="yellow"/>
                <w14:textFill>
                  <w14:solidFill>
                    <w14:schemeClr w14:val="tx1"/>
                  </w14:solidFill>
                </w14:textFill>
              </w:rPr>
              <w:t>个10/100/1000M自适应电口；</w:t>
            </w:r>
          </w:p>
          <w:p w14:paraId="45E860D6">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配置不少于</w:t>
            </w:r>
            <w:r>
              <w:rPr>
                <w:rFonts w:hint="eastAsia"/>
                <w:color w:val="000000" w:themeColor="text1"/>
                <w:kern w:val="0"/>
                <w:sz w:val="18"/>
                <w:szCs w:val="18"/>
                <w:highlight w:val="yellow"/>
                <w14:textFill>
                  <w14:solidFill>
                    <w14:schemeClr w14:val="tx1"/>
                  </w14:solidFill>
                </w14:textFill>
              </w:rPr>
              <w:t>12</w:t>
            </w:r>
            <w:r>
              <w:rPr>
                <w:color w:val="000000" w:themeColor="text1"/>
                <w:kern w:val="0"/>
                <w:sz w:val="18"/>
                <w:szCs w:val="18"/>
                <w:highlight w:val="yellow"/>
                <w14:textFill>
                  <w14:solidFill>
                    <w14:schemeClr w14:val="tx1"/>
                  </w14:solidFill>
                </w14:textFill>
              </w:rPr>
              <w:t>个千兆光纤接口（本期配置8个千兆单模光口模块）；</w:t>
            </w:r>
          </w:p>
          <w:p w14:paraId="7ED7DAB7">
            <w:pPr>
              <w:adjustRightInd w:val="0"/>
              <w:snapToGrid w:val="0"/>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配置48个万兆光接口（本期配置2个万兆单模光口模块，24个万兆多模光模块）；</w:t>
            </w:r>
          </w:p>
          <w:p w14:paraId="39EE8AAD">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业务槽位数≥6；</w:t>
            </w:r>
          </w:p>
          <w:p w14:paraId="0F4AF3C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支持静态、RIP、OSPF、IS-IS、BGP等路由协议；</w:t>
            </w:r>
          </w:p>
          <w:p w14:paraId="4976E67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支持RIPng、OSPFv6、IS-ISv6、BGP4+ for IPv6等路由协议；</w:t>
            </w:r>
          </w:p>
          <w:p w14:paraId="717466E0">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交换容量≥15Tbps；</w:t>
            </w:r>
          </w:p>
          <w:p w14:paraId="199BA50D">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二、三层包转发能力≥700Mpps；</w:t>
            </w:r>
          </w:p>
          <w:p w14:paraId="03179900">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冗余双主控；</w:t>
            </w:r>
          </w:p>
          <w:p w14:paraId="3B554E19">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冗余交流电源模块及冗余风扇模块；电源和风扇满配；设备机箱（包括业务板卡区）宜采用后出风风道设计；</w:t>
            </w:r>
          </w:p>
          <w:p w14:paraId="52A1D84B">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支持VLAN间的访问控制列表。</w:t>
            </w:r>
          </w:p>
          <w:p w14:paraId="25F3A37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支持VLAN数目≥4K。</w:t>
            </w:r>
          </w:p>
          <w:p w14:paraId="0ED2ED7E">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支持本机和远端交换机的端口镜像功能。</w:t>
            </w:r>
          </w:p>
          <w:p w14:paraId="4CEDA568">
            <w:pPr>
              <w:spacing w:before="0" w:after="0" w:line="240" w:lineRule="auto"/>
              <w:ind w:firstLine="0"/>
              <w:jc w:val="left"/>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支持802.1x用户端口认证协议，支持生成树协议；</w:t>
            </w:r>
          </w:p>
          <w:p w14:paraId="53EF6E2E">
            <w:pPr>
              <w:adjustRightInd w:val="0"/>
              <w:snapToGrid w:val="0"/>
              <w:spacing w:before="0" w:after="0" w:line="240" w:lineRule="auto"/>
              <w:ind w:firstLine="0"/>
              <w:jc w:val="left"/>
              <w:rPr>
                <w:color w:val="FF0000"/>
                <w:highlight w:val="yellow"/>
              </w:rPr>
            </w:pPr>
            <w:r>
              <w:rPr>
                <w:color w:val="FF0000"/>
                <w:kern w:val="0"/>
                <w:sz w:val="18"/>
                <w:szCs w:val="18"/>
                <w:highlight w:val="yellow"/>
              </w:rPr>
              <w:t>黑启动时间宜≤10min；</w:t>
            </w:r>
          </w:p>
          <w:p w14:paraId="2362CE07">
            <w:pPr>
              <w:spacing w:before="0" w:after="0" w:line="240" w:lineRule="auto"/>
              <w:ind w:firstLine="0"/>
              <w:jc w:val="left"/>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售后服务：设备到货验收合格后，原厂提供5年免费上门维修服务，人工、配件、交通等任何费用全免；每天24小时、每周7天，4小时到现场的原厂商支持；提供原厂授权和原厂服务承诺函。</w:t>
            </w:r>
          </w:p>
        </w:tc>
      </w:tr>
      <w:tr w14:paraId="48FB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69580B67">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5</w:t>
            </w:r>
          </w:p>
        </w:tc>
        <w:tc>
          <w:tcPr>
            <w:tcW w:w="1520" w:type="dxa"/>
            <w:vAlign w:val="center"/>
          </w:tcPr>
          <w:p w14:paraId="71BA6F4B">
            <w:pPr>
              <w:spacing w:before="0" w:after="0" w:line="240" w:lineRule="auto"/>
              <w:ind w:firstLine="0"/>
              <w:jc w:val="center"/>
              <w:rPr>
                <w:rFonts w:hint="eastAsia" w:ascii="宋体" w:hAnsi="宋体" w:cs="宋体"/>
                <w:kern w:val="0"/>
                <w:sz w:val="18"/>
                <w:szCs w:val="18"/>
                <w:highlight w:val="yellow"/>
              </w:rPr>
            </w:pPr>
            <w:r>
              <w:rPr>
                <w:rFonts w:hint="eastAsia"/>
                <w:color w:val="000000" w:themeColor="text1"/>
                <w:kern w:val="0"/>
                <w:sz w:val="18"/>
                <w:szCs w:val="18"/>
                <w:highlight w:val="yellow"/>
                <w14:textFill>
                  <w14:solidFill>
                    <w14:schemeClr w14:val="tx1"/>
                  </w14:solidFill>
                </w14:textFill>
              </w:rPr>
              <w:t>25GE交换机</w:t>
            </w:r>
          </w:p>
        </w:tc>
        <w:tc>
          <w:tcPr>
            <w:tcW w:w="6494" w:type="dxa"/>
            <w:vAlign w:val="center"/>
          </w:tcPr>
          <w:p w14:paraId="184C7A46">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27DE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73FC4E66">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5</w:t>
            </w:r>
          </w:p>
        </w:tc>
        <w:tc>
          <w:tcPr>
            <w:tcW w:w="1520" w:type="dxa"/>
            <w:vAlign w:val="center"/>
          </w:tcPr>
          <w:p w14:paraId="315893B8">
            <w:pPr>
              <w:spacing w:before="0" w:after="0" w:line="240" w:lineRule="auto"/>
              <w:ind w:firstLine="0"/>
              <w:jc w:val="center"/>
              <w:rPr>
                <w:rFonts w:hint="eastAsia" w:ascii="宋体" w:hAnsi="宋体" w:cs="宋体"/>
                <w:kern w:val="0"/>
                <w:sz w:val="18"/>
                <w:szCs w:val="18"/>
                <w:highlight w:val="yellow"/>
              </w:rPr>
            </w:pPr>
            <w:r>
              <w:rPr>
                <w:rFonts w:hint="eastAsia"/>
                <w:color w:val="000000" w:themeColor="text1"/>
                <w:kern w:val="0"/>
                <w:sz w:val="18"/>
                <w:szCs w:val="18"/>
                <w:highlight w:val="yellow"/>
                <w14:textFill>
                  <w14:solidFill>
                    <w14:schemeClr w14:val="tx1"/>
                  </w14:solidFill>
                </w14:textFill>
              </w:rPr>
              <w:t>25GE交换机</w:t>
            </w:r>
          </w:p>
        </w:tc>
        <w:tc>
          <w:tcPr>
            <w:tcW w:w="6494" w:type="dxa"/>
            <w:vAlign w:val="center"/>
          </w:tcPr>
          <w:p w14:paraId="2E27CCA4">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交换机采用同一品牌；</w:t>
            </w:r>
          </w:p>
          <w:p w14:paraId="47E27E67">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不低于以下要求：</w:t>
            </w:r>
          </w:p>
          <w:p w14:paraId="5718128E">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机架式安装；</w:t>
            </w:r>
          </w:p>
          <w:p w14:paraId="518CA2F5">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企业级交换机；</w:t>
            </w:r>
          </w:p>
          <w:p w14:paraId="1B5474E3">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支持交流电源输入（100V-240V; 50–60 Hz）</w:t>
            </w:r>
          </w:p>
          <w:p w14:paraId="1214E0D0">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电源冗余备份，电源≥2</w:t>
            </w:r>
          </w:p>
          <w:p w14:paraId="460155D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单个风扇故障时不影响整机散热与运行</w:t>
            </w:r>
          </w:p>
          <w:p w14:paraId="3C460CFD">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交换容量≥4Tbps</w:t>
            </w:r>
          </w:p>
          <w:p w14:paraId="666D2C7C">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包转发率 ≥2000Mpps</w:t>
            </w:r>
          </w:p>
          <w:p w14:paraId="0550847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≥48口SFP28 的25G端口，端口可自适应25GE、10GE不同速率，满配25GE光模块，25GE接口支持RDMA协议；</w:t>
            </w:r>
          </w:p>
          <w:p w14:paraId="7CF58C08">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≥8口QSFP28 100G，满配100GE多模光模块，100GE接口支持RDMA协议；</w:t>
            </w:r>
          </w:p>
          <w:p w14:paraId="730A1CD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支持堆叠（IRF）/VSS/VSC、或者跨设备LACP聚合、LACP边缘端口支持三层转发</w:t>
            </w:r>
          </w:p>
          <w:p w14:paraId="66007F53">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所有端口支持巨帧转发（≥9216 bytes）</w:t>
            </w:r>
          </w:p>
          <w:p w14:paraId="3C2187A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25G、100G端口支持路由口、路由子接口功能</w:t>
            </w:r>
          </w:p>
          <w:p w14:paraId="6D5E6FE7">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端口支持LLDP功能</w:t>
            </w:r>
          </w:p>
          <w:p w14:paraId="5AF7E76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支持IPv4/V6双栈</w:t>
            </w:r>
          </w:p>
          <w:p w14:paraId="737454D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VLAN≥ 4K，支持STP/RSTP/MSTP；</w:t>
            </w:r>
          </w:p>
          <w:p w14:paraId="50E6DB4C">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支持DHCP relay，且server地址不小于2个</w:t>
            </w:r>
          </w:p>
          <w:p w14:paraId="4377D8BD">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支持基于端口的广播风暴/组播/未知单播抑制</w:t>
            </w:r>
          </w:p>
          <w:p w14:paraId="67C2943D">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支持IPv4/v6双栈支持静态路由、OSPFv2/v3、ISIS/v6、BGP/4+等动态路由协议</w:t>
            </w:r>
          </w:p>
          <w:p w14:paraId="2EBDD03D">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支持ECMP</w:t>
            </w:r>
          </w:p>
          <w:p w14:paraId="42EA731A">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支持IPv4/v6三层组播:PIM-DM/SM,IGMP/MLD</w:t>
            </w:r>
          </w:p>
          <w:p w14:paraId="374E761A">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支持VRRP</w:t>
            </w:r>
          </w:p>
          <w:p w14:paraId="58158C20">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支持arp转主机路由功能</w:t>
            </w:r>
          </w:p>
          <w:p w14:paraId="1566373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支持POAP/Ansible/ZTP等设备零配置自动化部署功能</w:t>
            </w:r>
          </w:p>
          <w:p w14:paraId="0D619799">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支持NETCONF标准接口</w:t>
            </w:r>
          </w:p>
          <w:p w14:paraId="74016EC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支持SNMP通过域名方式访问</w:t>
            </w:r>
          </w:p>
          <w:p w14:paraId="76045402">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支持NTP客户端，支持时区修正，支持基于IP和域名访问sever</w:t>
            </w:r>
          </w:p>
          <w:p w14:paraId="1F17D115">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支持Console、Telnet和SSH2命令行配置等网管方式</w:t>
            </w:r>
          </w:p>
          <w:p w14:paraId="6FBCCBF2">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支持单物理端口和聚合组本地镜像、远程镜像</w:t>
            </w:r>
          </w:p>
          <w:p w14:paraId="38E90165">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支持流量统计功能</w:t>
            </w:r>
          </w:p>
          <w:p w14:paraId="5DE74A8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支持基本ACL、扩展ACL、基于时间ACL等安全防护技术</w:t>
            </w:r>
          </w:p>
          <w:p w14:paraId="0D23A1F2">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支持AAA认证，并支持用户分级管理和口令保护</w:t>
            </w:r>
          </w:p>
          <w:p w14:paraId="2B088686">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支持设置SNMPv3加密，加密方式支持AES128</w:t>
            </w:r>
          </w:p>
          <w:p w14:paraId="011D92B5">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支持远程日志记录，指定记录服务器IP地址</w:t>
            </w:r>
          </w:p>
          <w:p w14:paraId="6691DCEE">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1.提供5年7*24小时工程师带备件上门服务，8小时内恢复服务</w:t>
            </w:r>
          </w:p>
          <w:p w14:paraId="04D572A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2.提供系统安装部署服务</w:t>
            </w:r>
          </w:p>
          <w:p w14:paraId="0B9B331A">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3.提供原厂五年每年一次巡检服务</w:t>
            </w:r>
          </w:p>
          <w:p w14:paraId="5C043127">
            <w:pPr>
              <w:adjustRightInd w:val="0"/>
              <w:snapToGrid w:val="0"/>
              <w:spacing w:before="0" w:after="0" w:line="240" w:lineRule="auto"/>
              <w:ind w:firstLine="0"/>
              <w:jc w:val="left"/>
              <w:rPr>
                <w:rFonts w:hint="eastAsia" w:ascii="宋体" w:hAnsi="宋体" w:cs="宋体"/>
                <w:color w:val="000000" w:themeColor="text1"/>
                <w:kern w:val="0"/>
                <w:sz w:val="18"/>
                <w:szCs w:val="18"/>
                <w:highlight w:val="yellow"/>
                <w14:textFill>
                  <w14:solidFill>
                    <w14:schemeClr w14:val="tx1"/>
                  </w14:solidFill>
                </w14:textFill>
              </w:rPr>
            </w:pPr>
            <w:r>
              <w:rPr>
                <w:rFonts w:hint="eastAsia"/>
                <w:color w:val="000000" w:themeColor="text1"/>
                <w:kern w:val="0"/>
                <w:sz w:val="18"/>
                <w:szCs w:val="18"/>
                <w14:textFill>
                  <w14:solidFill>
                    <w14:schemeClr w14:val="tx1"/>
                  </w14:solidFill>
                </w14:textFill>
              </w:rPr>
              <w:t>具备国家工信部颁发的电信设备入网许可证证书</w:t>
            </w:r>
          </w:p>
        </w:tc>
      </w:tr>
      <w:tr w14:paraId="3EE6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20F9FC07">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6</w:t>
            </w:r>
          </w:p>
        </w:tc>
        <w:tc>
          <w:tcPr>
            <w:tcW w:w="1520" w:type="dxa"/>
            <w:vAlign w:val="center"/>
          </w:tcPr>
          <w:p w14:paraId="314649D9">
            <w:pPr>
              <w:spacing w:before="0" w:after="0" w:line="240" w:lineRule="auto"/>
              <w:ind w:firstLine="0"/>
              <w:jc w:val="center"/>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万兆交换机</w:t>
            </w:r>
          </w:p>
        </w:tc>
        <w:tc>
          <w:tcPr>
            <w:tcW w:w="6494" w:type="dxa"/>
            <w:vAlign w:val="center"/>
          </w:tcPr>
          <w:p w14:paraId="708BD13C">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4FC3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3C6A89D1">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6</w:t>
            </w:r>
          </w:p>
        </w:tc>
        <w:tc>
          <w:tcPr>
            <w:tcW w:w="1520" w:type="dxa"/>
            <w:vAlign w:val="center"/>
          </w:tcPr>
          <w:p w14:paraId="5E35FC14">
            <w:pPr>
              <w:spacing w:before="0" w:after="0" w:line="240" w:lineRule="auto"/>
              <w:ind w:firstLine="0"/>
              <w:jc w:val="center"/>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万兆交换机</w:t>
            </w:r>
          </w:p>
        </w:tc>
        <w:tc>
          <w:tcPr>
            <w:tcW w:w="6494" w:type="dxa"/>
            <w:vAlign w:val="center"/>
          </w:tcPr>
          <w:p w14:paraId="58146D58">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交换机采用同一品牌；</w:t>
            </w:r>
          </w:p>
          <w:p w14:paraId="22B3C042">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不低于以下要求：</w:t>
            </w:r>
          </w:p>
          <w:p w14:paraId="64E35E0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机架式安装；</w:t>
            </w:r>
          </w:p>
          <w:p w14:paraId="019BC370">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企业级交换机；</w:t>
            </w:r>
          </w:p>
          <w:p w14:paraId="4FA54154">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3层万兆交换；</w:t>
            </w:r>
          </w:p>
          <w:p w14:paraId="11C822B7">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≥48口SFP+万兆，所有10G端口均可自适应GE，支持光转电模块，满配万兆多模光模块；</w:t>
            </w:r>
          </w:p>
          <w:p w14:paraId="45E87456">
            <w:pPr>
              <w:pStyle w:val="2"/>
              <w:spacing w:before="0" w:after="0" w:line="240" w:lineRule="auto"/>
              <w:ind w:firstLine="0"/>
              <w:rPr>
                <w:sz w:val="18"/>
                <w:szCs w:val="18"/>
              </w:rPr>
            </w:pPr>
            <w:r>
              <w:rPr>
                <w:sz w:val="18"/>
                <w:szCs w:val="18"/>
              </w:rPr>
              <w:t>≥4口40Gbps光口，满配多模光模块。</w:t>
            </w:r>
          </w:p>
          <w:p w14:paraId="01C3E761">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支持静态、RIP、OSPF、IS-IS、BGP等路由协议；</w:t>
            </w:r>
          </w:p>
          <w:p w14:paraId="53902970">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支持RIPng、OSPFv6、IS-ISv6、BGP4+for IPv6等路由协议；</w:t>
            </w:r>
          </w:p>
          <w:p w14:paraId="5C92862E">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交换容量≥2.56Tbps；</w:t>
            </w:r>
          </w:p>
          <w:p w14:paraId="7C32710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二、三层包转发能力≥1080Mpps；</w:t>
            </w:r>
          </w:p>
          <w:p w14:paraId="3627A723">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冗余双主控；</w:t>
            </w:r>
          </w:p>
          <w:p w14:paraId="2A43B22C">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冗余交流电源模块及冗余风扇模块；电源和风扇满配；设备机箱（包括业务板卡区）宜采用后出风风道设计；</w:t>
            </w:r>
          </w:p>
          <w:p w14:paraId="02170E44">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支持VLAN间的访问控制列表。</w:t>
            </w:r>
          </w:p>
          <w:p w14:paraId="498AF6BB">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支持VLAN数目≥4K。</w:t>
            </w:r>
          </w:p>
          <w:p w14:paraId="73284E55">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支持本机和远端交换机的端口镜像功能。</w:t>
            </w:r>
          </w:p>
          <w:p w14:paraId="6C520105">
            <w:pPr>
              <w:adjustRightInd w:val="0"/>
              <w:snapToGrid w:val="0"/>
              <w:spacing w:before="0" w:after="0" w:line="240" w:lineRule="auto"/>
              <w:ind w:firstLine="0"/>
              <w:jc w:val="lef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支持802.1x用户端口认证协议，支持生成树协议；</w:t>
            </w:r>
          </w:p>
          <w:p w14:paraId="20FE1D9F">
            <w:pPr>
              <w:adjustRightInd w:val="0"/>
              <w:snapToGrid w:val="0"/>
              <w:spacing w:before="0" w:after="0" w:line="240" w:lineRule="auto"/>
              <w:ind w:firstLine="0"/>
              <w:jc w:val="left"/>
              <w:rPr>
                <w:rFonts w:hint="eastAsia" w:ascii="宋体" w:hAnsi="宋体" w:cs="宋体"/>
                <w:color w:val="000000" w:themeColor="text1"/>
                <w:kern w:val="0"/>
                <w:sz w:val="18"/>
                <w:szCs w:val="18"/>
                <w:highlight w:val="yellow"/>
                <w14:textFill>
                  <w14:solidFill>
                    <w14:schemeClr w14:val="tx1"/>
                  </w14:solidFill>
                </w14:textFill>
              </w:rPr>
            </w:pPr>
            <w:r>
              <w:rPr>
                <w:color w:val="000000" w:themeColor="text1"/>
                <w:kern w:val="0"/>
                <w:sz w:val="18"/>
                <w:szCs w:val="18"/>
                <w14:textFill>
                  <w14:solidFill>
                    <w14:schemeClr w14:val="tx1"/>
                  </w14:solidFill>
                </w14:textFill>
              </w:rPr>
              <w:t>售后服务：设备到货验收合格后，原厂提供5年免费上门维修服务，人工、配件、交通等任何费用全免；每天24小时、每周7天，4小时到现场的原厂商支持；提供原厂授权和原厂服务承诺函。</w:t>
            </w:r>
          </w:p>
        </w:tc>
      </w:tr>
      <w:tr w14:paraId="4E25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0AB735CD">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7</w:t>
            </w:r>
          </w:p>
        </w:tc>
        <w:tc>
          <w:tcPr>
            <w:tcW w:w="1520" w:type="dxa"/>
            <w:vAlign w:val="center"/>
          </w:tcPr>
          <w:p w14:paraId="3197A036">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接入交换机</w:t>
            </w:r>
          </w:p>
        </w:tc>
        <w:tc>
          <w:tcPr>
            <w:tcW w:w="6494" w:type="dxa"/>
            <w:vAlign w:val="center"/>
          </w:tcPr>
          <w:p w14:paraId="20EA0DF0">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6721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0CDD31E1">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7</w:t>
            </w:r>
          </w:p>
        </w:tc>
        <w:tc>
          <w:tcPr>
            <w:tcW w:w="1520" w:type="dxa"/>
            <w:vAlign w:val="center"/>
          </w:tcPr>
          <w:p w14:paraId="1CCF415C">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接入交换机</w:t>
            </w:r>
          </w:p>
        </w:tc>
        <w:tc>
          <w:tcPr>
            <w:tcW w:w="6494" w:type="dxa"/>
            <w:vAlign w:val="center"/>
          </w:tcPr>
          <w:p w14:paraId="560B17E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交换机采用同一品牌；</w:t>
            </w:r>
          </w:p>
          <w:p w14:paraId="029FC1B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不低于以下要求：</w:t>
            </w:r>
          </w:p>
          <w:p w14:paraId="45D78569">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企业级交换机</w:t>
            </w:r>
          </w:p>
          <w:p w14:paraId="7825F79E">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机架式安装；</w:t>
            </w:r>
          </w:p>
          <w:p w14:paraId="63995D82">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3层交换；</w:t>
            </w:r>
          </w:p>
          <w:p w14:paraId="0DA540D6">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支持静态、RIP、OSPF等等路由协议；</w:t>
            </w:r>
          </w:p>
          <w:p w14:paraId="17B507D8">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不少于24个10/100/1000M自适应电口；</w:t>
            </w:r>
          </w:p>
          <w:p w14:paraId="16FAA27E">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不少于4个</w:t>
            </w:r>
            <w:r>
              <w:rPr>
                <w:rFonts w:ascii="宋体" w:hAnsi="宋体" w:cs="宋体"/>
                <w:color w:val="000000" w:themeColor="text1"/>
                <w:kern w:val="0"/>
                <w:sz w:val="18"/>
                <w:szCs w:val="18"/>
                <w14:textFill>
                  <w14:solidFill>
                    <w14:schemeClr w14:val="tx1"/>
                  </w14:solidFill>
                </w14:textFill>
              </w:rPr>
              <w:t>千兆光接口（</w:t>
            </w:r>
            <w:r>
              <w:rPr>
                <w:rFonts w:hint="eastAsia" w:ascii="宋体" w:hAnsi="宋体" w:cs="宋体"/>
                <w:color w:val="000000" w:themeColor="text1"/>
                <w:kern w:val="0"/>
                <w:sz w:val="18"/>
                <w:szCs w:val="18"/>
                <w14:textFill>
                  <w14:solidFill>
                    <w14:schemeClr w14:val="tx1"/>
                  </w14:solidFill>
                </w14:textFill>
              </w:rPr>
              <w:t>本期</w:t>
            </w:r>
            <w:r>
              <w:rPr>
                <w:rFonts w:ascii="宋体" w:hAnsi="宋体" w:cs="宋体"/>
                <w:color w:val="000000" w:themeColor="text1"/>
                <w:kern w:val="0"/>
                <w:sz w:val="18"/>
                <w:szCs w:val="18"/>
                <w14:textFill>
                  <w14:solidFill>
                    <w14:schemeClr w14:val="tx1"/>
                  </w14:solidFill>
                </w14:textFill>
              </w:rPr>
              <w:t>配置</w:t>
            </w:r>
            <w:r>
              <w:rPr>
                <w:rFonts w:hint="eastAsia" w:ascii="宋体" w:hAnsi="宋体" w:cs="宋体"/>
                <w:color w:val="000000" w:themeColor="text1"/>
                <w:kern w:val="0"/>
                <w:sz w:val="18"/>
                <w:szCs w:val="18"/>
                <w14:textFill>
                  <w14:solidFill>
                    <w14:schemeClr w14:val="tx1"/>
                  </w14:solidFill>
                </w14:textFill>
              </w:rPr>
              <w:t>2个千兆单模光口模块）；</w:t>
            </w:r>
          </w:p>
          <w:p w14:paraId="28387804">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交换容量≥</w:t>
            </w:r>
            <w:r>
              <w:rPr>
                <w:rFonts w:ascii="宋体" w:hAnsi="宋体" w:cs="宋体"/>
                <w:color w:val="000000" w:themeColor="text1"/>
                <w:kern w:val="0"/>
                <w:sz w:val="18"/>
                <w:szCs w:val="18"/>
                <w14:textFill>
                  <w14:solidFill>
                    <w14:schemeClr w14:val="tx1"/>
                  </w14:solidFill>
                </w14:textFill>
              </w:rPr>
              <w:t>256</w:t>
            </w:r>
            <w:r>
              <w:rPr>
                <w:rFonts w:hint="eastAsia" w:ascii="宋体" w:hAnsi="宋体" w:cs="宋体"/>
                <w:color w:val="000000" w:themeColor="text1"/>
                <w:kern w:val="0"/>
                <w:sz w:val="18"/>
                <w:szCs w:val="18"/>
                <w14:textFill>
                  <w14:solidFill>
                    <w14:schemeClr w14:val="tx1"/>
                  </w14:solidFill>
                </w14:textFill>
              </w:rPr>
              <w:t>Gbps，</w:t>
            </w:r>
          </w:p>
          <w:p w14:paraId="19610CCB">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二/三层包转发能力≥9</w:t>
            </w:r>
            <w:r>
              <w:rPr>
                <w:rFonts w:ascii="宋体" w:hAnsi="宋体" w:cs="宋体"/>
                <w:color w:val="000000" w:themeColor="text1"/>
                <w:kern w:val="0"/>
                <w:sz w:val="18"/>
                <w:szCs w:val="18"/>
                <w14:textFill>
                  <w14:solidFill>
                    <w14:schemeClr w14:val="tx1"/>
                  </w14:solidFill>
                </w14:textFill>
              </w:rPr>
              <w:t>6</w:t>
            </w:r>
            <w:r>
              <w:rPr>
                <w:rFonts w:hint="eastAsia" w:ascii="宋体" w:hAnsi="宋体" w:cs="宋体"/>
                <w:color w:val="000000" w:themeColor="text1"/>
                <w:kern w:val="0"/>
                <w:sz w:val="18"/>
                <w:szCs w:val="18"/>
                <w14:textFill>
                  <w14:solidFill>
                    <w14:schemeClr w14:val="tx1"/>
                  </w14:solidFill>
                </w14:textFill>
              </w:rPr>
              <w:t>Mpps；</w:t>
            </w:r>
          </w:p>
          <w:p w14:paraId="3B348B55">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支持VLAN间的访问控制列表。</w:t>
            </w:r>
          </w:p>
          <w:p w14:paraId="69D20F92">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支持VLAN数目≥4K。</w:t>
            </w:r>
          </w:p>
          <w:p w14:paraId="3AAC501F">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支持链路聚合；</w:t>
            </w:r>
          </w:p>
          <w:p w14:paraId="7F8A874E">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冗余双交流电源模块（失去1路电源不影响正常运行）；</w:t>
            </w:r>
            <w:r>
              <w:rPr>
                <w:rFonts w:hint="eastAsia" w:cs="宋体"/>
                <w:kern w:val="0"/>
                <w:sz w:val="18"/>
                <w:szCs w:val="18"/>
              </w:rPr>
              <w:t>电源</w:t>
            </w:r>
            <w:r>
              <w:rPr>
                <w:rFonts w:cs="宋体"/>
                <w:kern w:val="0"/>
                <w:sz w:val="18"/>
                <w:szCs w:val="18"/>
              </w:rPr>
              <w:t>和风扇满配</w:t>
            </w:r>
            <w:r>
              <w:rPr>
                <w:rFonts w:hint="eastAsia" w:cs="宋体"/>
                <w:kern w:val="0"/>
                <w:sz w:val="18"/>
                <w:szCs w:val="18"/>
              </w:rPr>
              <w:t>；</w:t>
            </w:r>
          </w:p>
          <w:p w14:paraId="0075B792">
            <w:pPr>
              <w:adjustRightInd w:val="0"/>
              <w:snapToGrid w:val="0"/>
              <w:spacing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配备网管模组；</w:t>
            </w:r>
          </w:p>
          <w:p w14:paraId="3F1015CF">
            <w:pPr>
              <w:adjustRightInd w:val="0"/>
              <w:snapToGrid w:val="0"/>
              <w:spacing w:line="240" w:lineRule="auto"/>
              <w:ind w:firstLine="0"/>
              <w:jc w:val="left"/>
              <w:rPr>
                <w:rFonts w:cs="宋体"/>
                <w:color w:val="000000" w:themeColor="text1"/>
                <w:kern w:val="0"/>
                <w:sz w:val="18"/>
                <w:szCs w:val="18"/>
                <w:highlight w:val="yellow"/>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售后服务：</w:t>
            </w:r>
            <w:r>
              <w:rPr>
                <w:rFonts w:hint="eastAsia" w:ascii="宋体" w:hAnsi="宋体" w:cs="宋体"/>
                <w:kern w:val="0"/>
                <w:sz w:val="18"/>
                <w:szCs w:val="18"/>
              </w:rPr>
              <w:t>设备到货验收合格后，</w:t>
            </w:r>
            <w:r>
              <w:rPr>
                <w:rFonts w:hint="eastAsia" w:cs="宋体"/>
                <w:kern w:val="0"/>
                <w:sz w:val="18"/>
                <w:szCs w:val="18"/>
              </w:rPr>
              <w:t>原厂提供5年免费上门维修服务，人工、配件、交通等任何费用全免；每天24小时、每周7天，4小时到现场的原厂商支持；提供原厂授权和原厂服务承诺函。</w:t>
            </w:r>
          </w:p>
        </w:tc>
      </w:tr>
      <w:tr w14:paraId="54812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0B7BF9CC">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8</w:t>
            </w:r>
          </w:p>
        </w:tc>
        <w:tc>
          <w:tcPr>
            <w:tcW w:w="1520" w:type="dxa"/>
            <w:vAlign w:val="center"/>
          </w:tcPr>
          <w:p w14:paraId="2E2AC66D">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专线路由器</w:t>
            </w:r>
          </w:p>
        </w:tc>
        <w:tc>
          <w:tcPr>
            <w:tcW w:w="6494" w:type="dxa"/>
            <w:vAlign w:val="center"/>
          </w:tcPr>
          <w:p w14:paraId="3A0B09BB">
            <w:pPr>
              <w:spacing w:before="0" w:after="0" w:line="240" w:lineRule="auto"/>
              <w:ind w:firstLine="0"/>
              <w:jc w:val="left"/>
              <w:rPr>
                <w:rFonts w:hint="eastAsia" w:ascii="宋体" w:hAnsi="宋体" w:cs="宋体"/>
                <w:color w:val="000000" w:themeColor="text1"/>
                <w:kern w:val="0"/>
                <w:sz w:val="18"/>
                <w:szCs w:val="18"/>
                <w:highlight w:val="yellow"/>
                <w14:textFill>
                  <w14:solidFill>
                    <w14:schemeClr w14:val="tx1"/>
                  </w14:solidFill>
                </w14:textFill>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67133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79839090">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8</w:t>
            </w:r>
          </w:p>
        </w:tc>
        <w:tc>
          <w:tcPr>
            <w:tcW w:w="1520" w:type="dxa"/>
            <w:vAlign w:val="center"/>
          </w:tcPr>
          <w:p w14:paraId="474DE976">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专线路由器</w:t>
            </w:r>
          </w:p>
        </w:tc>
        <w:tc>
          <w:tcPr>
            <w:tcW w:w="6494" w:type="dxa"/>
            <w:vAlign w:val="center"/>
          </w:tcPr>
          <w:p w14:paraId="1302252B">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不低于以下要求：</w:t>
            </w:r>
          </w:p>
          <w:p w14:paraId="5458992B">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机架式安装（主机+机箱附件）；</w:t>
            </w:r>
          </w:p>
          <w:p w14:paraId="65F8E973">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采用分布式转发架构</w:t>
            </w:r>
            <w:r>
              <w:rPr>
                <w:rFonts w:hint="eastAsia" w:ascii="宋体" w:hAnsi="宋体" w:cs="宋体"/>
                <w:kern w:val="0"/>
                <w:sz w:val="18"/>
                <w:szCs w:val="18"/>
              </w:rPr>
              <w:t>；</w:t>
            </w:r>
          </w:p>
          <w:p w14:paraId="1920D106">
            <w:pPr>
              <w:spacing w:before="0" w:after="0" w:line="240" w:lineRule="auto"/>
              <w:ind w:firstLine="0"/>
              <w:jc w:val="left"/>
              <w:rPr>
                <w:rFonts w:hint="eastAsia" w:ascii="宋体" w:hAnsi="宋体" w:cs="宋体"/>
                <w:kern w:val="0"/>
                <w:sz w:val="18"/>
                <w:szCs w:val="18"/>
                <w:lang w:bidi="ar"/>
              </w:rPr>
            </w:pPr>
            <w:r>
              <w:rPr>
                <w:rFonts w:hint="eastAsia" w:ascii="宋体" w:hAnsi="宋体" w:cs="宋体"/>
                <w:kern w:val="0"/>
                <w:sz w:val="18"/>
                <w:szCs w:val="18"/>
                <w:lang w:bidi="ar"/>
              </w:rPr>
              <w:t>双主控单元并满配；</w:t>
            </w:r>
          </w:p>
          <w:p w14:paraId="1AFF8A68">
            <w:pPr>
              <w:spacing w:before="0" w:after="0" w:line="240" w:lineRule="auto"/>
              <w:ind w:firstLine="0"/>
              <w:jc w:val="left"/>
              <w:rPr>
                <w:rFonts w:hint="eastAsia" w:ascii="宋体" w:hAnsi="宋体" w:cs="宋体"/>
                <w:kern w:val="0"/>
                <w:sz w:val="18"/>
                <w:szCs w:val="18"/>
              </w:rPr>
            </w:pPr>
            <w:r>
              <w:rPr>
                <w:rFonts w:hint="eastAsia" w:ascii="宋体" w:hAnsi="宋体" w:cs="宋体"/>
                <w:sz w:val="18"/>
                <w:szCs w:val="18"/>
                <w:lang w:bidi="ar"/>
              </w:rPr>
              <w:t>独立交换网板并满配；</w:t>
            </w:r>
          </w:p>
          <w:p w14:paraId="586D663C">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交换容量≥400Gbps；</w:t>
            </w:r>
          </w:p>
          <w:p w14:paraId="77F7FD4F">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包转发率≥144Mpps；</w:t>
            </w:r>
          </w:p>
          <w:p w14:paraId="7FBDC704">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业务引擎槽位数（要求整机宽度业务槽位数，不得采用子卡模块槽位数应标）≥8；其中</w:t>
            </w:r>
            <w:r>
              <w:rPr>
                <w:rFonts w:ascii="宋体" w:hAnsi="宋体" w:cs="宋体"/>
                <w:kern w:val="0"/>
                <w:sz w:val="18"/>
                <w:szCs w:val="18"/>
              </w:rPr>
              <w:t>支持CPOS板卡的槽位</w:t>
            </w:r>
            <w:r>
              <w:rPr>
                <w:rFonts w:hint="eastAsia" w:ascii="宋体" w:hAnsi="宋体" w:cs="宋体"/>
                <w:kern w:val="0"/>
                <w:sz w:val="18"/>
                <w:szCs w:val="18"/>
              </w:rPr>
              <w:t>≥</w:t>
            </w:r>
            <w:r>
              <w:rPr>
                <w:rFonts w:ascii="宋体" w:hAnsi="宋体" w:cs="宋体"/>
                <w:kern w:val="0"/>
                <w:sz w:val="18"/>
                <w:szCs w:val="18"/>
              </w:rPr>
              <w:t>4</w:t>
            </w:r>
            <w:r>
              <w:rPr>
                <w:rFonts w:hint="eastAsia" w:ascii="宋体" w:hAnsi="宋体" w:cs="宋体"/>
                <w:kern w:val="0"/>
                <w:sz w:val="18"/>
                <w:szCs w:val="18"/>
              </w:rPr>
              <w:t>；</w:t>
            </w:r>
          </w:p>
          <w:p w14:paraId="2E88E675">
            <w:pPr>
              <w:adjustRightInd w:val="0"/>
              <w:snapToGrid w:val="0"/>
              <w:spacing w:before="120" w:after="120" w:line="240" w:lineRule="auto"/>
              <w:ind w:firstLine="0"/>
              <w:jc w:val="left"/>
              <w:rPr>
                <w:rFonts w:hint="eastAsia" w:ascii="宋体" w:hAnsi="宋体" w:cs="宋体"/>
                <w:kern w:val="0"/>
                <w:sz w:val="18"/>
                <w:szCs w:val="18"/>
              </w:rPr>
            </w:pPr>
            <w:r>
              <w:rPr>
                <w:rFonts w:hint="eastAsia" w:ascii="宋体" w:hAnsi="宋体" w:cs="宋体"/>
                <w:kern w:val="0"/>
                <w:sz w:val="18"/>
                <w:szCs w:val="18"/>
              </w:rPr>
              <w:t>支持最大</w:t>
            </w:r>
            <w:r>
              <w:rPr>
                <w:rFonts w:ascii="宋体" w:hAnsi="宋体" w:cs="宋体"/>
                <w:kern w:val="0"/>
                <w:sz w:val="18"/>
                <w:szCs w:val="18"/>
              </w:rPr>
              <w:t>E1</w:t>
            </w:r>
            <w:r>
              <w:rPr>
                <w:rFonts w:hint="eastAsia" w:ascii="宋体" w:hAnsi="宋体" w:cs="宋体"/>
                <w:kern w:val="0"/>
                <w:sz w:val="18"/>
                <w:szCs w:val="18"/>
              </w:rPr>
              <w:t>扩展能力达到</w:t>
            </w:r>
            <w:r>
              <w:rPr>
                <w:rFonts w:ascii="宋体" w:hAnsi="宋体" w:cs="宋体"/>
                <w:kern w:val="0"/>
                <w:sz w:val="18"/>
                <w:szCs w:val="18"/>
              </w:rPr>
              <w:t>100</w:t>
            </w:r>
            <w:r>
              <w:rPr>
                <w:rFonts w:hint="eastAsia" w:ascii="宋体" w:hAnsi="宋体" w:cs="宋体"/>
                <w:kern w:val="0"/>
                <w:sz w:val="18"/>
                <w:szCs w:val="18"/>
              </w:rPr>
              <w:t>个以上</w:t>
            </w:r>
            <w:r>
              <w:rPr>
                <w:rFonts w:ascii="宋体" w:hAnsi="宋体" w:cs="宋体"/>
                <w:kern w:val="0"/>
                <w:sz w:val="18"/>
                <w:szCs w:val="18"/>
              </w:rPr>
              <w:t>；</w:t>
            </w:r>
            <w:r>
              <w:rPr>
                <w:rFonts w:hint="eastAsia" w:ascii="宋体" w:hAnsi="宋体" w:cs="宋体"/>
                <w:kern w:val="0"/>
                <w:sz w:val="18"/>
                <w:szCs w:val="18"/>
              </w:rPr>
              <w:t xml:space="preserve"> </w:t>
            </w:r>
          </w:p>
          <w:p w14:paraId="54FDCFAC">
            <w:pPr>
              <w:adjustRightInd w:val="0"/>
              <w:snapToGrid w:val="0"/>
              <w:spacing w:before="120" w:after="120" w:line="240" w:lineRule="auto"/>
              <w:ind w:firstLine="0"/>
              <w:jc w:val="left"/>
              <w:rPr>
                <w:rFonts w:hint="eastAsia" w:ascii="宋体" w:hAnsi="宋体" w:cs="宋体"/>
                <w:kern w:val="0"/>
                <w:sz w:val="18"/>
                <w:szCs w:val="18"/>
              </w:rPr>
            </w:pPr>
            <w:r>
              <w:rPr>
                <w:rFonts w:hint="eastAsia" w:ascii="宋体" w:hAnsi="宋体" w:cs="宋体"/>
                <w:kern w:val="0"/>
                <w:sz w:val="18"/>
                <w:szCs w:val="18"/>
              </w:rPr>
              <w:t>≥</w:t>
            </w:r>
            <w:r>
              <w:rPr>
                <w:rFonts w:ascii="宋体" w:hAnsi="宋体" w:cs="宋体"/>
                <w:kern w:val="0"/>
                <w:sz w:val="18"/>
                <w:szCs w:val="18"/>
              </w:rPr>
              <w:t>24</w:t>
            </w:r>
            <w:r>
              <w:rPr>
                <w:rFonts w:hint="eastAsia" w:ascii="宋体" w:hAnsi="宋体" w:cs="宋体"/>
                <w:kern w:val="0"/>
                <w:sz w:val="18"/>
                <w:szCs w:val="18"/>
              </w:rPr>
              <w:t>个千兆网口，</w:t>
            </w:r>
            <w:r>
              <w:rPr>
                <w:rFonts w:ascii="宋体" w:hAnsi="宋体" w:cs="宋体"/>
                <w:kern w:val="0"/>
                <w:sz w:val="18"/>
                <w:szCs w:val="18"/>
              </w:rPr>
              <w:t>其中</w:t>
            </w:r>
            <w:r>
              <w:rPr>
                <w:rFonts w:hint="eastAsia" w:ascii="宋体" w:hAnsi="宋体" w:cs="宋体"/>
                <w:kern w:val="0"/>
                <w:sz w:val="18"/>
                <w:szCs w:val="18"/>
              </w:rPr>
              <w:t>包括4个光口（含单模光模块）；</w:t>
            </w:r>
          </w:p>
          <w:p w14:paraId="2814EA07">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电源和风扇：</w:t>
            </w:r>
            <w:r>
              <w:rPr>
                <w:rFonts w:hint="eastAsia" w:ascii="宋体" w:hAnsi="宋体" w:cs="宋体"/>
                <w:kern w:val="0"/>
                <w:sz w:val="18"/>
                <w:szCs w:val="18"/>
              </w:rPr>
              <w:t>冗余交流电源模块及冗余风扇模块；</w:t>
            </w:r>
            <w:r>
              <w:rPr>
                <w:rFonts w:hint="eastAsia" w:cs="宋体"/>
                <w:kern w:val="0"/>
                <w:sz w:val="18"/>
                <w:szCs w:val="18"/>
              </w:rPr>
              <w:t>电源</w:t>
            </w:r>
            <w:r>
              <w:rPr>
                <w:rFonts w:cs="宋体"/>
                <w:kern w:val="0"/>
                <w:sz w:val="18"/>
                <w:szCs w:val="18"/>
              </w:rPr>
              <w:t>和风扇满配</w:t>
            </w:r>
            <w:r>
              <w:rPr>
                <w:rFonts w:hint="eastAsia" w:cs="宋体"/>
                <w:kern w:val="0"/>
                <w:sz w:val="18"/>
                <w:szCs w:val="18"/>
              </w:rPr>
              <w:t>；设备机箱（包括业务板卡区）宜采用后出风风道设计；</w:t>
            </w:r>
          </w:p>
          <w:p w14:paraId="4562E1A3">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支持Static routing，RIP，OSPF，IS-IS，BGP-4等路由协议，所有端口在路由振荡等复杂路由环境下线速转发；</w:t>
            </w:r>
          </w:p>
          <w:p w14:paraId="7D7714E9">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支持丰富的IPv4向IPv6的过渡技术：手工配置隧道、自动配置隧道、6to4隧道，GRE隧道，ISATAP隧道等；支持IPv4 over IPv6隧道和6PE；</w:t>
            </w:r>
          </w:p>
          <w:p w14:paraId="5C6A21A8">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支持IPv6静态路由，支持BGP4/BGP4+、RIPng、OSPFv3、ISISv6等动态路由协议；</w:t>
            </w:r>
          </w:p>
          <w:p w14:paraId="6E9A2356">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设备支持大路由表的管理和查找：IPV4 FIB&gt;=300K，IPV6 FIB&gt;=128K；</w:t>
            </w:r>
          </w:p>
          <w:p w14:paraId="2A4A9D5E">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支持MPLS TE，支持MPLS/BGP VPN，符合RFC2547bis协议；</w:t>
            </w:r>
          </w:p>
          <w:p w14:paraId="0B83F432">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支持三种跨域实现方式；</w:t>
            </w:r>
          </w:p>
          <w:p w14:paraId="603BDBDB">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支持VPLS/VLL等多种二层VPN技术，支持异种介质互联；</w:t>
            </w:r>
          </w:p>
          <w:p w14:paraId="736E5B83">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支持组播VPN；支持MPLS-TP；</w:t>
            </w:r>
          </w:p>
          <w:p w14:paraId="6BB9B390">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提供IP/LDP/VPN/TE/VLL快速重路由，支持IP/TE自动重路由；支持IGP/BGP/组播路由快速收敛、虚拟路由冗余协议（VRRP）、IP TRUNK链路分担备份、BFD快速检测、MPLS/Ethernet OAM、路由协议/端口/VLAN Damping等保护机制；</w:t>
            </w:r>
          </w:p>
          <w:p w14:paraId="4E2A88A2">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支持不中断转发（NSF），支持不中断路由（NSR），支持ISSU；</w:t>
            </w:r>
          </w:p>
          <w:p w14:paraId="50C8894A">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支持ACL报文过滤，支持URPF，支持GTSM，支持DHCP Snooping，支持防ARP攻击、防DOS攻击，支持MAC地址限制、MAC与IP绑定；</w:t>
            </w:r>
          </w:p>
          <w:p w14:paraId="3847BEF0">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支持netstream或netflow，支持流量监管CAR技术，支持拥塞避免；</w:t>
            </w:r>
          </w:p>
          <w:p w14:paraId="3374DBF9">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实配单板QOS队列数≥2K；</w:t>
            </w:r>
          </w:p>
          <w:p w14:paraId="2527B0AE">
            <w:pPr>
              <w:adjustRightInd w:val="0"/>
              <w:snapToGrid w:val="0"/>
              <w:spacing w:before="120" w:after="12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支持和业界主流厂家IPV6互联互通；</w:t>
            </w:r>
          </w:p>
          <w:p w14:paraId="7EB1D926">
            <w:pPr>
              <w:spacing w:before="0" w:after="0" w:line="240" w:lineRule="auto"/>
              <w:ind w:firstLine="0"/>
              <w:jc w:val="left"/>
              <w:rPr>
                <w:rFonts w:hint="eastAsia" w:ascii="宋体" w:hAnsi="宋体" w:cs="宋体"/>
                <w:kern w:val="0"/>
                <w:sz w:val="18"/>
                <w:szCs w:val="18"/>
              </w:rPr>
            </w:pPr>
            <w:r>
              <w:rPr>
                <w:rFonts w:hint="eastAsia" w:cs="宋体"/>
                <w:color w:val="000000" w:themeColor="text1"/>
                <w:kern w:val="0"/>
                <w:sz w:val="18"/>
                <w:szCs w:val="18"/>
                <w14:textFill>
                  <w14:solidFill>
                    <w14:schemeClr w14:val="tx1"/>
                  </w14:solidFill>
                </w14:textFill>
              </w:rPr>
              <w:t>提供软件热补丁技术，实现软件平滑升级；</w:t>
            </w:r>
          </w:p>
          <w:p w14:paraId="07E49420">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color w:val="000000" w:themeColor="text1"/>
                <w:kern w:val="0"/>
                <w:sz w:val="18"/>
                <w:szCs w:val="18"/>
                <w14:textFill>
                  <w14:solidFill>
                    <w14:schemeClr w14:val="tx1"/>
                  </w14:solidFill>
                </w14:textFill>
              </w:rPr>
              <w:t>售后服务：</w:t>
            </w:r>
            <w:r>
              <w:rPr>
                <w:rFonts w:hint="eastAsia" w:ascii="宋体" w:hAnsi="宋体" w:cs="宋体"/>
                <w:kern w:val="0"/>
                <w:sz w:val="18"/>
                <w:szCs w:val="18"/>
              </w:rPr>
              <w:t>设备到货验收合格后，</w:t>
            </w:r>
            <w:r>
              <w:rPr>
                <w:rFonts w:hint="eastAsia" w:cs="宋体"/>
                <w:kern w:val="0"/>
                <w:sz w:val="18"/>
                <w:szCs w:val="18"/>
              </w:rPr>
              <w:t>原厂提供5年免费上门维修服务，人工、配件、交通等任何费用全免；每天24小时、每周7天，4小时到现场的原厂商支持；提供原厂授权和原厂服务承诺函。</w:t>
            </w:r>
          </w:p>
        </w:tc>
      </w:tr>
      <w:tr w14:paraId="6D6E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66952A0D">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9</w:t>
            </w:r>
          </w:p>
        </w:tc>
        <w:tc>
          <w:tcPr>
            <w:tcW w:w="1520" w:type="dxa"/>
            <w:vAlign w:val="center"/>
          </w:tcPr>
          <w:p w14:paraId="037B15E9">
            <w:pPr>
              <w:spacing w:before="0" w:after="0" w:line="240" w:lineRule="auto"/>
              <w:ind w:firstLine="0"/>
              <w:jc w:val="center"/>
              <w:rPr>
                <w:rFonts w:hint="eastAsia" w:ascii="宋体" w:hAnsi="宋体" w:cs="宋体"/>
                <w:kern w:val="0"/>
                <w:sz w:val="18"/>
                <w:szCs w:val="18"/>
                <w:highlight w:val="yellow"/>
              </w:rPr>
            </w:pPr>
            <w:r>
              <w:rPr>
                <w:rFonts w:hint="eastAsia" w:ascii="宋体" w:hAnsi="宋体"/>
                <w:color w:val="000000"/>
                <w:kern w:val="0"/>
                <w:sz w:val="18"/>
                <w:szCs w:val="18"/>
                <w:highlight w:val="yellow"/>
              </w:rPr>
              <w:t>硬件运维console口接入器</w:t>
            </w:r>
          </w:p>
        </w:tc>
        <w:tc>
          <w:tcPr>
            <w:tcW w:w="6494" w:type="dxa"/>
            <w:vAlign w:val="center"/>
          </w:tcPr>
          <w:p w14:paraId="24042F50">
            <w:pPr>
              <w:spacing w:before="0" w:after="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端口要求：</w:t>
            </w:r>
          </w:p>
          <w:p w14:paraId="4F97D538">
            <w:pPr>
              <w:spacing w:before="0" w:after="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32口RS232（支持300-9600bps），每个端口支持8个会话数；2个以太网口（双网口具备2个IP地址和2个MAC地址）；</w:t>
            </w:r>
          </w:p>
          <w:p w14:paraId="0EDBB849">
            <w:pPr>
              <w:spacing w:before="0" w:after="0" w:line="240" w:lineRule="auto"/>
              <w:ind w:firstLine="0"/>
              <w:jc w:val="left"/>
              <w:rPr>
                <w:rFonts w:cs="宋体"/>
                <w:color w:val="000000" w:themeColor="text1"/>
                <w:kern w:val="0"/>
                <w:sz w:val="18"/>
                <w:szCs w:val="18"/>
                <w14:textFill>
                  <w14:solidFill>
                    <w14:schemeClr w14:val="tx1"/>
                  </w14:solidFill>
                </w14:textFill>
              </w:rPr>
            </w:pPr>
            <w:r>
              <w:rPr>
                <w:rFonts w:hint="eastAsia" w:cs="宋体"/>
                <w:color w:val="000000" w:themeColor="text1"/>
                <w:kern w:val="0"/>
                <w:sz w:val="18"/>
                <w:szCs w:val="18"/>
                <w14:textFill>
                  <w14:solidFill>
                    <w14:schemeClr w14:val="tx1"/>
                  </w14:solidFill>
                </w14:textFill>
              </w:rPr>
              <w:t>能力支持：</w:t>
            </w:r>
          </w:p>
          <w:p w14:paraId="1E39946D">
            <w:pPr>
              <w:spacing w:before="0" w:after="0" w:line="240" w:lineRule="auto"/>
              <w:ind w:firstLine="0"/>
              <w:jc w:val="left"/>
              <w:rPr>
                <w:rFonts w:hint="eastAsia" w:ascii="宋体" w:hAnsi="宋体"/>
                <w:color w:val="000000"/>
                <w:kern w:val="0"/>
                <w:sz w:val="18"/>
                <w:szCs w:val="18"/>
              </w:rPr>
            </w:pPr>
            <w:r>
              <w:rPr>
                <w:rFonts w:hint="eastAsia" w:cs="宋体"/>
                <w:color w:val="000000" w:themeColor="text1"/>
                <w:kern w:val="0"/>
                <w:sz w:val="18"/>
                <w:szCs w:val="18"/>
                <w14:textFill>
                  <w14:solidFill>
                    <w14:schemeClr w14:val="tx1"/>
                  </w14:solidFill>
                </w14:textFill>
              </w:rPr>
              <w:t>支持Linux下的Real COM/TTY驱动，TCP Server，TCP Client，DRDAS等工作模式；双电源冗</w:t>
            </w:r>
            <w:r>
              <w:rPr>
                <w:rFonts w:hint="eastAsia" w:ascii="宋体" w:hAnsi="宋体"/>
                <w:color w:val="000000"/>
                <w:kern w:val="0"/>
                <w:sz w:val="18"/>
                <w:szCs w:val="18"/>
              </w:rPr>
              <w:t>余输入（输入电压100-240VAC）；</w:t>
            </w:r>
          </w:p>
          <w:p w14:paraId="21FFCD27">
            <w:pPr>
              <w:spacing w:before="0" w:after="0" w:line="240" w:lineRule="auto"/>
              <w:ind w:firstLine="0"/>
              <w:jc w:val="left"/>
              <w:rPr>
                <w:rFonts w:hint="eastAsia" w:ascii="宋体" w:hAnsi="宋体" w:cs="宋体"/>
                <w:kern w:val="0"/>
                <w:sz w:val="18"/>
                <w:szCs w:val="18"/>
              </w:rPr>
            </w:pPr>
            <w:r>
              <w:rPr>
                <w:rFonts w:hint="eastAsia" w:ascii="宋体" w:hAnsi="宋体"/>
                <w:color w:val="000000"/>
                <w:kern w:val="0"/>
                <w:sz w:val="18"/>
                <w:szCs w:val="18"/>
              </w:rPr>
              <w:t>保修期：5年。</w:t>
            </w:r>
          </w:p>
        </w:tc>
      </w:tr>
      <w:tr w14:paraId="04F9D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308701AF">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10</w:t>
            </w:r>
          </w:p>
        </w:tc>
        <w:tc>
          <w:tcPr>
            <w:tcW w:w="1520" w:type="dxa"/>
            <w:vAlign w:val="center"/>
          </w:tcPr>
          <w:p w14:paraId="46586553">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CPOS（1端口，通道化E1）板卡-</w:t>
            </w:r>
            <w:r>
              <w:rPr>
                <w:rFonts w:ascii="宋体" w:hAnsi="宋体" w:cs="宋体"/>
                <w:kern w:val="0"/>
                <w:sz w:val="18"/>
                <w:szCs w:val="18"/>
                <w:highlight w:val="yellow"/>
              </w:rPr>
              <w:t>155M</w:t>
            </w:r>
          </w:p>
        </w:tc>
        <w:tc>
          <w:tcPr>
            <w:tcW w:w="6494" w:type="dxa"/>
            <w:vAlign w:val="center"/>
          </w:tcPr>
          <w:p w14:paraId="4833F752">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与专线路由器同品牌，兼容性良好。1端口155M  CPOS（通道化E1）接口（配单模光模块，≥15km，LC）</w:t>
            </w:r>
          </w:p>
          <w:p w14:paraId="0CA3DA49">
            <w:pPr>
              <w:spacing w:before="0" w:after="0" w:line="240" w:lineRule="auto"/>
              <w:ind w:firstLine="0"/>
              <w:jc w:val="left"/>
              <w:rPr>
                <w:rFonts w:hint="eastAsia" w:ascii="宋体" w:hAnsi="宋体" w:cs="宋体"/>
                <w:kern w:val="0"/>
                <w:sz w:val="18"/>
                <w:szCs w:val="18"/>
              </w:rPr>
            </w:pPr>
            <w:r>
              <w:rPr>
                <w:rFonts w:hint="eastAsia" w:ascii="宋体" w:hAnsi="宋体" w:cs="宋体"/>
                <w:color w:val="000000" w:themeColor="text1"/>
                <w:kern w:val="0"/>
                <w:sz w:val="18"/>
                <w:szCs w:val="18"/>
                <w14:textFill>
                  <w14:solidFill>
                    <w14:schemeClr w14:val="tx1"/>
                  </w14:solidFill>
                </w14:textFill>
              </w:rPr>
              <w:t>售后</w:t>
            </w:r>
            <w:r>
              <w:rPr>
                <w:rFonts w:ascii="宋体" w:hAnsi="宋体" w:cs="宋体"/>
                <w:color w:val="000000" w:themeColor="text1"/>
                <w:kern w:val="0"/>
                <w:sz w:val="18"/>
                <w:szCs w:val="18"/>
                <w14:textFill>
                  <w14:solidFill>
                    <w14:schemeClr w14:val="tx1"/>
                  </w14:solidFill>
                </w14:textFill>
              </w:rPr>
              <w:t>服务</w:t>
            </w:r>
            <w:r>
              <w:rPr>
                <w:rFonts w:hint="eastAsia" w:ascii="宋体" w:hAnsi="宋体" w:cs="宋体"/>
                <w:color w:val="000000" w:themeColor="text1"/>
                <w:kern w:val="0"/>
                <w:sz w:val="18"/>
                <w:szCs w:val="18"/>
                <w14:textFill>
                  <w14:solidFill>
                    <w14:schemeClr w14:val="tx1"/>
                  </w14:solidFill>
                </w14:textFill>
              </w:rPr>
              <w:t>：同</w:t>
            </w:r>
            <w:r>
              <w:rPr>
                <w:rFonts w:ascii="宋体" w:hAnsi="宋体" w:cs="宋体"/>
                <w:color w:val="000000" w:themeColor="text1"/>
                <w:kern w:val="0"/>
                <w:sz w:val="18"/>
                <w:szCs w:val="18"/>
                <w14:textFill>
                  <w14:solidFill>
                    <w14:schemeClr w14:val="tx1"/>
                  </w14:solidFill>
                </w14:textFill>
              </w:rPr>
              <w:t>配套</w:t>
            </w:r>
            <w:r>
              <w:rPr>
                <w:rFonts w:hint="eastAsia" w:ascii="宋体" w:hAnsi="宋体" w:cs="宋体"/>
                <w:color w:val="000000" w:themeColor="text1"/>
                <w:kern w:val="0"/>
                <w:sz w:val="18"/>
                <w:szCs w:val="18"/>
                <w14:textFill>
                  <w14:solidFill>
                    <w14:schemeClr w14:val="tx1"/>
                  </w14:solidFill>
                </w14:textFill>
              </w:rPr>
              <w:t>路由器</w:t>
            </w:r>
          </w:p>
        </w:tc>
      </w:tr>
      <w:tr w14:paraId="215F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010638A1">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11</w:t>
            </w:r>
          </w:p>
        </w:tc>
        <w:tc>
          <w:tcPr>
            <w:tcW w:w="1520" w:type="dxa"/>
            <w:vAlign w:val="center"/>
          </w:tcPr>
          <w:p w14:paraId="66B730FB">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CPOS（2端口，通道化E1）板卡-155M</w:t>
            </w:r>
          </w:p>
        </w:tc>
        <w:tc>
          <w:tcPr>
            <w:tcW w:w="6494" w:type="dxa"/>
            <w:vAlign w:val="center"/>
          </w:tcPr>
          <w:p w14:paraId="1CDF0BBE">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与专线路由器同品牌，兼容性良好。2端口155M  CPOS（通道化E1）接口（配单模光模块，≥15km，LC）</w:t>
            </w:r>
          </w:p>
          <w:p w14:paraId="33D22EF2">
            <w:pPr>
              <w:spacing w:before="0" w:after="0" w:line="240" w:lineRule="auto"/>
              <w:ind w:firstLine="0"/>
              <w:jc w:val="left"/>
              <w:rPr>
                <w:rFonts w:hint="eastAsia" w:ascii="宋体" w:hAnsi="宋体" w:cs="宋体"/>
                <w:kern w:val="0"/>
                <w:sz w:val="18"/>
                <w:szCs w:val="18"/>
              </w:rPr>
            </w:pPr>
            <w:r>
              <w:rPr>
                <w:rFonts w:hint="eastAsia" w:ascii="宋体" w:hAnsi="宋体" w:cs="宋体"/>
                <w:color w:val="000000" w:themeColor="text1"/>
                <w:kern w:val="0"/>
                <w:sz w:val="18"/>
                <w:szCs w:val="18"/>
                <w14:textFill>
                  <w14:solidFill>
                    <w14:schemeClr w14:val="tx1"/>
                  </w14:solidFill>
                </w14:textFill>
              </w:rPr>
              <w:t>售后</w:t>
            </w:r>
            <w:r>
              <w:rPr>
                <w:rFonts w:ascii="宋体" w:hAnsi="宋体" w:cs="宋体"/>
                <w:color w:val="000000" w:themeColor="text1"/>
                <w:kern w:val="0"/>
                <w:sz w:val="18"/>
                <w:szCs w:val="18"/>
                <w14:textFill>
                  <w14:solidFill>
                    <w14:schemeClr w14:val="tx1"/>
                  </w14:solidFill>
                </w14:textFill>
              </w:rPr>
              <w:t>服务</w:t>
            </w:r>
            <w:r>
              <w:rPr>
                <w:rFonts w:hint="eastAsia" w:ascii="宋体" w:hAnsi="宋体" w:cs="宋体"/>
                <w:color w:val="000000" w:themeColor="text1"/>
                <w:kern w:val="0"/>
                <w:sz w:val="18"/>
                <w:szCs w:val="18"/>
                <w14:textFill>
                  <w14:solidFill>
                    <w14:schemeClr w14:val="tx1"/>
                  </w14:solidFill>
                </w14:textFill>
              </w:rPr>
              <w:t>：同</w:t>
            </w:r>
            <w:r>
              <w:rPr>
                <w:rFonts w:ascii="宋体" w:hAnsi="宋体" w:cs="宋体"/>
                <w:color w:val="000000" w:themeColor="text1"/>
                <w:kern w:val="0"/>
                <w:sz w:val="18"/>
                <w:szCs w:val="18"/>
                <w14:textFill>
                  <w14:solidFill>
                    <w14:schemeClr w14:val="tx1"/>
                  </w14:solidFill>
                </w14:textFill>
              </w:rPr>
              <w:t>配套</w:t>
            </w:r>
            <w:r>
              <w:rPr>
                <w:rFonts w:hint="eastAsia" w:ascii="宋体" w:hAnsi="宋体" w:cs="宋体"/>
                <w:color w:val="000000" w:themeColor="text1"/>
                <w:kern w:val="0"/>
                <w:sz w:val="18"/>
                <w:szCs w:val="18"/>
                <w14:textFill>
                  <w14:solidFill>
                    <w14:schemeClr w14:val="tx1"/>
                  </w14:solidFill>
                </w14:textFill>
              </w:rPr>
              <w:t>路由器</w:t>
            </w:r>
          </w:p>
        </w:tc>
      </w:tr>
      <w:tr w14:paraId="127B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210" w:type="dxa"/>
            <w:vAlign w:val="center"/>
          </w:tcPr>
          <w:p w14:paraId="751D3B57">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12</w:t>
            </w:r>
          </w:p>
        </w:tc>
        <w:tc>
          <w:tcPr>
            <w:tcW w:w="1520" w:type="dxa"/>
            <w:vAlign w:val="center"/>
          </w:tcPr>
          <w:p w14:paraId="7D7A7E6D">
            <w:pPr>
              <w:spacing w:before="0" w:after="0" w:line="240" w:lineRule="auto"/>
              <w:ind w:firstLine="0"/>
              <w:jc w:val="center"/>
              <w:rPr>
                <w:rFonts w:hint="eastAsia" w:ascii="宋体" w:hAnsi="宋体" w:cs="宋体"/>
                <w:kern w:val="0"/>
                <w:sz w:val="18"/>
                <w:szCs w:val="18"/>
                <w:highlight w:val="yellow"/>
              </w:rPr>
            </w:pPr>
            <w:r>
              <w:rPr>
                <w:rFonts w:ascii="宋体" w:hAnsi="宋体" w:cs="宋体"/>
                <w:kern w:val="0"/>
                <w:sz w:val="18"/>
                <w:szCs w:val="18"/>
                <w:highlight w:val="yellow"/>
              </w:rPr>
              <w:t>E</w:t>
            </w:r>
            <w:r>
              <w:rPr>
                <w:rFonts w:hint="eastAsia" w:ascii="宋体" w:hAnsi="宋体" w:cs="宋体"/>
                <w:kern w:val="0"/>
                <w:sz w:val="18"/>
                <w:szCs w:val="18"/>
                <w:highlight w:val="yellow"/>
              </w:rPr>
              <w:t xml:space="preserve"> 1接口板卡</w:t>
            </w:r>
          </w:p>
        </w:tc>
        <w:tc>
          <w:tcPr>
            <w:tcW w:w="6494" w:type="dxa"/>
            <w:vAlign w:val="center"/>
          </w:tcPr>
          <w:p w14:paraId="5F510552">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单板卡支持的E1端口数不低于10个，并配置相应数量接口线缆（根据端口数量配置），线缆接口类型可根据项目实际情况定制。</w:t>
            </w:r>
          </w:p>
          <w:p w14:paraId="42460004">
            <w:pPr>
              <w:spacing w:before="0" w:after="0" w:line="240" w:lineRule="auto"/>
              <w:ind w:firstLine="0"/>
              <w:jc w:val="left"/>
              <w:rPr>
                <w:rFonts w:hint="eastAsia" w:ascii="宋体" w:hAnsi="宋体" w:cs="宋体"/>
                <w:kern w:val="0"/>
                <w:sz w:val="18"/>
                <w:szCs w:val="18"/>
              </w:rPr>
            </w:pPr>
            <w:r>
              <w:rPr>
                <w:rFonts w:hint="eastAsia" w:ascii="宋体" w:hAnsi="宋体" w:cs="宋体"/>
                <w:color w:val="000000" w:themeColor="text1"/>
                <w:kern w:val="0"/>
                <w:sz w:val="18"/>
                <w:szCs w:val="18"/>
                <w14:textFill>
                  <w14:solidFill>
                    <w14:schemeClr w14:val="tx1"/>
                  </w14:solidFill>
                </w14:textFill>
              </w:rPr>
              <w:t>售后</w:t>
            </w:r>
            <w:r>
              <w:rPr>
                <w:rFonts w:ascii="宋体" w:hAnsi="宋体" w:cs="宋体"/>
                <w:color w:val="000000" w:themeColor="text1"/>
                <w:kern w:val="0"/>
                <w:sz w:val="18"/>
                <w:szCs w:val="18"/>
                <w14:textFill>
                  <w14:solidFill>
                    <w14:schemeClr w14:val="tx1"/>
                  </w14:solidFill>
                </w14:textFill>
              </w:rPr>
              <w:t>服务</w:t>
            </w:r>
            <w:r>
              <w:rPr>
                <w:rFonts w:hint="eastAsia" w:ascii="宋体" w:hAnsi="宋体" w:cs="宋体"/>
                <w:color w:val="000000" w:themeColor="text1"/>
                <w:kern w:val="0"/>
                <w:sz w:val="18"/>
                <w:szCs w:val="18"/>
                <w14:textFill>
                  <w14:solidFill>
                    <w14:schemeClr w14:val="tx1"/>
                  </w14:solidFill>
                </w14:textFill>
              </w:rPr>
              <w:t>：同</w:t>
            </w:r>
            <w:r>
              <w:rPr>
                <w:rFonts w:ascii="宋体" w:hAnsi="宋体" w:cs="宋体"/>
                <w:color w:val="000000" w:themeColor="text1"/>
                <w:kern w:val="0"/>
                <w:sz w:val="18"/>
                <w:szCs w:val="18"/>
                <w14:textFill>
                  <w14:solidFill>
                    <w14:schemeClr w14:val="tx1"/>
                  </w14:solidFill>
                </w14:textFill>
              </w:rPr>
              <w:t>配套</w:t>
            </w:r>
            <w:r>
              <w:rPr>
                <w:rFonts w:hint="eastAsia" w:ascii="宋体" w:hAnsi="宋体" w:cs="宋体"/>
                <w:color w:val="000000" w:themeColor="text1"/>
                <w:kern w:val="0"/>
                <w:sz w:val="18"/>
                <w:szCs w:val="18"/>
                <w14:textFill>
                  <w14:solidFill>
                    <w14:schemeClr w14:val="tx1"/>
                  </w14:solidFill>
                </w14:textFill>
              </w:rPr>
              <w:t>路由器</w:t>
            </w:r>
          </w:p>
        </w:tc>
      </w:tr>
      <w:tr w14:paraId="3AEB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274A5BAB">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13</w:t>
            </w:r>
          </w:p>
        </w:tc>
        <w:tc>
          <w:tcPr>
            <w:tcW w:w="1520" w:type="dxa"/>
            <w:vAlign w:val="center"/>
          </w:tcPr>
          <w:p w14:paraId="6AAB6990">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48口三层接入交换机</w:t>
            </w:r>
          </w:p>
        </w:tc>
        <w:tc>
          <w:tcPr>
            <w:tcW w:w="6494" w:type="dxa"/>
            <w:vAlign w:val="center"/>
          </w:tcPr>
          <w:p w14:paraId="4CFDAD3A">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安全可靠：CPU、DRAM颗粒、FLASH、交换转发芯片等配置信息需要同时提供安全可靠芯片证明材料及承诺函（格式见附件四），且控制及转发处理单元要求必须为安全可靠的设计、研发、生产（提供相关证明文件）。</w:t>
            </w:r>
          </w:p>
        </w:tc>
      </w:tr>
      <w:tr w14:paraId="7401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7361D371">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13</w:t>
            </w:r>
          </w:p>
        </w:tc>
        <w:tc>
          <w:tcPr>
            <w:tcW w:w="1520" w:type="dxa"/>
            <w:vAlign w:val="center"/>
          </w:tcPr>
          <w:p w14:paraId="0AF999EE">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48口三层接入交换机</w:t>
            </w:r>
          </w:p>
        </w:tc>
        <w:tc>
          <w:tcPr>
            <w:tcW w:w="6494" w:type="dxa"/>
            <w:vAlign w:val="center"/>
          </w:tcPr>
          <w:p w14:paraId="2492E6F3">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交换机采用同一品牌；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不低于以下要求：</w:t>
            </w:r>
          </w:p>
          <w:p w14:paraId="32B2C78D">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企业级交换机</w:t>
            </w:r>
          </w:p>
          <w:p w14:paraId="0F9E4CCF">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机架式安装；</w:t>
            </w:r>
          </w:p>
          <w:p w14:paraId="46F559D8">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3层交换；</w:t>
            </w:r>
          </w:p>
          <w:p w14:paraId="4D849998">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支持堆叠或M-LAG功能并配置堆叠所需的配件及线缆，相应配件及线缆支持的堆叠距离不低于3米；</w:t>
            </w:r>
          </w:p>
          <w:p w14:paraId="73054C2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支持静态、RIP、OSPF等路由协议；</w:t>
            </w:r>
          </w:p>
          <w:p w14:paraId="2D47A8F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kern w:val="0"/>
                <w:sz w:val="20"/>
              </w:rPr>
              <w:t>支持802.1d、802.1s和802.1w生成树协议</w:t>
            </w:r>
            <w:r>
              <w:rPr>
                <w:rFonts w:hint="eastAsia" w:ascii="宋体" w:hAnsi="宋体" w:cs="宋体"/>
                <w:color w:val="000000" w:themeColor="text1"/>
                <w:kern w:val="0"/>
                <w:sz w:val="18"/>
                <w:szCs w:val="18"/>
                <w14:textFill>
                  <w14:solidFill>
                    <w14:schemeClr w14:val="tx1"/>
                  </w14:solidFill>
                </w14:textFill>
              </w:rPr>
              <w:t>；</w:t>
            </w:r>
          </w:p>
          <w:p w14:paraId="312A177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不少于48个10/100/1000M自适应电口；</w:t>
            </w:r>
          </w:p>
          <w:p w14:paraId="36D34D9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不少于</w:t>
            </w:r>
            <w:r>
              <w:rPr>
                <w:rFonts w:ascii="宋体" w:hAnsi="宋体" w:cs="宋体"/>
                <w:color w:val="000000" w:themeColor="text1"/>
                <w:kern w:val="0"/>
                <w:sz w:val="18"/>
                <w:szCs w:val="18"/>
                <w14:textFill>
                  <w14:solidFill>
                    <w14:schemeClr w14:val="tx1"/>
                  </w14:solidFill>
                </w14:textFill>
              </w:rPr>
              <w:t>4个</w:t>
            </w:r>
            <w:r>
              <w:rPr>
                <w:rFonts w:hint="eastAsia" w:ascii="宋体" w:hAnsi="宋体" w:cs="宋体"/>
                <w:color w:val="000000" w:themeColor="text1"/>
                <w:kern w:val="0"/>
                <w:sz w:val="18"/>
                <w:szCs w:val="18"/>
                <w14:textFill>
                  <w14:solidFill>
                    <w14:schemeClr w14:val="tx1"/>
                  </w14:solidFill>
                </w14:textFill>
              </w:rPr>
              <w:t>万</w:t>
            </w:r>
            <w:r>
              <w:rPr>
                <w:rFonts w:ascii="宋体" w:hAnsi="宋体" w:cs="宋体"/>
                <w:color w:val="000000" w:themeColor="text1"/>
                <w:kern w:val="0"/>
                <w:sz w:val="18"/>
                <w:szCs w:val="18"/>
                <w14:textFill>
                  <w14:solidFill>
                    <w14:schemeClr w14:val="tx1"/>
                  </w14:solidFill>
                </w14:textFill>
              </w:rPr>
              <w:t>兆</w:t>
            </w:r>
            <w:r>
              <w:rPr>
                <w:rFonts w:hint="eastAsia" w:ascii="宋体" w:hAnsi="宋体" w:cs="宋体"/>
                <w:color w:val="000000" w:themeColor="text1"/>
                <w:kern w:val="0"/>
                <w:sz w:val="18"/>
                <w:szCs w:val="18"/>
                <w14:textFill>
                  <w14:solidFill>
                    <w14:schemeClr w14:val="tx1"/>
                  </w14:solidFill>
                </w14:textFill>
              </w:rPr>
              <w:t>光口</w:t>
            </w:r>
            <w:r>
              <w:rPr>
                <w:rFonts w:ascii="宋体" w:hAnsi="宋体" w:cs="宋体"/>
                <w:color w:val="000000" w:themeColor="text1"/>
                <w:kern w:val="0"/>
                <w:sz w:val="18"/>
                <w:szCs w:val="18"/>
                <w14:textFill>
                  <w14:solidFill>
                    <w14:schemeClr w14:val="tx1"/>
                  </w14:solidFill>
                </w14:textFill>
              </w:rPr>
              <w:t>，</w:t>
            </w:r>
            <w:r>
              <w:rPr>
                <w:rFonts w:hint="eastAsia" w:ascii="宋体" w:hAnsi="宋体" w:cs="宋体"/>
                <w:color w:val="000000" w:themeColor="text1"/>
                <w:kern w:val="0"/>
                <w:sz w:val="18"/>
                <w:szCs w:val="18"/>
                <w14:textFill>
                  <w14:solidFill>
                    <w14:schemeClr w14:val="tx1"/>
                  </w14:solidFill>
                </w14:textFill>
              </w:rPr>
              <w:t>配置2个万兆单模光</w:t>
            </w:r>
            <w:r>
              <w:rPr>
                <w:rFonts w:ascii="宋体" w:hAnsi="宋体" w:cs="宋体"/>
                <w:color w:val="000000" w:themeColor="text1"/>
                <w:kern w:val="0"/>
                <w:sz w:val="18"/>
                <w:szCs w:val="18"/>
                <w14:textFill>
                  <w14:solidFill>
                    <w14:schemeClr w14:val="tx1"/>
                  </w14:solidFill>
                </w14:textFill>
              </w:rPr>
              <w:t>模块，</w:t>
            </w:r>
            <w:r>
              <w:rPr>
                <w:rFonts w:hint="eastAsia" w:ascii="宋体" w:hAnsi="宋体" w:cs="宋体"/>
                <w:color w:val="000000" w:themeColor="text1"/>
                <w:kern w:val="0"/>
                <w:sz w:val="18"/>
                <w:szCs w:val="18"/>
                <w14:textFill>
                  <w14:solidFill>
                    <w14:schemeClr w14:val="tx1"/>
                  </w14:solidFill>
                </w14:textFill>
              </w:rPr>
              <w:t>2个万兆多模光</w:t>
            </w:r>
            <w:r>
              <w:rPr>
                <w:rFonts w:ascii="宋体" w:hAnsi="宋体" w:cs="宋体"/>
                <w:color w:val="000000" w:themeColor="text1"/>
                <w:kern w:val="0"/>
                <w:sz w:val="18"/>
                <w:szCs w:val="18"/>
                <w14:textFill>
                  <w14:solidFill>
                    <w14:schemeClr w14:val="tx1"/>
                  </w14:solidFill>
                </w14:textFill>
              </w:rPr>
              <w:t>模块；</w:t>
            </w:r>
          </w:p>
          <w:p w14:paraId="635411B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交换容量≥320Gbps，</w:t>
            </w:r>
          </w:p>
          <w:p w14:paraId="2B376E7F">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二/三层包转发能力≥128Mpps；</w:t>
            </w:r>
          </w:p>
          <w:p w14:paraId="0896C4A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支持VLAN间的访问控制列表。</w:t>
            </w:r>
          </w:p>
          <w:p w14:paraId="1B02C4DC">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支持VLAN数目≥4K。</w:t>
            </w:r>
          </w:p>
          <w:p w14:paraId="5446FA5F">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支持链路聚合；</w:t>
            </w:r>
          </w:p>
          <w:p w14:paraId="41FFEF2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冗余双交流电源模块（失去1路电源不影响正常运行）；</w:t>
            </w:r>
            <w:r>
              <w:rPr>
                <w:rFonts w:hint="eastAsia" w:cs="宋体"/>
                <w:kern w:val="0"/>
                <w:sz w:val="18"/>
                <w:szCs w:val="18"/>
              </w:rPr>
              <w:t>电源</w:t>
            </w:r>
            <w:r>
              <w:rPr>
                <w:rFonts w:cs="宋体"/>
                <w:kern w:val="0"/>
                <w:sz w:val="18"/>
                <w:szCs w:val="18"/>
              </w:rPr>
              <w:t>和风扇满配</w:t>
            </w:r>
            <w:r>
              <w:rPr>
                <w:rFonts w:hint="eastAsia" w:cs="宋体"/>
                <w:kern w:val="0"/>
                <w:sz w:val="18"/>
                <w:szCs w:val="18"/>
              </w:rPr>
              <w:t>；</w:t>
            </w:r>
          </w:p>
          <w:p w14:paraId="12872A9A">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配备网管模组；</w:t>
            </w:r>
          </w:p>
          <w:p w14:paraId="667A1196">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color w:val="000000" w:themeColor="text1"/>
                <w:kern w:val="0"/>
                <w:sz w:val="18"/>
                <w:szCs w:val="18"/>
                <w14:textFill>
                  <w14:solidFill>
                    <w14:schemeClr w14:val="tx1"/>
                  </w14:solidFill>
                </w14:textFill>
              </w:rPr>
              <w:t>售后服务：</w:t>
            </w:r>
            <w:r>
              <w:rPr>
                <w:rFonts w:hint="eastAsia" w:ascii="宋体" w:hAnsi="宋体" w:cs="宋体"/>
                <w:kern w:val="0"/>
                <w:sz w:val="18"/>
                <w:szCs w:val="18"/>
              </w:rPr>
              <w:t>设备到货验收合格后，</w:t>
            </w:r>
            <w:r>
              <w:rPr>
                <w:rFonts w:hint="eastAsia" w:cs="宋体"/>
                <w:kern w:val="0"/>
                <w:sz w:val="18"/>
                <w:szCs w:val="18"/>
              </w:rPr>
              <w:t>原厂提供5年免费上门维修服务，人工、配件、交通等任何费用全免；每天24小时、每周7天，4小时到现场的原厂商支持；提供原厂授权和原厂服务承诺函。</w:t>
            </w:r>
          </w:p>
        </w:tc>
      </w:tr>
      <w:tr w14:paraId="5EC4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tcBorders>
              <w:top w:val="single" w:color="auto" w:sz="4" w:space="0"/>
              <w:left w:val="single" w:color="auto" w:sz="4" w:space="0"/>
              <w:bottom w:val="single" w:color="auto" w:sz="4" w:space="0"/>
              <w:right w:val="single" w:color="auto" w:sz="4" w:space="0"/>
            </w:tcBorders>
            <w:vAlign w:val="center"/>
          </w:tcPr>
          <w:p w14:paraId="7C29C4C0">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14</w:t>
            </w:r>
          </w:p>
        </w:tc>
        <w:tc>
          <w:tcPr>
            <w:tcW w:w="1520" w:type="dxa"/>
            <w:tcBorders>
              <w:top w:val="single" w:color="auto" w:sz="4" w:space="0"/>
              <w:left w:val="single" w:color="auto" w:sz="4" w:space="0"/>
              <w:bottom w:val="single" w:color="auto" w:sz="4" w:space="0"/>
              <w:right w:val="single" w:color="auto" w:sz="4" w:space="0"/>
            </w:tcBorders>
            <w:vAlign w:val="center"/>
          </w:tcPr>
          <w:p w14:paraId="696DF0F5">
            <w:pPr>
              <w:spacing w:before="0" w:after="0" w:line="240" w:lineRule="auto"/>
              <w:ind w:firstLine="0"/>
              <w:jc w:val="center"/>
              <w:rPr>
                <w:color w:val="000000" w:themeColor="text1"/>
                <w:kern w:val="0"/>
                <w:sz w:val="18"/>
                <w:szCs w:val="18"/>
                <w:highlight w:val="yellow"/>
                <w14:textFill>
                  <w14:solidFill>
                    <w14:schemeClr w14:val="tx1"/>
                  </w14:solidFill>
                </w14:textFill>
              </w:rPr>
            </w:pPr>
            <w:r>
              <w:rPr>
                <w:color w:val="000000" w:themeColor="text1"/>
                <w:kern w:val="0"/>
                <w:sz w:val="18"/>
                <w:szCs w:val="18"/>
                <w:highlight w:val="yellow"/>
                <w14:textFill>
                  <w14:solidFill>
                    <w14:schemeClr w14:val="tx1"/>
                  </w14:solidFill>
                </w14:textFill>
              </w:rPr>
              <w:t>核心交换机</w:t>
            </w:r>
            <w:r>
              <w:rPr>
                <w:rFonts w:hint="eastAsia"/>
                <w:color w:val="000000" w:themeColor="text1"/>
                <w:kern w:val="0"/>
                <w:sz w:val="18"/>
                <w:szCs w:val="18"/>
                <w:highlight w:val="yellow"/>
                <w14:textFill>
                  <w14:solidFill>
                    <w14:schemeClr w14:val="tx1"/>
                  </w14:solidFill>
                </w14:textFill>
              </w:rPr>
              <w:t>100</w:t>
            </w:r>
            <w:r>
              <w:rPr>
                <w:color w:val="000000" w:themeColor="text1"/>
                <w:kern w:val="0"/>
                <w:sz w:val="18"/>
                <w:szCs w:val="18"/>
                <w:highlight w:val="yellow"/>
                <w14:textFill>
                  <w14:solidFill>
                    <w14:schemeClr w14:val="tx1"/>
                  </w14:solidFill>
                </w14:textFill>
              </w:rPr>
              <w:t>Gbps光模块（多模）</w:t>
            </w:r>
          </w:p>
        </w:tc>
        <w:tc>
          <w:tcPr>
            <w:tcW w:w="6494" w:type="dxa"/>
            <w:tcBorders>
              <w:top w:val="single" w:color="auto" w:sz="4" w:space="0"/>
              <w:left w:val="single" w:color="auto" w:sz="4" w:space="0"/>
              <w:bottom w:val="single" w:color="auto" w:sz="4" w:space="0"/>
              <w:right w:val="single" w:color="auto" w:sz="4" w:space="0"/>
            </w:tcBorders>
            <w:vAlign w:val="center"/>
          </w:tcPr>
          <w:p w14:paraId="39C1E6E8">
            <w:pPr>
              <w:spacing w:before="0" w:after="0" w:line="240" w:lineRule="auto"/>
              <w:ind w:firstLine="0"/>
              <w:jc w:val="lef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100</w:t>
            </w:r>
            <w:r>
              <w:rPr>
                <w:color w:val="000000" w:themeColor="text1"/>
                <w:kern w:val="0"/>
                <w:sz w:val="18"/>
                <w:szCs w:val="18"/>
                <w14:textFill>
                  <w14:solidFill>
                    <w14:schemeClr w14:val="tx1"/>
                  </w14:solidFill>
                </w14:textFill>
              </w:rPr>
              <w:t>GE 多模光模块（必须与所投一档核心交换机匹配），售后服务：同配套交换机。</w:t>
            </w:r>
          </w:p>
        </w:tc>
      </w:tr>
      <w:tr w14:paraId="3516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tcBorders>
              <w:top w:val="single" w:color="auto" w:sz="4" w:space="0"/>
              <w:left w:val="single" w:color="auto" w:sz="4" w:space="0"/>
              <w:bottom w:val="single" w:color="auto" w:sz="4" w:space="0"/>
              <w:right w:val="single" w:color="auto" w:sz="4" w:space="0"/>
            </w:tcBorders>
            <w:vAlign w:val="center"/>
          </w:tcPr>
          <w:p w14:paraId="27368EED">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15</w:t>
            </w:r>
          </w:p>
        </w:tc>
        <w:tc>
          <w:tcPr>
            <w:tcW w:w="1520" w:type="dxa"/>
            <w:tcBorders>
              <w:top w:val="single" w:color="auto" w:sz="4" w:space="0"/>
              <w:left w:val="single" w:color="auto" w:sz="4" w:space="0"/>
              <w:bottom w:val="single" w:color="auto" w:sz="4" w:space="0"/>
              <w:right w:val="single" w:color="auto" w:sz="4" w:space="0"/>
            </w:tcBorders>
            <w:vAlign w:val="center"/>
          </w:tcPr>
          <w:p w14:paraId="7315E6D2">
            <w:pPr>
              <w:spacing w:before="0" w:after="0" w:line="240" w:lineRule="auto"/>
              <w:ind w:firstLine="0"/>
              <w:jc w:val="center"/>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核心交换机40Gbps光模块（多模）</w:t>
            </w:r>
          </w:p>
        </w:tc>
        <w:tc>
          <w:tcPr>
            <w:tcW w:w="6494" w:type="dxa"/>
            <w:tcBorders>
              <w:top w:val="single" w:color="auto" w:sz="4" w:space="0"/>
              <w:left w:val="single" w:color="auto" w:sz="4" w:space="0"/>
              <w:bottom w:val="single" w:color="auto" w:sz="4" w:space="0"/>
              <w:right w:val="single" w:color="auto" w:sz="4" w:space="0"/>
            </w:tcBorders>
            <w:vAlign w:val="center"/>
          </w:tcPr>
          <w:p w14:paraId="2A45067E">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40GE 多模光模块（必须与所投一档核心交换机匹配），售后服务：同配套交换机。</w:t>
            </w:r>
          </w:p>
        </w:tc>
      </w:tr>
      <w:tr w14:paraId="1E4C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tcBorders>
              <w:top w:val="single" w:color="auto" w:sz="4" w:space="0"/>
              <w:left w:val="single" w:color="auto" w:sz="4" w:space="0"/>
              <w:bottom w:val="single" w:color="auto" w:sz="4" w:space="0"/>
              <w:right w:val="single" w:color="auto" w:sz="4" w:space="0"/>
            </w:tcBorders>
            <w:vAlign w:val="center"/>
          </w:tcPr>
          <w:p w14:paraId="49D68BAD">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16</w:t>
            </w:r>
          </w:p>
        </w:tc>
        <w:tc>
          <w:tcPr>
            <w:tcW w:w="1520" w:type="dxa"/>
            <w:tcBorders>
              <w:top w:val="single" w:color="auto" w:sz="4" w:space="0"/>
              <w:left w:val="single" w:color="auto" w:sz="4" w:space="0"/>
              <w:bottom w:val="single" w:color="auto" w:sz="4" w:space="0"/>
              <w:right w:val="single" w:color="auto" w:sz="4" w:space="0"/>
            </w:tcBorders>
            <w:vAlign w:val="center"/>
          </w:tcPr>
          <w:p w14:paraId="46B935F4">
            <w:pPr>
              <w:spacing w:before="0" w:after="0" w:line="240" w:lineRule="auto"/>
              <w:ind w:firstLine="0"/>
              <w:jc w:val="center"/>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核心交换机10Gbps光模块（单模）</w:t>
            </w:r>
          </w:p>
        </w:tc>
        <w:tc>
          <w:tcPr>
            <w:tcW w:w="6494" w:type="dxa"/>
            <w:tcBorders>
              <w:top w:val="single" w:color="auto" w:sz="4" w:space="0"/>
              <w:left w:val="single" w:color="auto" w:sz="4" w:space="0"/>
              <w:bottom w:val="single" w:color="auto" w:sz="4" w:space="0"/>
              <w:right w:val="single" w:color="auto" w:sz="4" w:space="0"/>
            </w:tcBorders>
            <w:vAlign w:val="center"/>
          </w:tcPr>
          <w:p w14:paraId="4A579DC4">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10GE 单模光模块（必须与所投一档核心交换机匹配），售后服务：同配套交换机。</w:t>
            </w:r>
          </w:p>
        </w:tc>
      </w:tr>
      <w:tr w14:paraId="19F7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tcBorders>
              <w:top w:val="single" w:color="auto" w:sz="4" w:space="0"/>
              <w:left w:val="single" w:color="auto" w:sz="4" w:space="0"/>
              <w:bottom w:val="single" w:color="auto" w:sz="4" w:space="0"/>
              <w:right w:val="single" w:color="auto" w:sz="4" w:space="0"/>
            </w:tcBorders>
            <w:vAlign w:val="center"/>
          </w:tcPr>
          <w:p w14:paraId="71B34D74">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17</w:t>
            </w:r>
          </w:p>
        </w:tc>
        <w:tc>
          <w:tcPr>
            <w:tcW w:w="1520" w:type="dxa"/>
            <w:tcBorders>
              <w:top w:val="single" w:color="auto" w:sz="4" w:space="0"/>
              <w:left w:val="single" w:color="auto" w:sz="4" w:space="0"/>
              <w:bottom w:val="single" w:color="auto" w:sz="4" w:space="0"/>
              <w:right w:val="single" w:color="auto" w:sz="4" w:space="0"/>
            </w:tcBorders>
            <w:vAlign w:val="center"/>
          </w:tcPr>
          <w:p w14:paraId="06AF57E6">
            <w:pPr>
              <w:spacing w:before="0" w:after="0" w:line="240" w:lineRule="auto"/>
              <w:ind w:firstLine="0"/>
              <w:jc w:val="center"/>
              <w:rPr>
                <w:rFonts w:hint="eastAsia" w:ascii="宋体" w:hAnsi="宋体" w:cs="宋体"/>
                <w:kern w:val="0"/>
                <w:sz w:val="18"/>
                <w:szCs w:val="18"/>
                <w:highlight w:val="yellow"/>
              </w:rPr>
            </w:pPr>
            <w:r>
              <w:rPr>
                <w:color w:val="000000" w:themeColor="text1"/>
                <w:kern w:val="0"/>
                <w:sz w:val="18"/>
                <w:szCs w:val="18"/>
                <w:highlight w:val="yellow"/>
                <w14:textFill>
                  <w14:solidFill>
                    <w14:schemeClr w14:val="tx1"/>
                  </w14:solidFill>
                </w14:textFill>
              </w:rPr>
              <w:t>核心交换机10Gbps光模块（多模）</w:t>
            </w:r>
          </w:p>
        </w:tc>
        <w:tc>
          <w:tcPr>
            <w:tcW w:w="6494" w:type="dxa"/>
            <w:tcBorders>
              <w:top w:val="single" w:color="auto" w:sz="4" w:space="0"/>
              <w:left w:val="single" w:color="auto" w:sz="4" w:space="0"/>
              <w:bottom w:val="single" w:color="auto" w:sz="4" w:space="0"/>
              <w:right w:val="single" w:color="auto" w:sz="4" w:space="0"/>
            </w:tcBorders>
            <w:vAlign w:val="center"/>
          </w:tcPr>
          <w:p w14:paraId="0FCBD6A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10GE 多模光模块（必须与所投一档核心交换机匹配），售后服务：同配套交换机。</w:t>
            </w:r>
          </w:p>
        </w:tc>
      </w:tr>
      <w:tr w14:paraId="6928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tcBorders>
              <w:top w:val="single" w:color="auto" w:sz="4" w:space="0"/>
              <w:left w:val="single" w:color="auto" w:sz="4" w:space="0"/>
              <w:bottom w:val="single" w:color="auto" w:sz="4" w:space="0"/>
              <w:right w:val="single" w:color="auto" w:sz="4" w:space="0"/>
            </w:tcBorders>
            <w:vAlign w:val="center"/>
          </w:tcPr>
          <w:p w14:paraId="370EC4E2">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18</w:t>
            </w:r>
          </w:p>
        </w:tc>
        <w:tc>
          <w:tcPr>
            <w:tcW w:w="1520" w:type="dxa"/>
            <w:tcBorders>
              <w:top w:val="single" w:color="auto" w:sz="4" w:space="0"/>
              <w:left w:val="single" w:color="auto" w:sz="4" w:space="0"/>
              <w:bottom w:val="single" w:color="auto" w:sz="4" w:space="0"/>
              <w:right w:val="single" w:color="auto" w:sz="4" w:space="0"/>
            </w:tcBorders>
            <w:vAlign w:val="center"/>
          </w:tcPr>
          <w:p w14:paraId="4CA3E6C5">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协议</w:t>
            </w:r>
            <w:r>
              <w:rPr>
                <w:rFonts w:ascii="宋体" w:hAnsi="宋体" w:cs="宋体"/>
                <w:kern w:val="0"/>
                <w:sz w:val="18"/>
                <w:szCs w:val="18"/>
                <w:highlight w:val="yellow"/>
              </w:rPr>
              <w:t>转换器</w:t>
            </w:r>
            <w:r>
              <w:rPr>
                <w:rFonts w:hint="eastAsia" w:ascii="宋体" w:hAnsi="宋体" w:cs="宋体"/>
                <w:kern w:val="0"/>
                <w:sz w:val="18"/>
                <w:szCs w:val="18"/>
                <w:highlight w:val="yellow"/>
              </w:rPr>
              <w:t>（一档）</w:t>
            </w:r>
          </w:p>
        </w:tc>
        <w:tc>
          <w:tcPr>
            <w:tcW w:w="6494" w:type="dxa"/>
            <w:tcBorders>
              <w:top w:val="single" w:color="auto" w:sz="4" w:space="0"/>
              <w:left w:val="single" w:color="auto" w:sz="4" w:space="0"/>
              <w:bottom w:val="single" w:color="auto" w:sz="4" w:space="0"/>
              <w:right w:val="single" w:color="auto" w:sz="4" w:space="0"/>
            </w:tcBorders>
            <w:vAlign w:val="center"/>
          </w:tcPr>
          <w:p w14:paraId="46D8F72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硬件架构</w:t>
            </w:r>
            <w:r>
              <w:rPr>
                <w:rFonts w:ascii="宋体" w:hAnsi="宋体" w:cs="宋体"/>
                <w:color w:val="000000" w:themeColor="text1"/>
                <w:kern w:val="0"/>
                <w:sz w:val="18"/>
                <w:szCs w:val="18"/>
                <w14:textFill>
                  <w14:solidFill>
                    <w14:schemeClr w14:val="tx1"/>
                  </w14:solidFill>
                </w14:textFill>
              </w:rPr>
              <w:t>：</w:t>
            </w:r>
          </w:p>
          <w:p w14:paraId="0C8E2FA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模块化设计，设备支持前出线，便于日常维护，槽位数量不少于15个槽位,业务槽不少于13个。</w:t>
            </w:r>
          </w:p>
          <w:p w14:paraId="45C68151">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主控交叉盘需支持1+1热备份，当其中主主控盘出现故障时，系统自动切换到从主控盘运行。</w:t>
            </w:r>
          </w:p>
          <w:p w14:paraId="6B5BD8FD">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各类用户业务接口板可任意混插，充分满足用户对业务接口类型及容量变化的需要。</w:t>
            </w:r>
          </w:p>
          <w:p w14:paraId="3DA05693">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各类用户业务接口板支持热插拔。</w:t>
            </w:r>
          </w:p>
          <w:p w14:paraId="4B261833">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背板设计：支持两个核心处理模块：SDH交叉处理模块，以太网交换处理模块，分别用于处理TDM和IP业务，可以保证不同类型的业务通过不同的总线进入到相应的处理模块中进行处理,要求TDM业务与宽带IP业务的处理完全独立，不相互占用资源</w:t>
            </w:r>
            <w:r>
              <w:rPr>
                <w:rFonts w:hint="eastAsia" w:ascii="宋体" w:hAnsi="宋体" w:cs="宋体"/>
                <w:color w:val="000000" w:themeColor="text1"/>
                <w:kern w:val="0"/>
                <w:sz w:val="18"/>
                <w:szCs w:val="18"/>
                <w14:textFill>
                  <w14:solidFill>
                    <w14:schemeClr w14:val="tx1"/>
                  </w14:solidFill>
                </w14:textFill>
              </w:rPr>
              <w:t>。</w:t>
            </w:r>
          </w:p>
          <w:p w14:paraId="0F7B2B5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串口数据由E1时隙中是透传采样</w:t>
            </w:r>
            <w:r>
              <w:rPr>
                <w:rFonts w:hint="eastAsia" w:ascii="宋体" w:hAnsi="宋体" w:cs="宋体"/>
                <w:color w:val="000000" w:themeColor="text1"/>
                <w:kern w:val="0"/>
                <w:sz w:val="18"/>
                <w:szCs w:val="18"/>
                <w14:textFill>
                  <w14:solidFill>
                    <w14:schemeClr w14:val="tx1"/>
                  </w14:solidFill>
                </w14:textFill>
              </w:rPr>
              <w:t>。</w:t>
            </w:r>
          </w:p>
          <w:p w14:paraId="033AF8D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每路串口走在</w:t>
            </w:r>
            <w:r>
              <w:rPr>
                <w:rFonts w:ascii="宋体" w:hAnsi="宋体" w:cs="宋体"/>
                <w:color w:val="000000" w:themeColor="text1"/>
                <w:kern w:val="0"/>
                <w:sz w:val="18"/>
                <w:szCs w:val="18"/>
                <w14:textFill>
                  <w14:solidFill>
                    <w14:schemeClr w14:val="tx1"/>
                  </w14:solidFill>
                </w14:textFill>
              </w:rPr>
              <w:t>E1接口中的时隙位置定义：自动交叉模式下，8路串口分别分配1-8时隙，第一路串口对应时隙1。</w:t>
            </w:r>
          </w:p>
          <w:p w14:paraId="0868D4C1">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指示灯：设备应当提供直观、方便的指示灯。建议包括电源指示灯、运行状态指示灯、告警状态指示灯等。</w:t>
            </w:r>
          </w:p>
          <w:p w14:paraId="38B6ADA2">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强大的业务扩容能力，满足当前业务类型和数量的情况下，还能提供足够的将来不同数量的业务需求，包括各种串行业务等。</w:t>
            </w:r>
          </w:p>
          <w:p w14:paraId="532FEF31">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语音铃流模块需集成于语音业务板卡中，且2路电话共用一个铃流模块，当发生故障时不影响其他话路的正常使用，不需单独提供铃流单元，以节省槽位，减少故障点，降低功耗。</w:t>
            </w:r>
          </w:p>
          <w:p w14:paraId="70F8031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电源采用单板式设计，支持双直流、双交流和交直流电源混插，支持电源 1＋1 热备份，支持对输入电源进行 EMC 滤波。</w:t>
            </w:r>
          </w:p>
          <w:p w14:paraId="759A7BF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工作环境：工作温度  0～50℃  相对湿度  5%～90% 无冷凝</w:t>
            </w:r>
            <w:r>
              <w:rPr>
                <w:rFonts w:hint="eastAsia" w:ascii="宋体" w:hAnsi="宋体" w:cs="宋体"/>
                <w:color w:val="000000" w:themeColor="text1"/>
                <w:kern w:val="0"/>
                <w:sz w:val="18"/>
                <w:szCs w:val="18"/>
                <w14:textFill>
                  <w14:solidFill>
                    <w14:schemeClr w14:val="tx1"/>
                  </w14:solidFill>
                </w14:textFill>
              </w:rPr>
              <w:t>；</w:t>
            </w:r>
          </w:p>
          <w:p w14:paraId="42929603">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设备配置</w:t>
            </w:r>
            <w:r>
              <w:rPr>
                <w:rFonts w:ascii="宋体" w:hAnsi="宋体" w:cs="宋体"/>
                <w:color w:val="000000" w:themeColor="text1"/>
                <w:kern w:val="0"/>
                <w:sz w:val="18"/>
                <w:szCs w:val="18"/>
                <w14:textFill>
                  <w14:solidFill>
                    <w14:schemeClr w14:val="tx1"/>
                  </w14:solidFill>
                </w14:textFill>
              </w:rPr>
              <w:t>：</w:t>
            </w:r>
          </w:p>
          <w:p w14:paraId="0C91BE7F">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双电源配置；单台协转支持</w:t>
            </w:r>
            <w:r>
              <w:rPr>
                <w:rFonts w:ascii="宋体" w:hAnsi="宋体" w:cs="宋体"/>
                <w:color w:val="000000" w:themeColor="text1"/>
                <w:kern w:val="0"/>
                <w:sz w:val="18"/>
                <w:szCs w:val="18"/>
                <w14:textFill>
                  <w14:solidFill>
                    <w14:schemeClr w14:val="tx1"/>
                  </w14:solidFill>
                </w14:textFill>
              </w:rPr>
              <w:t>126路E1专线接入；单串口通讯速率≥9600波特率，配置STM-1/4冗余板卡，双交叉网管卡，144路串口接入，配置网管软件</w:t>
            </w:r>
            <w:r>
              <w:rPr>
                <w:rFonts w:hint="eastAsia" w:ascii="宋体" w:hAnsi="宋体" w:cs="宋体"/>
                <w:color w:val="000000" w:themeColor="text1"/>
                <w:kern w:val="0"/>
                <w:sz w:val="18"/>
                <w:szCs w:val="18"/>
                <w14:textFill>
                  <w14:solidFill>
                    <w14:schemeClr w14:val="tx1"/>
                  </w14:solidFill>
                </w14:textFill>
              </w:rPr>
              <w:t>（</w:t>
            </w:r>
            <w:r>
              <w:rPr>
                <w:rFonts w:ascii="宋体" w:hAnsi="宋体" w:cs="宋体"/>
                <w:color w:val="000000" w:themeColor="text1"/>
                <w:kern w:val="0"/>
                <w:sz w:val="18"/>
                <w:szCs w:val="18"/>
                <w14:textFill>
                  <w14:solidFill>
                    <w14:schemeClr w14:val="tx1"/>
                  </w14:solidFill>
                </w14:textFill>
              </w:rPr>
              <w:t>部署</w:t>
            </w:r>
            <w:r>
              <w:rPr>
                <w:rFonts w:hint="eastAsia" w:ascii="宋体" w:hAnsi="宋体" w:cs="宋体"/>
                <w:color w:val="000000" w:themeColor="text1"/>
                <w:kern w:val="0"/>
                <w:sz w:val="18"/>
                <w:szCs w:val="18"/>
                <w14:textFill>
                  <w14:solidFill>
                    <w14:schemeClr w14:val="tx1"/>
                  </w14:solidFill>
                </w14:textFill>
              </w:rPr>
              <w:t>服务器</w:t>
            </w:r>
            <w:r>
              <w:rPr>
                <w:rFonts w:ascii="宋体" w:hAnsi="宋体" w:cs="宋体"/>
                <w:color w:val="000000" w:themeColor="text1"/>
                <w:kern w:val="0"/>
                <w:sz w:val="18"/>
                <w:szCs w:val="18"/>
                <w14:textFill>
                  <w14:solidFill>
                    <w14:schemeClr w14:val="tx1"/>
                  </w14:solidFill>
                </w14:textFill>
              </w:rPr>
              <w:t>由用户</w:t>
            </w:r>
            <w:r>
              <w:rPr>
                <w:rFonts w:hint="eastAsia" w:ascii="宋体" w:hAnsi="宋体" w:cs="宋体"/>
                <w:color w:val="000000" w:themeColor="text1"/>
                <w:kern w:val="0"/>
                <w:sz w:val="18"/>
                <w:szCs w:val="18"/>
                <w14:textFill>
                  <w14:solidFill>
                    <w14:schemeClr w14:val="tx1"/>
                  </w14:solidFill>
                </w14:textFill>
              </w:rPr>
              <w:t>另外</w:t>
            </w:r>
            <w:r>
              <w:rPr>
                <w:rFonts w:ascii="宋体" w:hAnsi="宋体" w:cs="宋体"/>
                <w:color w:val="000000" w:themeColor="text1"/>
                <w:kern w:val="0"/>
                <w:sz w:val="18"/>
                <w:szCs w:val="18"/>
                <w14:textFill>
                  <w14:solidFill>
                    <w14:schemeClr w14:val="tx1"/>
                  </w14:solidFill>
                </w14:textFill>
              </w:rPr>
              <w:t>选配</w:t>
            </w:r>
            <w:r>
              <w:rPr>
                <w:rFonts w:hint="eastAsia" w:ascii="宋体" w:hAnsi="宋体" w:cs="宋体"/>
                <w:color w:val="000000" w:themeColor="text1"/>
                <w:kern w:val="0"/>
                <w:sz w:val="18"/>
                <w:szCs w:val="18"/>
                <w14:textFill>
                  <w14:solidFill>
                    <w14:schemeClr w14:val="tx1"/>
                  </w14:solidFill>
                </w14:textFill>
              </w:rPr>
              <w:t>）。</w:t>
            </w:r>
          </w:p>
          <w:p w14:paraId="4E45B39A">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功能要求</w:t>
            </w:r>
            <w:r>
              <w:rPr>
                <w:rFonts w:ascii="宋体" w:hAnsi="宋体" w:cs="宋体"/>
                <w:color w:val="000000" w:themeColor="text1"/>
                <w:kern w:val="0"/>
                <w:sz w:val="18"/>
                <w:szCs w:val="18"/>
                <w14:textFill>
                  <w14:solidFill>
                    <w14:schemeClr w14:val="tx1"/>
                  </w14:solidFill>
                </w14:textFill>
              </w:rPr>
              <w:t>：</w:t>
            </w:r>
          </w:p>
          <w:p w14:paraId="6307EDE4">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设备必须具备64kbit/s全交叉连接功能，交叉能力不小于252个E1全交叉，必须满足126个E1通道上联，支持支持E1通道保护功能，必须具备标准SDH接口，速率不小于STM-1，且支持板内及板间通道保护，提高重要业务的安全性</w:t>
            </w:r>
            <w:r>
              <w:rPr>
                <w:rFonts w:hint="eastAsia" w:ascii="宋体" w:hAnsi="宋体" w:cs="宋体"/>
                <w:color w:val="000000" w:themeColor="text1"/>
                <w:kern w:val="0"/>
                <w:sz w:val="18"/>
                <w:szCs w:val="18"/>
                <w14:textFill>
                  <w14:solidFill>
                    <w14:schemeClr w14:val="tx1"/>
                  </w14:solidFill>
                </w14:textFill>
              </w:rPr>
              <w:t>；</w:t>
            </w:r>
          </w:p>
          <w:p w14:paraId="423E2097">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能够提供RS232接口，单板接口数量必须提供16路，可以根据远端业务规模选择符合要求的板卡，支持串行速率可设置，最大为115200bps，单盘功耗小于3W；</w:t>
            </w:r>
          </w:p>
          <w:p w14:paraId="647515BF">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能够提供RS485接口，单板接口数量不小于8路；</w:t>
            </w:r>
          </w:p>
          <w:p w14:paraId="7AD038DE">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能够提供64kb/s的数据接口，单板接口数量不小于16路，满足G.703 64Kb/s同向数据接口；</w:t>
            </w:r>
          </w:p>
          <w:p w14:paraId="21229FDA">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能够提供V24接口，单板接口数量不小于8路，支持同步速率64Kb/s，异步速率19.2Kb/s以下；</w:t>
            </w:r>
          </w:p>
          <w:p w14:paraId="485B23C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能够提供开关信息输出控制和开关信息输入检测。输入接口支持2个RJ45，输出接口支持2个凤凰端子。</w:t>
            </w:r>
          </w:p>
          <w:p w14:paraId="6B781188">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能够提供STM-1光口，单盘支持2路155M光接口，支持盘内光口保护倒换，支持跨盘的保护倒换，支持具有激光器自动关断功能ALS；</w:t>
            </w:r>
          </w:p>
          <w:p w14:paraId="78458DD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能够提供E1平衡、E1非平衡接口，单板接口数量不小于8路，支持盘内E1通道保护，E1接口码型满足HDB3，电气特性符合ITU-T G.703建议，帧结构符合ITU-T G.704建议，抖动符合ITU-T G.823建议</w:t>
            </w:r>
            <w:r>
              <w:rPr>
                <w:rFonts w:hint="eastAsia" w:ascii="宋体" w:hAnsi="宋体" w:cs="宋体"/>
                <w:color w:val="000000" w:themeColor="text1"/>
                <w:kern w:val="0"/>
                <w:sz w:val="18"/>
                <w:szCs w:val="18"/>
                <w14:textFill>
                  <w14:solidFill>
                    <w14:schemeClr w14:val="tx1"/>
                  </w14:solidFill>
                </w14:textFill>
              </w:rPr>
              <w:t>。</w:t>
            </w:r>
          </w:p>
          <w:p w14:paraId="1F6009B7">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设备必须具备时钟同步功能，能够2MHz外同步时钟接口</w:t>
            </w:r>
            <w:r>
              <w:rPr>
                <w:rFonts w:hint="eastAsia" w:ascii="宋体" w:hAnsi="宋体" w:cs="宋体"/>
                <w:color w:val="000000" w:themeColor="text1"/>
                <w:kern w:val="0"/>
                <w:sz w:val="18"/>
                <w:szCs w:val="18"/>
                <w14:textFill>
                  <w14:solidFill>
                    <w14:schemeClr w14:val="tx1"/>
                  </w14:solidFill>
                </w14:textFill>
              </w:rPr>
              <w:t>。</w:t>
            </w:r>
          </w:p>
          <w:p w14:paraId="42616E6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支持通过CONSOL接口对本地和远端设备的自检测试；</w:t>
            </w:r>
          </w:p>
          <w:p w14:paraId="2ED50C62">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支持SNMP协议，对设备进行带外管理；</w:t>
            </w:r>
          </w:p>
          <w:p w14:paraId="3E48D07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支持VCC 网管通道，通过建立VCC 网管通道来管理多台远端设备，适用于多种网络拓扑结构；</w:t>
            </w:r>
          </w:p>
          <w:p w14:paraId="0A7215F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网管系统能够提供全面高效的网络维护需求，功能完备，界面美观大方，且操作简单易用，能够满足业务开通与日常维护的需求；</w:t>
            </w:r>
          </w:p>
          <w:p w14:paraId="55C04E3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网管系统能够提供拓扑管理、配置管理、告警管理、性能管理、客户管理和安全管理等功能特性；</w:t>
            </w:r>
          </w:p>
          <w:p w14:paraId="4D854608">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具备北向接口，能够提供 CORBA、SNMP、JDBC、SOCKET 等多种接口方式，用于与业务运营。</w:t>
            </w:r>
          </w:p>
          <w:p w14:paraId="0CDC87A3">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基于南网安全规范要求，集中网管系统支持</w:t>
            </w:r>
            <w:r>
              <w:rPr>
                <w:rFonts w:hint="eastAsia" w:ascii="宋体" w:hAnsi="宋体" w:cs="宋体"/>
                <w:color w:val="000000" w:themeColor="text1"/>
                <w:kern w:val="0"/>
                <w:sz w:val="18"/>
                <w:szCs w:val="18"/>
                <w14:textFill>
                  <w14:solidFill>
                    <w14:schemeClr w14:val="tx1"/>
                  </w14:solidFill>
                </w14:textFill>
              </w:rPr>
              <w:t>主流安全可靠</w:t>
            </w:r>
            <w:r>
              <w:rPr>
                <w:rFonts w:ascii="宋体" w:hAnsi="宋体" w:cs="宋体"/>
                <w:color w:val="000000" w:themeColor="text1"/>
                <w:kern w:val="0"/>
                <w:sz w:val="18"/>
                <w:szCs w:val="18"/>
                <w14:textFill>
                  <w14:solidFill>
                    <w14:schemeClr w14:val="tx1"/>
                  </w14:solidFill>
                </w14:textFill>
              </w:rPr>
              <w:t>操作系统和数据库，提供CNAS认可的第三方检测机构检测报告；</w:t>
            </w:r>
          </w:p>
          <w:p w14:paraId="034C2CD2">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产品</w:t>
            </w:r>
            <w:r>
              <w:rPr>
                <w:rFonts w:ascii="宋体" w:hAnsi="宋体" w:cs="宋体"/>
                <w:color w:val="000000" w:themeColor="text1"/>
                <w:kern w:val="0"/>
                <w:sz w:val="18"/>
                <w:szCs w:val="18"/>
                <w14:textFill>
                  <w14:solidFill>
                    <w14:schemeClr w14:val="tx1"/>
                  </w14:solidFill>
                </w14:textFill>
              </w:rPr>
              <w:t>资质：</w:t>
            </w:r>
          </w:p>
          <w:p w14:paraId="1C60150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具有电信入网证书</w:t>
            </w:r>
            <w:r>
              <w:rPr>
                <w:rFonts w:hint="eastAsia" w:ascii="宋体" w:hAnsi="宋体" w:cs="宋体"/>
                <w:color w:val="000000" w:themeColor="text1"/>
                <w:kern w:val="0"/>
                <w:sz w:val="18"/>
                <w:szCs w:val="18"/>
                <w14:textFill>
                  <w14:solidFill>
                    <w14:schemeClr w14:val="tx1"/>
                  </w14:solidFill>
                </w14:textFill>
              </w:rPr>
              <w:t>。</w:t>
            </w:r>
          </w:p>
          <w:p w14:paraId="2D13BC3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质保要求：含五年原厂保修。</w:t>
            </w:r>
          </w:p>
        </w:tc>
      </w:tr>
      <w:tr w14:paraId="38DF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tcBorders>
              <w:top w:val="single" w:color="auto" w:sz="4" w:space="0"/>
              <w:left w:val="single" w:color="auto" w:sz="4" w:space="0"/>
              <w:bottom w:val="single" w:color="auto" w:sz="4" w:space="0"/>
              <w:right w:val="single" w:color="auto" w:sz="4" w:space="0"/>
            </w:tcBorders>
            <w:vAlign w:val="center"/>
          </w:tcPr>
          <w:p w14:paraId="44974809">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19</w:t>
            </w:r>
          </w:p>
        </w:tc>
        <w:tc>
          <w:tcPr>
            <w:tcW w:w="1520" w:type="dxa"/>
            <w:tcBorders>
              <w:top w:val="single" w:color="auto" w:sz="4" w:space="0"/>
              <w:left w:val="single" w:color="auto" w:sz="4" w:space="0"/>
              <w:bottom w:val="single" w:color="auto" w:sz="4" w:space="0"/>
              <w:right w:val="single" w:color="auto" w:sz="4" w:space="0"/>
            </w:tcBorders>
            <w:vAlign w:val="center"/>
          </w:tcPr>
          <w:p w14:paraId="7AB34BE5">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协议</w:t>
            </w:r>
            <w:r>
              <w:rPr>
                <w:rFonts w:ascii="宋体" w:hAnsi="宋体" w:cs="宋体"/>
                <w:kern w:val="0"/>
                <w:sz w:val="18"/>
                <w:szCs w:val="18"/>
                <w:highlight w:val="yellow"/>
              </w:rPr>
              <w:t>转换器</w:t>
            </w:r>
            <w:r>
              <w:rPr>
                <w:rFonts w:hint="eastAsia" w:ascii="宋体" w:hAnsi="宋体" w:cs="宋体"/>
                <w:kern w:val="0"/>
                <w:sz w:val="18"/>
                <w:szCs w:val="18"/>
                <w:highlight w:val="yellow"/>
              </w:rPr>
              <w:t>（二档）</w:t>
            </w:r>
          </w:p>
        </w:tc>
        <w:tc>
          <w:tcPr>
            <w:tcW w:w="6494" w:type="dxa"/>
            <w:tcBorders>
              <w:top w:val="single" w:color="auto" w:sz="4" w:space="0"/>
              <w:left w:val="single" w:color="auto" w:sz="4" w:space="0"/>
              <w:bottom w:val="single" w:color="auto" w:sz="4" w:space="0"/>
              <w:right w:val="single" w:color="auto" w:sz="4" w:space="0"/>
            </w:tcBorders>
            <w:vAlign w:val="center"/>
          </w:tcPr>
          <w:p w14:paraId="4B738D1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硬件架构</w:t>
            </w:r>
            <w:r>
              <w:rPr>
                <w:rFonts w:ascii="宋体" w:hAnsi="宋体" w:cs="宋体"/>
                <w:color w:val="000000" w:themeColor="text1"/>
                <w:kern w:val="0"/>
                <w:sz w:val="18"/>
                <w:szCs w:val="18"/>
                <w14:textFill>
                  <w14:solidFill>
                    <w14:schemeClr w14:val="tx1"/>
                  </w14:solidFill>
                </w14:textFill>
              </w:rPr>
              <w:t>：</w:t>
            </w:r>
          </w:p>
          <w:p w14:paraId="2AF8CA21">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模块化设计，设备支持前出线，便于日常维护，槽位数量不少于15个槽位,业务槽不少于13个。</w:t>
            </w:r>
          </w:p>
          <w:p w14:paraId="256F29DC">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主控交叉盘需支持1+1热备份，当其中主主控盘出现故障时，系统自动切换到从主控盘运行。</w:t>
            </w:r>
          </w:p>
          <w:p w14:paraId="34A5968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各类用户业务接口板可任意混插，充分满足用户对业务接口类型及容量变化的需要。</w:t>
            </w:r>
          </w:p>
          <w:p w14:paraId="4F8D201F">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各类用户业务接口板支持热插拔。</w:t>
            </w:r>
          </w:p>
          <w:p w14:paraId="741625FE">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背板设计：支持两个核心处理模块：SDH交叉处理模块，以太网交换处理模块，分别用于处理TDM和IP业务，可以保证不同类型的业务通过不同的总线进入到相应的处理模块中进行处理,要求TDM业务与宽带IP业务的处理完全独立，不相互占用资源</w:t>
            </w:r>
            <w:r>
              <w:rPr>
                <w:rFonts w:hint="eastAsia" w:ascii="宋体" w:hAnsi="宋体" w:cs="宋体"/>
                <w:color w:val="000000" w:themeColor="text1"/>
                <w:kern w:val="0"/>
                <w:sz w:val="18"/>
                <w:szCs w:val="18"/>
                <w14:textFill>
                  <w14:solidFill>
                    <w14:schemeClr w14:val="tx1"/>
                  </w14:solidFill>
                </w14:textFill>
              </w:rPr>
              <w:t>。</w:t>
            </w:r>
          </w:p>
          <w:p w14:paraId="10BC6E3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串口数据由E1时隙中是透传采样</w:t>
            </w:r>
            <w:r>
              <w:rPr>
                <w:rFonts w:hint="eastAsia" w:ascii="宋体" w:hAnsi="宋体" w:cs="宋体"/>
                <w:color w:val="000000" w:themeColor="text1"/>
                <w:kern w:val="0"/>
                <w:sz w:val="18"/>
                <w:szCs w:val="18"/>
                <w14:textFill>
                  <w14:solidFill>
                    <w14:schemeClr w14:val="tx1"/>
                  </w14:solidFill>
                </w14:textFill>
              </w:rPr>
              <w:t>。</w:t>
            </w:r>
          </w:p>
          <w:p w14:paraId="27DD3861">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每路串口走在</w:t>
            </w:r>
            <w:r>
              <w:rPr>
                <w:rFonts w:ascii="宋体" w:hAnsi="宋体" w:cs="宋体"/>
                <w:color w:val="000000" w:themeColor="text1"/>
                <w:kern w:val="0"/>
                <w:sz w:val="18"/>
                <w:szCs w:val="18"/>
                <w14:textFill>
                  <w14:solidFill>
                    <w14:schemeClr w14:val="tx1"/>
                  </w14:solidFill>
                </w14:textFill>
              </w:rPr>
              <w:t>E1接口中的时隙位置定义：自动交叉模式下，8路串口分别分配1-8时隙，第一路串口对应时隙1。</w:t>
            </w:r>
          </w:p>
          <w:p w14:paraId="6CC8B98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指示灯：设备应当提供直观、方便的指示灯。建议包括电源指示灯、运行状态指示灯、告警状态指示灯等。</w:t>
            </w:r>
          </w:p>
          <w:p w14:paraId="6B8162A7">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强大的业务扩容能力，满足当前业务类型和数量的情况下，还能提供足够的将来不同数量的业务需求，包括各种串行业务等。</w:t>
            </w:r>
          </w:p>
          <w:p w14:paraId="5DB283F2">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语音铃流模块需集成于语音业务板卡中，且2路电话共用一个铃流模块，当发生故障时不影响其他话路的正常使用，不需单独提供铃流单元，以节省槽位，减少故障点，降低功耗。</w:t>
            </w:r>
          </w:p>
          <w:p w14:paraId="247CCEAE">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电源采用单板式设计，支持双直流、双交流和交直流电源混插，支持电源 1＋1 热备份，支持对输入电源进行 EMC 滤波。</w:t>
            </w:r>
          </w:p>
          <w:p w14:paraId="6311B50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工作环境：工作温度  0～50℃  相对湿度  5%～90% 无冷凝</w:t>
            </w:r>
            <w:r>
              <w:rPr>
                <w:rFonts w:hint="eastAsia" w:ascii="宋体" w:hAnsi="宋体" w:cs="宋体"/>
                <w:color w:val="000000" w:themeColor="text1"/>
                <w:kern w:val="0"/>
                <w:sz w:val="18"/>
                <w:szCs w:val="18"/>
                <w14:textFill>
                  <w14:solidFill>
                    <w14:schemeClr w14:val="tx1"/>
                  </w14:solidFill>
                </w14:textFill>
              </w:rPr>
              <w:t>；</w:t>
            </w:r>
          </w:p>
          <w:p w14:paraId="395B1394">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设备配置</w:t>
            </w:r>
            <w:r>
              <w:rPr>
                <w:rFonts w:ascii="宋体" w:hAnsi="宋体" w:cs="宋体"/>
                <w:color w:val="000000" w:themeColor="text1"/>
                <w:kern w:val="0"/>
                <w:sz w:val="18"/>
                <w:szCs w:val="18"/>
                <w14:textFill>
                  <w14:solidFill>
                    <w14:schemeClr w14:val="tx1"/>
                  </w14:solidFill>
                </w14:textFill>
              </w:rPr>
              <w:t>：</w:t>
            </w:r>
          </w:p>
          <w:p w14:paraId="760AF186">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双电源配置；单台协转支持</w:t>
            </w:r>
            <w:r>
              <w:rPr>
                <w:rFonts w:ascii="宋体" w:hAnsi="宋体" w:cs="宋体"/>
                <w:color w:val="000000" w:themeColor="text1"/>
                <w:kern w:val="0"/>
                <w:sz w:val="18"/>
                <w:szCs w:val="18"/>
                <w14:textFill>
                  <w14:solidFill>
                    <w14:schemeClr w14:val="tx1"/>
                  </w14:solidFill>
                </w14:textFill>
              </w:rPr>
              <w:t>63路E1专线接入；单串口通讯速率≥9600波特率，配置STM-1/4冗余板卡，双交叉网管卡，72路串口接入，配置网管软件</w:t>
            </w:r>
            <w:r>
              <w:rPr>
                <w:rFonts w:hint="eastAsia" w:ascii="宋体" w:hAnsi="宋体" w:cs="宋体"/>
                <w:color w:val="000000" w:themeColor="text1"/>
                <w:kern w:val="0"/>
                <w:sz w:val="18"/>
                <w:szCs w:val="18"/>
                <w14:textFill>
                  <w14:solidFill>
                    <w14:schemeClr w14:val="tx1"/>
                  </w14:solidFill>
                </w14:textFill>
              </w:rPr>
              <w:t>（</w:t>
            </w:r>
            <w:r>
              <w:rPr>
                <w:rFonts w:ascii="宋体" w:hAnsi="宋体" w:cs="宋体"/>
                <w:color w:val="000000" w:themeColor="text1"/>
                <w:kern w:val="0"/>
                <w:sz w:val="18"/>
                <w:szCs w:val="18"/>
                <w14:textFill>
                  <w14:solidFill>
                    <w14:schemeClr w14:val="tx1"/>
                  </w14:solidFill>
                </w14:textFill>
              </w:rPr>
              <w:t>部署</w:t>
            </w:r>
            <w:r>
              <w:rPr>
                <w:rFonts w:hint="eastAsia" w:ascii="宋体" w:hAnsi="宋体" w:cs="宋体"/>
                <w:color w:val="000000" w:themeColor="text1"/>
                <w:kern w:val="0"/>
                <w:sz w:val="18"/>
                <w:szCs w:val="18"/>
                <w14:textFill>
                  <w14:solidFill>
                    <w14:schemeClr w14:val="tx1"/>
                  </w14:solidFill>
                </w14:textFill>
              </w:rPr>
              <w:t>服务器</w:t>
            </w:r>
            <w:r>
              <w:rPr>
                <w:rFonts w:ascii="宋体" w:hAnsi="宋体" w:cs="宋体"/>
                <w:color w:val="000000" w:themeColor="text1"/>
                <w:kern w:val="0"/>
                <w:sz w:val="18"/>
                <w:szCs w:val="18"/>
                <w14:textFill>
                  <w14:solidFill>
                    <w14:schemeClr w14:val="tx1"/>
                  </w14:solidFill>
                </w14:textFill>
              </w:rPr>
              <w:t>由用户</w:t>
            </w:r>
            <w:r>
              <w:rPr>
                <w:rFonts w:hint="eastAsia" w:ascii="宋体" w:hAnsi="宋体" w:cs="宋体"/>
                <w:color w:val="000000" w:themeColor="text1"/>
                <w:kern w:val="0"/>
                <w:sz w:val="18"/>
                <w:szCs w:val="18"/>
                <w14:textFill>
                  <w14:solidFill>
                    <w14:schemeClr w14:val="tx1"/>
                  </w14:solidFill>
                </w14:textFill>
              </w:rPr>
              <w:t>另外</w:t>
            </w:r>
            <w:r>
              <w:rPr>
                <w:rFonts w:ascii="宋体" w:hAnsi="宋体" w:cs="宋体"/>
                <w:color w:val="000000" w:themeColor="text1"/>
                <w:kern w:val="0"/>
                <w:sz w:val="18"/>
                <w:szCs w:val="18"/>
                <w14:textFill>
                  <w14:solidFill>
                    <w14:schemeClr w14:val="tx1"/>
                  </w14:solidFill>
                </w14:textFill>
              </w:rPr>
              <w:t>选配</w:t>
            </w:r>
            <w:r>
              <w:rPr>
                <w:rFonts w:hint="eastAsia" w:ascii="宋体" w:hAnsi="宋体" w:cs="宋体"/>
                <w:color w:val="000000" w:themeColor="text1"/>
                <w:kern w:val="0"/>
                <w:sz w:val="18"/>
                <w:szCs w:val="18"/>
                <w14:textFill>
                  <w14:solidFill>
                    <w14:schemeClr w14:val="tx1"/>
                  </w14:solidFill>
                </w14:textFill>
              </w:rPr>
              <w:t>）。</w:t>
            </w:r>
          </w:p>
          <w:p w14:paraId="1CE09CF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功能要求</w:t>
            </w:r>
            <w:r>
              <w:rPr>
                <w:rFonts w:ascii="宋体" w:hAnsi="宋体" w:cs="宋体"/>
                <w:color w:val="000000" w:themeColor="text1"/>
                <w:kern w:val="0"/>
                <w:sz w:val="18"/>
                <w:szCs w:val="18"/>
                <w14:textFill>
                  <w14:solidFill>
                    <w14:schemeClr w14:val="tx1"/>
                  </w14:solidFill>
                </w14:textFill>
              </w:rPr>
              <w:t>：</w:t>
            </w:r>
          </w:p>
          <w:p w14:paraId="6FF17562">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设备必须具备64kbit/s全交叉连接功能，交叉能力不小于126个E1全交叉，必须满足63个E1通道上联，支持支持E1通道保护功能，必须具备标准SDH接口，速率不小于STM-1，且支持板内及板间通道保护，提高重要业务的安全性</w:t>
            </w:r>
            <w:r>
              <w:rPr>
                <w:rFonts w:hint="eastAsia" w:ascii="宋体" w:hAnsi="宋体" w:cs="宋体"/>
                <w:color w:val="000000" w:themeColor="text1"/>
                <w:kern w:val="0"/>
                <w:sz w:val="18"/>
                <w:szCs w:val="18"/>
                <w14:textFill>
                  <w14:solidFill>
                    <w14:schemeClr w14:val="tx1"/>
                  </w14:solidFill>
                </w14:textFill>
              </w:rPr>
              <w:t>；</w:t>
            </w:r>
          </w:p>
          <w:p w14:paraId="1D31146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能够提供RS232接口，单板接口数量必须提供16路，可以根据远端业务规模选择符合要求的板卡，支持串行速率可设置，最大为115200bps，单盘功耗小于3W；</w:t>
            </w:r>
          </w:p>
          <w:p w14:paraId="7EE8B18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能够提供RS485接口，单板接口数量不小于8路；</w:t>
            </w:r>
          </w:p>
          <w:p w14:paraId="3FEF300E">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能够提供64kb/s的数据接口，单板接口数量不小于16路，满足G.703 64Kb/s同向数据接口；</w:t>
            </w:r>
          </w:p>
          <w:p w14:paraId="561362ED">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能够提供V24接口，单板接口数量不小于8路，支持同步速率64Kb/s，异步速率19.2Kb/s以下；</w:t>
            </w:r>
          </w:p>
          <w:p w14:paraId="40C6EFC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能够提供开关信息输出控制和开关信息输入检测。输入接口支持2个RJ45，输出接口支持2个凤凰端子。</w:t>
            </w:r>
          </w:p>
          <w:p w14:paraId="2AE931F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能够提供STM-1光口，单盘支持2路155M光接口，支持盘内光口保护倒换，支持跨盘的保护倒换，支持具有激光器自动关断功能ALS；</w:t>
            </w:r>
          </w:p>
          <w:p w14:paraId="4F2E523A">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能够提供E1平衡、E1非平衡接口，单板接口数量不小于8路，支持盘内E1通道保护，E1接口码型满足HDB3，电气特性符合ITU-T G.703建议，帧结构符合ITU-T G.704建议，抖动符合ITU-T G.823建议</w:t>
            </w:r>
            <w:r>
              <w:rPr>
                <w:rFonts w:hint="eastAsia" w:ascii="宋体" w:hAnsi="宋体" w:cs="宋体"/>
                <w:color w:val="000000" w:themeColor="text1"/>
                <w:kern w:val="0"/>
                <w:sz w:val="18"/>
                <w:szCs w:val="18"/>
                <w14:textFill>
                  <w14:solidFill>
                    <w14:schemeClr w14:val="tx1"/>
                  </w14:solidFill>
                </w14:textFill>
              </w:rPr>
              <w:t>。</w:t>
            </w:r>
          </w:p>
          <w:p w14:paraId="3F156D30">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设备必须具备时钟同步功能，能够2MHz外同步时钟接口</w:t>
            </w:r>
            <w:r>
              <w:rPr>
                <w:rFonts w:hint="eastAsia" w:ascii="宋体" w:hAnsi="宋体" w:cs="宋体"/>
                <w:color w:val="000000" w:themeColor="text1"/>
                <w:kern w:val="0"/>
                <w:sz w:val="18"/>
                <w:szCs w:val="18"/>
                <w14:textFill>
                  <w14:solidFill>
                    <w14:schemeClr w14:val="tx1"/>
                  </w14:solidFill>
                </w14:textFill>
              </w:rPr>
              <w:t>。</w:t>
            </w:r>
          </w:p>
          <w:p w14:paraId="340A966A">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支持通过CONSOL接口对本地和远端设备的自检测试；</w:t>
            </w:r>
          </w:p>
          <w:p w14:paraId="1539416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支持SNMP协议，对设备进行带外管理；</w:t>
            </w:r>
          </w:p>
          <w:p w14:paraId="508E6DD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支持VCC 网管通道，通过建立VCC 网管通道来管理多台远端设备，适用于多种网络拓扑结构；</w:t>
            </w:r>
          </w:p>
          <w:p w14:paraId="0318F37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网管系统能够提供全面高效的网络维护需求，功能完备，界面美观大方，且操作简单易用，能够满足业务开通与日常维护的需求；</w:t>
            </w:r>
          </w:p>
          <w:p w14:paraId="6F415A6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网管系统能够提供拓扑管理、配置管理、告警管理、性能管理、客户管理和安全管理等功能特性；</w:t>
            </w:r>
          </w:p>
          <w:p w14:paraId="3935D50C">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具备北向接口，能够提供 CORBA、SNMP、JDBC、SOCKET 等多种接口方式，用于与业务运营。</w:t>
            </w:r>
          </w:p>
          <w:p w14:paraId="613AFD9B">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基于南网安全规范要求，集中网管系统支持</w:t>
            </w:r>
            <w:r>
              <w:rPr>
                <w:rFonts w:hint="eastAsia" w:ascii="宋体" w:hAnsi="宋体" w:cs="宋体"/>
                <w:color w:val="000000" w:themeColor="text1"/>
                <w:kern w:val="0"/>
                <w:sz w:val="18"/>
                <w:szCs w:val="18"/>
                <w14:textFill>
                  <w14:solidFill>
                    <w14:schemeClr w14:val="tx1"/>
                  </w14:solidFill>
                </w14:textFill>
              </w:rPr>
              <w:t>主流安全可靠</w:t>
            </w:r>
            <w:r>
              <w:rPr>
                <w:rFonts w:ascii="宋体" w:hAnsi="宋体" w:cs="宋体"/>
                <w:color w:val="000000" w:themeColor="text1"/>
                <w:kern w:val="0"/>
                <w:sz w:val="18"/>
                <w:szCs w:val="18"/>
                <w14:textFill>
                  <w14:solidFill>
                    <w14:schemeClr w14:val="tx1"/>
                  </w14:solidFill>
                </w14:textFill>
              </w:rPr>
              <w:t>操作系统和数据库，提供CNAS认可的第三方检测机构检测报告；</w:t>
            </w:r>
          </w:p>
          <w:p w14:paraId="2F2011C1">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产品</w:t>
            </w:r>
            <w:r>
              <w:rPr>
                <w:rFonts w:ascii="宋体" w:hAnsi="宋体" w:cs="宋体"/>
                <w:color w:val="000000" w:themeColor="text1"/>
                <w:kern w:val="0"/>
                <w:sz w:val="18"/>
                <w:szCs w:val="18"/>
                <w14:textFill>
                  <w14:solidFill>
                    <w14:schemeClr w14:val="tx1"/>
                  </w14:solidFill>
                </w14:textFill>
              </w:rPr>
              <w:t>资质：</w:t>
            </w:r>
          </w:p>
          <w:p w14:paraId="7C55E8E9">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具有电信入网证书</w:t>
            </w:r>
            <w:r>
              <w:rPr>
                <w:rFonts w:hint="eastAsia" w:ascii="宋体" w:hAnsi="宋体" w:cs="宋体"/>
                <w:color w:val="000000" w:themeColor="text1"/>
                <w:kern w:val="0"/>
                <w:sz w:val="18"/>
                <w:szCs w:val="18"/>
                <w14:textFill>
                  <w14:solidFill>
                    <w14:schemeClr w14:val="tx1"/>
                  </w14:solidFill>
                </w14:textFill>
              </w:rPr>
              <w:t>。</w:t>
            </w:r>
          </w:p>
          <w:p w14:paraId="06D51DA5">
            <w:pPr>
              <w:spacing w:before="0" w:after="0" w:line="240" w:lineRule="auto"/>
              <w:ind w:firstLine="0"/>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质保要求：含五年原厂保修。</w:t>
            </w:r>
          </w:p>
        </w:tc>
      </w:tr>
    </w:tbl>
    <w:p w14:paraId="5ED39F32">
      <w:pPr>
        <w:pStyle w:val="409"/>
        <w:snapToGrid/>
        <w:spacing w:before="120" w:after="120" w:line="360" w:lineRule="auto"/>
        <w:ind w:firstLine="0"/>
        <w:rPr>
          <w:rFonts w:hint="eastAsia"/>
          <w:sz w:val="24"/>
          <w:szCs w:val="24"/>
        </w:rPr>
      </w:pPr>
    </w:p>
    <w:p w14:paraId="778F1874">
      <w:pPr>
        <w:pStyle w:val="7"/>
        <w:widowControl/>
        <w:spacing w:line="360" w:lineRule="auto"/>
      </w:pPr>
      <w:bookmarkStart w:id="53" w:name="_Toc421263921"/>
      <w:bookmarkStart w:id="54" w:name="_Toc466122373"/>
      <w:bookmarkStart w:id="55" w:name="_Toc457308330"/>
      <w:r>
        <w:rPr>
          <w:rFonts w:hint="eastAsia"/>
        </w:rPr>
        <w:t>负载均衡器</w:t>
      </w:r>
    </w:p>
    <w:tbl>
      <w:tblPr>
        <w:tblStyle w:val="46"/>
        <w:tblW w:w="8297" w:type="dxa"/>
        <w:tblInd w:w="0" w:type="dxa"/>
        <w:tblLayout w:type="fixed"/>
        <w:tblCellMar>
          <w:top w:w="0" w:type="dxa"/>
          <w:left w:w="108" w:type="dxa"/>
          <w:bottom w:w="0" w:type="dxa"/>
          <w:right w:w="108" w:type="dxa"/>
        </w:tblCellMar>
      </w:tblPr>
      <w:tblGrid>
        <w:gridCol w:w="602"/>
        <w:gridCol w:w="1014"/>
        <w:gridCol w:w="6681"/>
      </w:tblGrid>
      <w:tr w14:paraId="56C1E3B9">
        <w:tblPrEx>
          <w:tblCellMar>
            <w:top w:w="0" w:type="dxa"/>
            <w:left w:w="108" w:type="dxa"/>
            <w:bottom w:w="0" w:type="dxa"/>
            <w:right w:w="108" w:type="dxa"/>
          </w:tblCellMar>
        </w:tblPrEx>
        <w:trPr>
          <w:trHeight w:val="270" w:hRule="atLeast"/>
        </w:trPr>
        <w:tc>
          <w:tcPr>
            <w:tcW w:w="1616" w:type="dxa"/>
            <w:gridSpan w:val="2"/>
            <w:tcBorders>
              <w:top w:val="single" w:color="auto" w:sz="12" w:space="0"/>
              <w:left w:val="single" w:color="auto" w:sz="12" w:space="0"/>
              <w:bottom w:val="single" w:color="auto" w:sz="12" w:space="0"/>
              <w:right w:val="single" w:color="auto" w:sz="12" w:space="0"/>
            </w:tcBorders>
            <w:vAlign w:val="center"/>
          </w:tcPr>
          <w:p w14:paraId="47AA0B6F">
            <w:pPr>
              <w:spacing w:before="0" w:after="0" w:line="240" w:lineRule="auto"/>
              <w:ind w:firstLine="0"/>
              <w:jc w:val="center"/>
              <w:rPr>
                <w:rFonts w:hint="eastAsia" w:cs="宋体" w:asciiTheme="majorEastAsia" w:hAnsiTheme="majorEastAsia" w:eastAsiaTheme="majorEastAsia"/>
                <w:b/>
                <w:bCs/>
                <w:kern w:val="0"/>
                <w:sz w:val="21"/>
                <w:szCs w:val="21"/>
              </w:rPr>
            </w:pPr>
            <w:r>
              <w:rPr>
                <w:rFonts w:hint="eastAsia" w:cs="宋体" w:asciiTheme="majorEastAsia" w:hAnsiTheme="majorEastAsia" w:eastAsiaTheme="majorEastAsia"/>
                <w:b/>
                <w:bCs/>
                <w:kern w:val="0"/>
                <w:sz w:val="21"/>
                <w:szCs w:val="21"/>
              </w:rPr>
              <w:t>技术指标</w:t>
            </w:r>
          </w:p>
        </w:tc>
        <w:tc>
          <w:tcPr>
            <w:tcW w:w="6681" w:type="dxa"/>
            <w:tcBorders>
              <w:top w:val="single" w:color="auto" w:sz="12" w:space="0"/>
              <w:left w:val="single" w:color="auto" w:sz="12" w:space="0"/>
              <w:bottom w:val="single" w:color="auto" w:sz="12" w:space="0"/>
              <w:right w:val="single" w:color="auto" w:sz="12" w:space="0"/>
            </w:tcBorders>
            <w:vAlign w:val="center"/>
          </w:tcPr>
          <w:p w14:paraId="61856D60">
            <w:pPr>
              <w:spacing w:before="0" w:after="0" w:line="240" w:lineRule="auto"/>
              <w:ind w:firstLine="0"/>
              <w:jc w:val="center"/>
              <w:rPr>
                <w:rFonts w:hint="eastAsia" w:cs="宋体" w:asciiTheme="majorEastAsia" w:hAnsiTheme="majorEastAsia" w:eastAsiaTheme="majorEastAsia"/>
                <w:b/>
                <w:bCs/>
                <w:kern w:val="0"/>
                <w:sz w:val="21"/>
                <w:szCs w:val="21"/>
              </w:rPr>
            </w:pPr>
            <w:r>
              <w:rPr>
                <w:rFonts w:hint="eastAsia" w:cs="宋体" w:asciiTheme="majorEastAsia" w:hAnsiTheme="majorEastAsia" w:eastAsiaTheme="majorEastAsia"/>
                <w:b/>
                <w:bCs/>
                <w:kern w:val="0"/>
                <w:sz w:val="21"/>
                <w:szCs w:val="21"/>
              </w:rPr>
              <w:t>指标要求</w:t>
            </w:r>
          </w:p>
        </w:tc>
      </w:tr>
      <w:tr w14:paraId="66A0F400">
        <w:tblPrEx>
          <w:tblCellMar>
            <w:top w:w="0" w:type="dxa"/>
            <w:left w:w="108" w:type="dxa"/>
            <w:bottom w:w="0" w:type="dxa"/>
            <w:right w:w="108" w:type="dxa"/>
          </w:tblCellMar>
        </w:tblPrEx>
        <w:trPr>
          <w:trHeight w:val="270"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674A26F7">
            <w:pPr>
              <w:spacing w:before="0" w:after="0" w:line="240" w:lineRule="auto"/>
              <w:ind w:firstLine="0"/>
              <w:jc w:val="center"/>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22C5CE1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★安全可靠</w:t>
            </w:r>
          </w:p>
          <w:p w14:paraId="1980F618">
            <w:pPr>
              <w:spacing w:before="0" w:after="0" w:line="240" w:lineRule="auto"/>
              <w:ind w:firstLine="0"/>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036DBC1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1）所提供产品的标准不得低于《通用服务器政府采购需求标准（2023版）》及《操作系统政府采购需求标准（2023版）》要求，且CPU芯片、操作系统等关键部件安全可靠等级不得低于Ⅰ级，详见中国信息安全测评中心（www.itsec.gov.cn）、国家保密科技测评中心(www.nsstec.gov.cn)公告结果。</w:t>
            </w:r>
          </w:p>
          <w:p w14:paraId="23D612E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2）CPU、SSD颗粒、DRAM颗粒、BMC、网卡芯片、电源模块控制芯片等配置信息需要同时提供安全可靠芯片证明材料及承诺函（格式见附件四）。</w:t>
            </w:r>
          </w:p>
        </w:tc>
      </w:tr>
      <w:tr w14:paraId="482AAC0B">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47BD7F0A">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流量管理</w:t>
            </w: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4BBF70B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*负载均衡算法</w:t>
            </w:r>
          </w:p>
        </w:tc>
        <w:tc>
          <w:tcPr>
            <w:tcW w:w="6681" w:type="dxa"/>
            <w:tcBorders>
              <w:top w:val="single" w:color="auto" w:sz="12" w:space="0"/>
              <w:left w:val="single" w:color="auto" w:sz="12" w:space="0"/>
              <w:bottom w:val="single" w:color="auto" w:sz="12" w:space="0"/>
              <w:right w:val="single" w:color="auto" w:sz="12" w:space="0"/>
            </w:tcBorders>
            <w:vAlign w:val="center"/>
          </w:tcPr>
          <w:p w14:paraId="0A53B3F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至少支持如下算法：</w:t>
            </w:r>
          </w:p>
        </w:tc>
      </w:tr>
      <w:tr w14:paraId="41CBA7D0">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8170222">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15B9878E">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099204B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轮询、加权轮询、最小连接、加权最小连接、IP哈希、URL哈希、最小延迟调度等；</w:t>
            </w:r>
          </w:p>
        </w:tc>
      </w:tr>
      <w:tr w14:paraId="0DAE9D81">
        <w:tblPrEx>
          <w:tblCellMar>
            <w:top w:w="0" w:type="dxa"/>
            <w:left w:w="108" w:type="dxa"/>
            <w:bottom w:w="0" w:type="dxa"/>
            <w:right w:w="108" w:type="dxa"/>
          </w:tblCellMar>
        </w:tblPrEx>
        <w:trPr>
          <w:trHeight w:val="1275"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CF1AD68">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1E963644">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03AC8D1F">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支持七层智能算法：基于HTTP请求中的Method、version、header、cookie、URL、 QueryString、QueryArgs等内容信息，或HTTPS请求中的客户端数字证书、Client.Cert.Subject、Client.Cert.Issuer、Client.Cert.SeialNumber、Client.Cert.Version等信息，实现基于内容的交换；</w:t>
            </w:r>
          </w:p>
        </w:tc>
      </w:tr>
      <w:tr w14:paraId="674629AC">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EDD1D0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03AF741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*VIP数量</w:t>
            </w:r>
          </w:p>
        </w:tc>
        <w:tc>
          <w:tcPr>
            <w:tcW w:w="6681" w:type="dxa"/>
            <w:tcBorders>
              <w:top w:val="single" w:color="auto" w:sz="12" w:space="0"/>
              <w:left w:val="single" w:color="auto" w:sz="12" w:space="0"/>
              <w:bottom w:val="single" w:color="auto" w:sz="12" w:space="0"/>
              <w:right w:val="single" w:color="auto" w:sz="12" w:space="0"/>
            </w:tcBorders>
            <w:vAlign w:val="center"/>
          </w:tcPr>
          <w:p w14:paraId="7D05EC4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≥40000个</w:t>
            </w:r>
          </w:p>
        </w:tc>
      </w:tr>
      <w:tr w14:paraId="69DEF8C3">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9B98939">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2DD20C1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*Server数量</w:t>
            </w:r>
          </w:p>
        </w:tc>
        <w:tc>
          <w:tcPr>
            <w:tcW w:w="6681" w:type="dxa"/>
            <w:tcBorders>
              <w:top w:val="single" w:color="auto" w:sz="12" w:space="0"/>
              <w:left w:val="single" w:color="auto" w:sz="12" w:space="0"/>
              <w:bottom w:val="single" w:color="auto" w:sz="12" w:space="0"/>
              <w:right w:val="single" w:color="auto" w:sz="12" w:space="0"/>
            </w:tcBorders>
            <w:vAlign w:val="center"/>
          </w:tcPr>
          <w:p w14:paraId="6E27045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无限制</w:t>
            </w:r>
          </w:p>
        </w:tc>
      </w:tr>
      <w:tr w14:paraId="19FBDA39">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9FA4BA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0234EDF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*健康检测</w:t>
            </w:r>
          </w:p>
        </w:tc>
        <w:tc>
          <w:tcPr>
            <w:tcW w:w="6681" w:type="dxa"/>
            <w:tcBorders>
              <w:top w:val="single" w:color="auto" w:sz="12" w:space="0"/>
              <w:left w:val="single" w:color="auto" w:sz="12" w:space="0"/>
              <w:bottom w:val="single" w:color="auto" w:sz="12" w:space="0"/>
              <w:right w:val="single" w:color="auto" w:sz="12" w:space="0"/>
            </w:tcBorders>
          </w:tcPr>
          <w:p w14:paraId="439A856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至少提供ICMP、TCP、UDP、HTTP、HTTPS、SMTP等多种服务器健康检测方法；</w:t>
            </w:r>
          </w:p>
        </w:tc>
      </w:tr>
      <w:tr w14:paraId="2B19A3F7">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6DEF6A1C">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14C6B739">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266FD3B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提供基于HTTP、HTTPS内容进行扩展验证的健康检测方法；</w:t>
            </w:r>
          </w:p>
        </w:tc>
      </w:tr>
      <w:tr w14:paraId="69236E65">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1B41313">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444C794C">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44D637B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提供针对域环境服务器内需要域认证的HTTP内容进行扩展验证的健康检测方法；</w:t>
            </w:r>
          </w:p>
        </w:tc>
      </w:tr>
      <w:tr w14:paraId="2DD568EC">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F4F0484">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656CFE0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*会话保持</w:t>
            </w:r>
          </w:p>
        </w:tc>
        <w:tc>
          <w:tcPr>
            <w:tcW w:w="6681" w:type="dxa"/>
            <w:tcBorders>
              <w:top w:val="single" w:color="auto" w:sz="12" w:space="0"/>
              <w:left w:val="single" w:color="auto" w:sz="12" w:space="0"/>
              <w:bottom w:val="single" w:color="auto" w:sz="12" w:space="0"/>
              <w:right w:val="single" w:color="auto" w:sz="12" w:space="0"/>
            </w:tcBorders>
          </w:tcPr>
          <w:p w14:paraId="215AA76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支持根据客户端源IP地址保持应用会话持续性；</w:t>
            </w:r>
          </w:p>
        </w:tc>
      </w:tr>
      <w:tr w14:paraId="62F9E7D9">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6F26F049">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43DD1675">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13B35CC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支持根据SSL Session ID保持客应用会话持续性；</w:t>
            </w:r>
          </w:p>
        </w:tc>
      </w:tr>
      <w:tr w14:paraId="15D03AF8">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8404F38">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462BD396">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1A60FCD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支持根据HTTP Cookie保持应用会话持续性；</w:t>
            </w:r>
          </w:p>
        </w:tc>
      </w:tr>
      <w:tr w14:paraId="127A48D4">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072E96C">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0371D052">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4051857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支持会话保持组功能，实现跨虚拟服务器（VS）的会话保持；</w:t>
            </w:r>
          </w:p>
        </w:tc>
      </w:tr>
      <w:tr w14:paraId="2B467EB1">
        <w:tblPrEx>
          <w:tblCellMar>
            <w:top w:w="0" w:type="dxa"/>
            <w:left w:w="108" w:type="dxa"/>
            <w:bottom w:w="0" w:type="dxa"/>
            <w:right w:w="108" w:type="dxa"/>
          </w:tblCellMar>
        </w:tblPrEx>
        <w:trPr>
          <w:trHeight w:val="270"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7848A6A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w:t>
            </w:r>
          </w:p>
        </w:tc>
        <w:tc>
          <w:tcPr>
            <w:tcW w:w="1014" w:type="dxa"/>
            <w:tcBorders>
              <w:top w:val="single" w:color="auto" w:sz="12" w:space="0"/>
              <w:left w:val="single" w:color="auto" w:sz="12" w:space="0"/>
              <w:bottom w:val="single" w:color="auto" w:sz="12" w:space="0"/>
              <w:right w:val="single" w:color="auto" w:sz="12" w:space="0"/>
            </w:tcBorders>
            <w:vAlign w:val="center"/>
          </w:tcPr>
          <w:p w14:paraId="162D88D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*备份池</w:t>
            </w:r>
          </w:p>
        </w:tc>
        <w:tc>
          <w:tcPr>
            <w:tcW w:w="6681" w:type="dxa"/>
            <w:tcBorders>
              <w:top w:val="single" w:color="auto" w:sz="12" w:space="0"/>
              <w:left w:val="single" w:color="auto" w:sz="12" w:space="0"/>
              <w:bottom w:val="single" w:color="auto" w:sz="12" w:space="0"/>
              <w:right w:val="single" w:color="auto" w:sz="12" w:space="0"/>
            </w:tcBorders>
          </w:tcPr>
          <w:p w14:paraId="6BE780D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支持虚拟服务器配置备份池功能，完善应用系统体验；</w:t>
            </w:r>
          </w:p>
        </w:tc>
      </w:tr>
      <w:tr w14:paraId="200A3DD8">
        <w:tblPrEx>
          <w:tblCellMar>
            <w:top w:w="0" w:type="dxa"/>
            <w:left w:w="108" w:type="dxa"/>
            <w:bottom w:w="0" w:type="dxa"/>
            <w:right w:w="108" w:type="dxa"/>
          </w:tblCellMar>
        </w:tblPrEx>
        <w:trPr>
          <w:trHeight w:val="765"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4A7703F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w:t>
            </w:r>
          </w:p>
        </w:tc>
        <w:tc>
          <w:tcPr>
            <w:tcW w:w="1014" w:type="dxa"/>
            <w:tcBorders>
              <w:top w:val="single" w:color="auto" w:sz="12" w:space="0"/>
              <w:left w:val="single" w:color="auto" w:sz="12" w:space="0"/>
              <w:bottom w:val="single" w:color="auto" w:sz="12" w:space="0"/>
              <w:right w:val="single" w:color="auto" w:sz="12" w:space="0"/>
            </w:tcBorders>
            <w:vAlign w:val="center"/>
          </w:tcPr>
          <w:p w14:paraId="52E03FB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*弹性计算</w:t>
            </w:r>
          </w:p>
        </w:tc>
        <w:tc>
          <w:tcPr>
            <w:tcW w:w="6681" w:type="dxa"/>
            <w:tcBorders>
              <w:top w:val="single" w:color="auto" w:sz="12" w:space="0"/>
              <w:left w:val="single" w:color="auto" w:sz="12" w:space="0"/>
              <w:bottom w:val="single" w:color="auto" w:sz="12" w:space="0"/>
              <w:right w:val="single" w:color="auto" w:sz="12" w:space="0"/>
            </w:tcBorders>
          </w:tcPr>
          <w:p w14:paraId="7FF974F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支持给虚拟机做负载，并能与vCenter控制中心联动，根据访问情况实现自动开启或关闭虚拟机，自动探测虚拟机的运行情况，自动添加删除虚拟服务器数量。</w:t>
            </w:r>
          </w:p>
        </w:tc>
      </w:tr>
      <w:tr w14:paraId="5C8F656C">
        <w:tblPrEx>
          <w:tblCellMar>
            <w:top w:w="0" w:type="dxa"/>
            <w:left w:w="108" w:type="dxa"/>
            <w:bottom w:w="0" w:type="dxa"/>
            <w:right w:w="108" w:type="dxa"/>
          </w:tblCellMar>
        </w:tblPrEx>
        <w:trPr>
          <w:trHeight w:val="765"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43F34DD4">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w:t>
            </w:r>
          </w:p>
        </w:tc>
        <w:tc>
          <w:tcPr>
            <w:tcW w:w="1014" w:type="dxa"/>
            <w:tcBorders>
              <w:top w:val="single" w:color="auto" w:sz="12" w:space="0"/>
              <w:left w:val="single" w:color="auto" w:sz="12" w:space="0"/>
              <w:bottom w:val="single" w:color="auto" w:sz="12" w:space="0"/>
              <w:right w:val="single" w:color="auto" w:sz="12" w:space="0"/>
            </w:tcBorders>
            <w:vAlign w:val="center"/>
          </w:tcPr>
          <w:p w14:paraId="67FD86F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*综合管理平台</w:t>
            </w:r>
          </w:p>
        </w:tc>
        <w:tc>
          <w:tcPr>
            <w:tcW w:w="6681" w:type="dxa"/>
            <w:tcBorders>
              <w:top w:val="single" w:color="auto" w:sz="12" w:space="0"/>
              <w:left w:val="single" w:color="auto" w:sz="12" w:space="0"/>
              <w:bottom w:val="single" w:color="auto" w:sz="12" w:space="0"/>
              <w:right w:val="single" w:color="auto" w:sz="12" w:space="0"/>
            </w:tcBorders>
          </w:tcPr>
          <w:p w14:paraId="0430BB5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提供集中功能管理界面，统一实现设备的监测和管理以及数据统计分析等。功能包括：设备池管理、设备状态监控、配置管理、流量分析、访客分析、定制报告等功能。</w:t>
            </w:r>
          </w:p>
        </w:tc>
      </w:tr>
      <w:tr w14:paraId="1A82E9E2">
        <w:tblPrEx>
          <w:tblCellMar>
            <w:top w:w="0" w:type="dxa"/>
            <w:left w:w="108" w:type="dxa"/>
            <w:bottom w:w="0" w:type="dxa"/>
            <w:right w:w="108" w:type="dxa"/>
          </w:tblCellMar>
        </w:tblPrEx>
        <w:trPr>
          <w:trHeight w:val="510"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0432CD4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w:t>
            </w:r>
          </w:p>
        </w:tc>
        <w:tc>
          <w:tcPr>
            <w:tcW w:w="1014" w:type="dxa"/>
            <w:tcBorders>
              <w:top w:val="single" w:color="auto" w:sz="12" w:space="0"/>
              <w:left w:val="single" w:color="auto" w:sz="12" w:space="0"/>
              <w:bottom w:val="single" w:color="auto" w:sz="12" w:space="0"/>
              <w:right w:val="single" w:color="auto" w:sz="12" w:space="0"/>
            </w:tcBorders>
            <w:vAlign w:val="center"/>
          </w:tcPr>
          <w:p w14:paraId="2BF91B7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*虚拟机版本</w:t>
            </w:r>
          </w:p>
        </w:tc>
        <w:tc>
          <w:tcPr>
            <w:tcW w:w="6681" w:type="dxa"/>
            <w:tcBorders>
              <w:top w:val="single" w:color="auto" w:sz="12" w:space="0"/>
              <w:left w:val="single" w:color="auto" w:sz="12" w:space="0"/>
              <w:bottom w:val="single" w:color="auto" w:sz="12" w:space="0"/>
              <w:right w:val="single" w:color="auto" w:sz="12" w:space="0"/>
            </w:tcBorders>
          </w:tcPr>
          <w:p w14:paraId="0E9F90C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支持虚拟机版本，便于支持云环境，方便和和云环境各类网络设备和服务器整合。</w:t>
            </w:r>
          </w:p>
        </w:tc>
      </w:tr>
      <w:tr w14:paraId="7DB23A47">
        <w:tblPrEx>
          <w:tblCellMar>
            <w:top w:w="0" w:type="dxa"/>
            <w:left w:w="108" w:type="dxa"/>
            <w:bottom w:w="0" w:type="dxa"/>
            <w:right w:w="108" w:type="dxa"/>
          </w:tblCellMar>
        </w:tblPrEx>
        <w:trPr>
          <w:trHeight w:val="1530"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2B533BAD">
            <w:pPr>
              <w:spacing w:before="0" w:after="0" w:line="240" w:lineRule="auto"/>
              <w:ind w:firstLine="0"/>
              <w:jc w:val="left"/>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API解决方案</w:t>
            </w:r>
          </w:p>
        </w:tc>
        <w:tc>
          <w:tcPr>
            <w:tcW w:w="1014" w:type="dxa"/>
            <w:tcBorders>
              <w:top w:val="single" w:color="auto" w:sz="12" w:space="0"/>
              <w:left w:val="single" w:color="auto" w:sz="12" w:space="0"/>
              <w:bottom w:val="single" w:color="auto" w:sz="12" w:space="0"/>
              <w:right w:val="single" w:color="auto" w:sz="12" w:space="0"/>
            </w:tcBorders>
            <w:vAlign w:val="center"/>
          </w:tcPr>
          <w:p w14:paraId="332514A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*API接口</w:t>
            </w:r>
          </w:p>
        </w:tc>
        <w:tc>
          <w:tcPr>
            <w:tcW w:w="6681" w:type="dxa"/>
            <w:tcBorders>
              <w:top w:val="single" w:color="auto" w:sz="12" w:space="0"/>
              <w:left w:val="single" w:color="auto" w:sz="12" w:space="0"/>
              <w:bottom w:val="single" w:color="auto" w:sz="12" w:space="0"/>
              <w:right w:val="single" w:color="auto" w:sz="12" w:space="0"/>
            </w:tcBorders>
          </w:tcPr>
          <w:p w14:paraId="3095CBA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设备需具备二次开发能力，提供API/SDK开发接口，能够通过该API接口，实现与第三方管理平台进行无缝整合，实现第三方管理平台对该设备的自动化管理、运行状态监控等功能。该API接口必须能够以下功能的封装：网络接口状态获取和配置，HA状态获取和配置，服务器状态获取和配置，系统运行状态获取和配置等。所有功能配置都必须能够通过API调用的方式实现，提供配置截图证明。</w:t>
            </w:r>
          </w:p>
        </w:tc>
      </w:tr>
      <w:tr w14:paraId="720BAC5B">
        <w:tblPrEx>
          <w:tblCellMar>
            <w:top w:w="0" w:type="dxa"/>
            <w:left w:w="108" w:type="dxa"/>
            <w:bottom w:w="0" w:type="dxa"/>
            <w:right w:w="108" w:type="dxa"/>
          </w:tblCellMar>
        </w:tblPrEx>
        <w:trPr>
          <w:trHeight w:val="51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39729E9E">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Web加速</w:t>
            </w:r>
          </w:p>
        </w:tc>
        <w:tc>
          <w:tcPr>
            <w:tcW w:w="1014" w:type="dxa"/>
            <w:tcBorders>
              <w:top w:val="single" w:color="auto" w:sz="12" w:space="0"/>
              <w:left w:val="single" w:color="auto" w:sz="12" w:space="0"/>
              <w:bottom w:val="single" w:color="auto" w:sz="12" w:space="0"/>
              <w:right w:val="single" w:color="auto" w:sz="12" w:space="0"/>
            </w:tcBorders>
            <w:vAlign w:val="center"/>
          </w:tcPr>
          <w:p w14:paraId="7D3BF1B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*阻断典型SQL注入攻击</w:t>
            </w:r>
          </w:p>
        </w:tc>
        <w:tc>
          <w:tcPr>
            <w:tcW w:w="6681" w:type="dxa"/>
            <w:tcBorders>
              <w:top w:val="single" w:color="auto" w:sz="12" w:space="0"/>
              <w:left w:val="single" w:color="auto" w:sz="12" w:space="0"/>
              <w:bottom w:val="single" w:color="auto" w:sz="12" w:space="0"/>
              <w:right w:val="single" w:color="auto" w:sz="12" w:space="0"/>
            </w:tcBorders>
            <w:vAlign w:val="center"/>
          </w:tcPr>
          <w:p w14:paraId="7FB5871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有效阻断典型和常见的SQL注入攻击行为，有效保障业务的安全性和高可用性。</w:t>
            </w:r>
          </w:p>
        </w:tc>
      </w:tr>
      <w:tr w14:paraId="4BD1354D">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44E011C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6316B65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*失效保障页面</w:t>
            </w:r>
          </w:p>
        </w:tc>
        <w:tc>
          <w:tcPr>
            <w:tcW w:w="6681" w:type="dxa"/>
            <w:tcBorders>
              <w:top w:val="single" w:color="auto" w:sz="12" w:space="0"/>
              <w:left w:val="single" w:color="auto" w:sz="12" w:space="0"/>
              <w:bottom w:val="single" w:color="auto" w:sz="12" w:space="0"/>
              <w:right w:val="single" w:color="auto" w:sz="12" w:space="0"/>
            </w:tcBorders>
            <w:vAlign w:val="center"/>
          </w:tcPr>
          <w:p w14:paraId="795EFB0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当前可用Web服务器全部失效后，将客户端的请求指引到另一个友好提示页面，确保客户端的访问随时可以得到有效的页面提示。</w:t>
            </w:r>
          </w:p>
        </w:tc>
      </w:tr>
      <w:tr w14:paraId="3DD3E51A">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3F6AB42">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1914C61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*带宽控制</w:t>
            </w:r>
          </w:p>
        </w:tc>
        <w:tc>
          <w:tcPr>
            <w:tcW w:w="6681" w:type="dxa"/>
            <w:tcBorders>
              <w:top w:val="single" w:color="auto" w:sz="12" w:space="0"/>
              <w:left w:val="single" w:color="auto" w:sz="12" w:space="0"/>
              <w:bottom w:val="single" w:color="auto" w:sz="12" w:space="0"/>
              <w:right w:val="single" w:color="auto" w:sz="12" w:space="0"/>
            </w:tcBorders>
          </w:tcPr>
          <w:p w14:paraId="4D0116C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支持针对单独的真实服务器或整个应用池进行带宽控制能力，可以限制最大带宽、最大连接数、最大请求数；</w:t>
            </w:r>
          </w:p>
        </w:tc>
      </w:tr>
      <w:tr w14:paraId="294BF9DB">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508E63F">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4175C38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*客户端IP信息传递</w:t>
            </w:r>
          </w:p>
        </w:tc>
        <w:tc>
          <w:tcPr>
            <w:tcW w:w="6681" w:type="dxa"/>
            <w:tcBorders>
              <w:top w:val="single" w:color="auto" w:sz="12" w:space="0"/>
              <w:left w:val="single" w:color="auto" w:sz="12" w:space="0"/>
              <w:bottom w:val="single" w:color="auto" w:sz="12" w:space="0"/>
              <w:right w:val="single" w:color="auto" w:sz="12" w:space="0"/>
            </w:tcBorders>
          </w:tcPr>
          <w:p w14:paraId="5DDAADD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支持客户端IP地址透传，以客户端IP做为源地址，转发请求至真实服务器；</w:t>
            </w:r>
          </w:p>
        </w:tc>
      </w:tr>
      <w:tr w14:paraId="111DE6B4">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62BD1DD9">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0C2EFF21">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01FE3AA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支持利用HTTP header（X-Forward-For）携带客户端IP地址信息；</w:t>
            </w:r>
          </w:p>
        </w:tc>
      </w:tr>
      <w:tr w14:paraId="1FCF54F9">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4328316E">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77FD0F9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*TCP连接复用</w:t>
            </w:r>
          </w:p>
        </w:tc>
        <w:tc>
          <w:tcPr>
            <w:tcW w:w="6681" w:type="dxa"/>
            <w:tcBorders>
              <w:top w:val="single" w:color="auto" w:sz="12" w:space="0"/>
              <w:left w:val="single" w:color="auto" w:sz="12" w:space="0"/>
              <w:bottom w:val="single" w:color="auto" w:sz="12" w:space="0"/>
              <w:right w:val="single" w:color="auto" w:sz="12" w:space="0"/>
            </w:tcBorders>
            <w:vAlign w:val="center"/>
          </w:tcPr>
          <w:p w14:paraId="424D054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支持将多个客户端TCP连接复用到一个与服务器的TCP连接上，卸载应用服务器维护连接的系统开销，提升HTTP内容服务效率；</w:t>
            </w:r>
          </w:p>
        </w:tc>
      </w:tr>
      <w:tr w14:paraId="78D76554">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6FFB9D6F">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22D3A86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*智能缓存</w:t>
            </w:r>
          </w:p>
        </w:tc>
        <w:tc>
          <w:tcPr>
            <w:tcW w:w="6681" w:type="dxa"/>
            <w:tcBorders>
              <w:top w:val="single" w:color="auto" w:sz="12" w:space="0"/>
              <w:left w:val="single" w:color="auto" w:sz="12" w:space="0"/>
              <w:bottom w:val="single" w:color="auto" w:sz="12" w:space="0"/>
              <w:right w:val="single" w:color="auto" w:sz="12" w:space="0"/>
            </w:tcBorders>
            <w:vAlign w:val="center"/>
          </w:tcPr>
          <w:p w14:paraId="2CEF713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基于内存和硬盘实现HTTP对象的缓存功能，缓存用户频繁访问的内容，提升用户响应速度，同时减小应用服务器的压力；</w:t>
            </w:r>
          </w:p>
        </w:tc>
      </w:tr>
      <w:tr w14:paraId="44477E9D">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A574E9C">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026FA3B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*HTTP压缩</w:t>
            </w:r>
          </w:p>
        </w:tc>
        <w:tc>
          <w:tcPr>
            <w:tcW w:w="6681" w:type="dxa"/>
            <w:tcBorders>
              <w:top w:val="single" w:color="auto" w:sz="12" w:space="0"/>
              <w:left w:val="single" w:color="auto" w:sz="12" w:space="0"/>
              <w:bottom w:val="single" w:color="auto" w:sz="12" w:space="0"/>
              <w:right w:val="single" w:color="auto" w:sz="12" w:space="0"/>
            </w:tcBorders>
            <w:vAlign w:val="center"/>
          </w:tcPr>
          <w:p w14:paraId="0FE7A23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xml:space="preserve">使用工业标准的GZIP或Deflate压缩算法来压缩HTTP流量，降低带宽消耗、缩短最终用户在慢速/低带宽连接条件下的下载时间； </w:t>
            </w:r>
          </w:p>
        </w:tc>
      </w:tr>
      <w:tr w14:paraId="57DC2DBC">
        <w:tblPrEx>
          <w:tblCellMar>
            <w:top w:w="0" w:type="dxa"/>
            <w:left w:w="108" w:type="dxa"/>
            <w:bottom w:w="0" w:type="dxa"/>
            <w:right w:w="108" w:type="dxa"/>
          </w:tblCellMar>
        </w:tblPrEx>
        <w:trPr>
          <w:trHeight w:val="1275"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05D11AF7">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基于策略的应用控制</w:t>
            </w:r>
          </w:p>
        </w:tc>
        <w:tc>
          <w:tcPr>
            <w:tcW w:w="1014" w:type="dxa"/>
            <w:tcBorders>
              <w:top w:val="single" w:color="auto" w:sz="12" w:space="0"/>
              <w:left w:val="single" w:color="auto" w:sz="12" w:space="0"/>
              <w:bottom w:val="single" w:color="auto" w:sz="12" w:space="0"/>
              <w:right w:val="single" w:color="auto" w:sz="12" w:space="0"/>
            </w:tcBorders>
            <w:vAlign w:val="center"/>
          </w:tcPr>
          <w:p w14:paraId="4204259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*请求过滤</w:t>
            </w:r>
          </w:p>
        </w:tc>
        <w:tc>
          <w:tcPr>
            <w:tcW w:w="6681" w:type="dxa"/>
            <w:tcBorders>
              <w:top w:val="single" w:color="auto" w:sz="12" w:space="0"/>
              <w:left w:val="single" w:color="auto" w:sz="12" w:space="0"/>
              <w:bottom w:val="single" w:color="auto" w:sz="12" w:space="0"/>
              <w:right w:val="single" w:color="auto" w:sz="12" w:space="0"/>
            </w:tcBorders>
            <w:vAlign w:val="center"/>
          </w:tcPr>
          <w:p w14:paraId="3423AE2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利用脚本编写应用策略，基于HTTP或HTTPs请求中的Method/version/header/cookie/URL/QueryString/QueryArgs/ClientAddress/Cleint.Cert/Client.Cert.Subject/Client.Cert.Issuer/Client.Cert.SeialNumber/Client.Cert.Version等内容信息，实现针对客户端的请求进行安全过滤；</w:t>
            </w:r>
          </w:p>
        </w:tc>
      </w:tr>
      <w:tr w14:paraId="105B1703">
        <w:tblPrEx>
          <w:tblCellMar>
            <w:top w:w="0" w:type="dxa"/>
            <w:left w:w="108" w:type="dxa"/>
            <w:bottom w:w="0" w:type="dxa"/>
            <w:right w:w="108" w:type="dxa"/>
          </w:tblCellMar>
        </w:tblPrEx>
        <w:trPr>
          <w:trHeight w:val="102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4D367E7">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2D45E44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*内容交换</w:t>
            </w:r>
          </w:p>
        </w:tc>
        <w:tc>
          <w:tcPr>
            <w:tcW w:w="6681" w:type="dxa"/>
            <w:tcBorders>
              <w:top w:val="single" w:color="auto" w:sz="12" w:space="0"/>
              <w:left w:val="single" w:color="auto" w:sz="12" w:space="0"/>
              <w:bottom w:val="single" w:color="auto" w:sz="12" w:space="0"/>
              <w:right w:val="single" w:color="auto" w:sz="12" w:space="0"/>
            </w:tcBorders>
            <w:vAlign w:val="center"/>
          </w:tcPr>
          <w:p w14:paraId="6D527B8F">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利用脚本编写应用策略，基于HTTP或HTTPs请求中的Method/version/header/cookie/URL/QueryString/QueryArgs/Cleint.Cert/Client.Cert.Subject/Client.Cert.Issuer/Client.Cert.SeialNumber/Client.Cert.Version等内容信息，实现内容交换；</w:t>
            </w:r>
          </w:p>
        </w:tc>
      </w:tr>
      <w:tr w14:paraId="6799207B">
        <w:tblPrEx>
          <w:tblCellMar>
            <w:top w:w="0" w:type="dxa"/>
            <w:left w:w="108" w:type="dxa"/>
            <w:bottom w:w="0" w:type="dxa"/>
            <w:right w:w="108" w:type="dxa"/>
          </w:tblCellMar>
        </w:tblPrEx>
        <w:trPr>
          <w:trHeight w:val="1275"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18E7D8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2272305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*请求改写</w:t>
            </w:r>
          </w:p>
        </w:tc>
        <w:tc>
          <w:tcPr>
            <w:tcW w:w="6681" w:type="dxa"/>
            <w:tcBorders>
              <w:top w:val="single" w:color="auto" w:sz="12" w:space="0"/>
              <w:left w:val="single" w:color="auto" w:sz="12" w:space="0"/>
              <w:bottom w:val="single" w:color="auto" w:sz="12" w:space="0"/>
              <w:right w:val="single" w:color="auto" w:sz="12" w:space="0"/>
            </w:tcBorders>
            <w:vAlign w:val="center"/>
          </w:tcPr>
          <w:p w14:paraId="11B4FEA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利用脚本编写应用策略，基于HTTP或HTTPs请求中的Method/version/header/cookie/URL/QueryString/QueryArgs/ClientAddress/Cleint.Cert/Client.Cert.Subject/Client.Cert.Issuer/Client.Cert.SeialNumber/Client.Cert.Version等内容信息，实现针对客户端的请求进行相应的改写；</w:t>
            </w:r>
          </w:p>
        </w:tc>
      </w:tr>
      <w:tr w14:paraId="70CE1373">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87FFF2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616C474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*响应头改写</w:t>
            </w:r>
          </w:p>
        </w:tc>
        <w:tc>
          <w:tcPr>
            <w:tcW w:w="6681" w:type="dxa"/>
            <w:tcBorders>
              <w:top w:val="single" w:color="auto" w:sz="12" w:space="0"/>
              <w:left w:val="single" w:color="auto" w:sz="12" w:space="0"/>
              <w:bottom w:val="single" w:color="auto" w:sz="12" w:space="0"/>
              <w:right w:val="single" w:color="auto" w:sz="12" w:space="0"/>
            </w:tcBorders>
            <w:vAlign w:val="center"/>
          </w:tcPr>
          <w:p w14:paraId="11F7F71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利用脚本编写应用策略，基于HTTP或HTTPs响应中的Header/Cookie等内容进行添加、修改、删除、重定向等操作，实现基于响应内容的改写；</w:t>
            </w:r>
          </w:p>
        </w:tc>
      </w:tr>
      <w:tr w14:paraId="68F40310">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CCD1F89">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543F8EE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*响应内容改写</w:t>
            </w:r>
          </w:p>
        </w:tc>
        <w:tc>
          <w:tcPr>
            <w:tcW w:w="6681" w:type="dxa"/>
            <w:tcBorders>
              <w:top w:val="single" w:color="auto" w:sz="12" w:space="0"/>
              <w:left w:val="single" w:color="auto" w:sz="12" w:space="0"/>
              <w:bottom w:val="single" w:color="auto" w:sz="12" w:space="0"/>
              <w:right w:val="single" w:color="auto" w:sz="12" w:space="0"/>
            </w:tcBorders>
            <w:vAlign w:val="center"/>
          </w:tcPr>
          <w:p w14:paraId="25592BD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利用脚本编写应用策略，可以对HTTP/HTTPS响应内容（Header/Body)进行插入、替换、删除、修改等操作；</w:t>
            </w:r>
          </w:p>
        </w:tc>
      </w:tr>
      <w:tr w14:paraId="03560E90">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42677D8">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02D07D0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*脚本编辑工具</w:t>
            </w:r>
          </w:p>
        </w:tc>
        <w:tc>
          <w:tcPr>
            <w:tcW w:w="6681" w:type="dxa"/>
            <w:tcBorders>
              <w:top w:val="single" w:color="auto" w:sz="12" w:space="0"/>
              <w:left w:val="single" w:color="auto" w:sz="12" w:space="0"/>
              <w:bottom w:val="single" w:color="auto" w:sz="12" w:space="0"/>
              <w:right w:val="single" w:color="auto" w:sz="12" w:space="0"/>
            </w:tcBorders>
            <w:vAlign w:val="center"/>
          </w:tcPr>
          <w:p w14:paraId="135A1EA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提供图形化易用的操作工具编写脚本，适合普通用户使用</w:t>
            </w:r>
          </w:p>
        </w:tc>
      </w:tr>
      <w:tr w14:paraId="695D8032">
        <w:tblPrEx>
          <w:tblCellMar>
            <w:top w:w="0" w:type="dxa"/>
            <w:left w:w="108" w:type="dxa"/>
            <w:bottom w:w="0" w:type="dxa"/>
            <w:right w:w="108" w:type="dxa"/>
          </w:tblCellMar>
        </w:tblPrEx>
        <w:trPr>
          <w:trHeight w:val="510" w:hRule="atLeast"/>
        </w:trPr>
        <w:tc>
          <w:tcPr>
            <w:tcW w:w="602" w:type="dxa"/>
            <w:tcBorders>
              <w:top w:val="single" w:color="auto" w:sz="12" w:space="0"/>
              <w:left w:val="single" w:color="auto" w:sz="12" w:space="0"/>
              <w:bottom w:val="single" w:color="auto" w:sz="12" w:space="0"/>
              <w:right w:val="single" w:color="auto" w:sz="12" w:space="0"/>
            </w:tcBorders>
            <w:vAlign w:val="center"/>
          </w:tcPr>
          <w:p w14:paraId="17796F66">
            <w:pPr>
              <w:spacing w:before="0" w:after="0" w:line="240" w:lineRule="auto"/>
              <w:ind w:firstLine="0"/>
              <w:jc w:val="left"/>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w:t>
            </w:r>
          </w:p>
        </w:tc>
        <w:tc>
          <w:tcPr>
            <w:tcW w:w="1014" w:type="dxa"/>
            <w:tcBorders>
              <w:top w:val="single" w:color="auto" w:sz="12" w:space="0"/>
              <w:left w:val="single" w:color="auto" w:sz="12" w:space="0"/>
              <w:bottom w:val="single" w:color="auto" w:sz="12" w:space="0"/>
              <w:right w:val="single" w:color="auto" w:sz="12" w:space="0"/>
            </w:tcBorders>
            <w:vAlign w:val="center"/>
          </w:tcPr>
          <w:p w14:paraId="28B361A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*多合一集成</w:t>
            </w:r>
          </w:p>
        </w:tc>
        <w:tc>
          <w:tcPr>
            <w:tcW w:w="6681" w:type="dxa"/>
            <w:tcBorders>
              <w:top w:val="single" w:color="auto" w:sz="12" w:space="0"/>
              <w:left w:val="single" w:color="auto" w:sz="12" w:space="0"/>
              <w:bottom w:val="single" w:color="auto" w:sz="12" w:space="0"/>
              <w:right w:val="single" w:color="auto" w:sz="12" w:space="0"/>
            </w:tcBorders>
            <w:vAlign w:val="center"/>
          </w:tcPr>
          <w:p w14:paraId="04B686C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单一设备即可同时支持包括链路负载均衡、全局负载均衡和服务器负载均衡的功能。三种功能同时处于激活可使用状态，无需额外购买相应授权。</w:t>
            </w:r>
          </w:p>
        </w:tc>
      </w:tr>
      <w:tr w14:paraId="6139F1E7">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430BDA53">
            <w:pPr>
              <w:spacing w:before="0" w:after="0" w:line="240" w:lineRule="auto"/>
              <w:ind w:firstLine="0"/>
              <w:jc w:val="left"/>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广域网/链路负载均衡</w:t>
            </w:r>
          </w:p>
        </w:tc>
        <w:tc>
          <w:tcPr>
            <w:tcW w:w="1014" w:type="dxa"/>
            <w:tcBorders>
              <w:top w:val="single" w:color="auto" w:sz="12" w:space="0"/>
              <w:left w:val="single" w:color="auto" w:sz="12" w:space="0"/>
              <w:bottom w:val="single" w:color="auto" w:sz="12" w:space="0"/>
              <w:right w:val="single" w:color="auto" w:sz="12" w:space="0"/>
            </w:tcBorders>
            <w:vAlign w:val="center"/>
          </w:tcPr>
          <w:p w14:paraId="38C38C0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*链路负载均衡</w:t>
            </w:r>
          </w:p>
        </w:tc>
        <w:tc>
          <w:tcPr>
            <w:tcW w:w="6681" w:type="dxa"/>
            <w:tcBorders>
              <w:top w:val="single" w:color="auto" w:sz="12" w:space="0"/>
              <w:left w:val="single" w:color="auto" w:sz="12" w:space="0"/>
              <w:bottom w:val="single" w:color="auto" w:sz="12" w:space="0"/>
              <w:right w:val="single" w:color="auto" w:sz="12" w:space="0"/>
            </w:tcBorders>
            <w:vAlign w:val="center"/>
          </w:tcPr>
          <w:p w14:paraId="40DFB54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支持不少于8条物理链路的接入，同时实现inbound和outbound流量负载。</w:t>
            </w:r>
          </w:p>
        </w:tc>
      </w:tr>
      <w:tr w14:paraId="41F7251B">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70222F5">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7803C40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*全局负载均衡(GSLB)</w:t>
            </w:r>
          </w:p>
        </w:tc>
        <w:tc>
          <w:tcPr>
            <w:tcW w:w="6681" w:type="dxa"/>
            <w:tcBorders>
              <w:top w:val="single" w:color="auto" w:sz="12" w:space="0"/>
              <w:left w:val="single" w:color="auto" w:sz="12" w:space="0"/>
              <w:bottom w:val="single" w:color="auto" w:sz="12" w:space="0"/>
              <w:right w:val="single" w:color="auto" w:sz="12" w:space="0"/>
            </w:tcBorders>
          </w:tcPr>
          <w:p w14:paraId="4384352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支持RR/WRR/Topology/ GA/Return to DNS；</w:t>
            </w:r>
          </w:p>
        </w:tc>
      </w:tr>
      <w:tr w14:paraId="293FA755">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415748C9">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4C9027E7">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51579D7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支持Rtt/least Conn/least throughput/least load等负载均衡算法</w:t>
            </w:r>
          </w:p>
        </w:tc>
      </w:tr>
      <w:tr w14:paraId="54838C3F">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A0332F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37C6BAF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*支持DNS全部类型的记录</w:t>
            </w:r>
          </w:p>
        </w:tc>
        <w:tc>
          <w:tcPr>
            <w:tcW w:w="6681" w:type="dxa"/>
            <w:tcBorders>
              <w:top w:val="single" w:color="auto" w:sz="12" w:space="0"/>
              <w:left w:val="single" w:color="auto" w:sz="12" w:space="0"/>
              <w:bottom w:val="single" w:color="auto" w:sz="12" w:space="0"/>
              <w:right w:val="single" w:color="auto" w:sz="12" w:space="0"/>
            </w:tcBorders>
            <w:vAlign w:val="center"/>
          </w:tcPr>
          <w:p w14:paraId="5E0081E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可以在全局负载均衡器上定义A, AAAA, CNAME, DNAME, HINFO, MX, NS, TXT, SOA, SRV 等记录类型</w:t>
            </w:r>
          </w:p>
        </w:tc>
      </w:tr>
      <w:tr w14:paraId="3E6C47A6">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5A84239">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tcPr>
          <w:p w14:paraId="33016FC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*访问就近性保障</w:t>
            </w:r>
          </w:p>
        </w:tc>
        <w:tc>
          <w:tcPr>
            <w:tcW w:w="6681" w:type="dxa"/>
            <w:tcBorders>
              <w:top w:val="single" w:color="auto" w:sz="12" w:space="0"/>
              <w:left w:val="single" w:color="auto" w:sz="12" w:space="0"/>
              <w:bottom w:val="single" w:color="auto" w:sz="12" w:space="0"/>
              <w:right w:val="single" w:color="auto" w:sz="12" w:space="0"/>
            </w:tcBorders>
          </w:tcPr>
          <w:p w14:paraId="592A14C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支持外部IP地址库导入</w:t>
            </w:r>
          </w:p>
        </w:tc>
      </w:tr>
      <w:tr w14:paraId="0727A772">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B0582F8">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7D7E51DC">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tcPr>
          <w:p w14:paraId="72176918">
            <w:pPr>
              <w:spacing w:before="0" w:after="0" w:line="240" w:lineRule="auto"/>
              <w:ind w:firstLine="0"/>
              <w:rPr>
                <w:rFonts w:hint="eastAsia" w:cs="宋体" w:asciiTheme="majorEastAsia" w:hAnsiTheme="majorEastAsia" w:eastAsiaTheme="majorEastAsia"/>
                <w:kern w:val="0"/>
                <w:sz w:val="23"/>
                <w:szCs w:val="23"/>
              </w:rPr>
            </w:pPr>
            <w:r>
              <w:rPr>
                <w:rFonts w:hint="eastAsia" w:cs="宋体" w:asciiTheme="majorEastAsia" w:hAnsiTheme="majorEastAsia" w:eastAsiaTheme="majorEastAsia"/>
                <w:kern w:val="0"/>
                <w:sz w:val="23"/>
                <w:szCs w:val="23"/>
              </w:rPr>
              <w:t>可以基于用户所在位置</w:t>
            </w:r>
          </w:p>
        </w:tc>
      </w:tr>
      <w:tr w14:paraId="07803DE1">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74F7F48">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5FD2AFD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*链路繁忙控制</w:t>
            </w:r>
          </w:p>
        </w:tc>
        <w:tc>
          <w:tcPr>
            <w:tcW w:w="6681" w:type="dxa"/>
            <w:tcBorders>
              <w:top w:val="single" w:color="auto" w:sz="12" w:space="0"/>
              <w:left w:val="single" w:color="auto" w:sz="12" w:space="0"/>
              <w:bottom w:val="single" w:color="auto" w:sz="12" w:space="0"/>
              <w:right w:val="single" w:color="auto" w:sz="12" w:space="0"/>
            </w:tcBorders>
          </w:tcPr>
          <w:p w14:paraId="30B0BE4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支持基于链路负荷情况的优化控制机制，能根据链路的上行/下行带宽占用率情况执行对出站/入站流量的高级调度策略。</w:t>
            </w:r>
          </w:p>
        </w:tc>
      </w:tr>
      <w:tr w14:paraId="4F86B77F">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DD287ED">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70B568D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*多数据中心负载均衡</w:t>
            </w:r>
          </w:p>
        </w:tc>
        <w:tc>
          <w:tcPr>
            <w:tcW w:w="6681" w:type="dxa"/>
            <w:tcBorders>
              <w:top w:val="single" w:color="auto" w:sz="12" w:space="0"/>
              <w:left w:val="single" w:color="auto" w:sz="12" w:space="0"/>
              <w:bottom w:val="single" w:color="auto" w:sz="12" w:space="0"/>
              <w:right w:val="single" w:color="auto" w:sz="12" w:space="0"/>
            </w:tcBorders>
            <w:vAlign w:val="center"/>
          </w:tcPr>
          <w:p w14:paraId="7A84B0F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可扩充支持多链路均衡和多数据中心负载均衡</w:t>
            </w:r>
          </w:p>
        </w:tc>
      </w:tr>
      <w:tr w14:paraId="6655AF19">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7E3A5807">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网络配置</w:t>
            </w: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1F4FFD0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*网络协议</w:t>
            </w:r>
          </w:p>
        </w:tc>
        <w:tc>
          <w:tcPr>
            <w:tcW w:w="6681" w:type="dxa"/>
            <w:tcBorders>
              <w:top w:val="single" w:color="auto" w:sz="12" w:space="0"/>
              <w:left w:val="single" w:color="auto" w:sz="12" w:space="0"/>
              <w:bottom w:val="single" w:color="auto" w:sz="12" w:space="0"/>
              <w:right w:val="single" w:color="auto" w:sz="12" w:space="0"/>
            </w:tcBorders>
            <w:vAlign w:val="center"/>
          </w:tcPr>
          <w:p w14:paraId="5AAAD26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支持IPv4和IPv6；</w:t>
            </w:r>
          </w:p>
        </w:tc>
      </w:tr>
      <w:tr w14:paraId="64606D5B">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02B4673">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173A60A1">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3599B27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满足所有基于TCP/IP的协议：</w:t>
            </w:r>
          </w:p>
        </w:tc>
      </w:tr>
      <w:tr w14:paraId="15821F9A">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62501E3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36A3FBDF">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4C02765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生成树协议（IEEE802.1d）</w:t>
            </w:r>
          </w:p>
        </w:tc>
      </w:tr>
      <w:tr w14:paraId="760FEDBC">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C031B6E">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5E40258C">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5DED5CD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Vlan Tag（IEEE802.1q）</w:t>
            </w:r>
          </w:p>
        </w:tc>
      </w:tr>
      <w:tr w14:paraId="23DA8598">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C203DA1">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5BE93EE6">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1E1EEF9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链路聚合（IEEE802.3ad）</w:t>
            </w:r>
          </w:p>
        </w:tc>
      </w:tr>
      <w:tr w14:paraId="4AC3F470">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143D6DD">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72968A10">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143B875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SNAT、ARP、SSH</w:t>
            </w:r>
          </w:p>
        </w:tc>
      </w:tr>
      <w:tr w14:paraId="48BD254A">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A8552BD">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47C405A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*路由协议</w:t>
            </w:r>
          </w:p>
        </w:tc>
        <w:tc>
          <w:tcPr>
            <w:tcW w:w="6681" w:type="dxa"/>
            <w:tcBorders>
              <w:top w:val="single" w:color="auto" w:sz="12" w:space="0"/>
              <w:left w:val="single" w:color="auto" w:sz="12" w:space="0"/>
              <w:bottom w:val="single" w:color="auto" w:sz="12" w:space="0"/>
              <w:right w:val="single" w:color="auto" w:sz="12" w:space="0"/>
            </w:tcBorders>
            <w:vAlign w:val="center"/>
          </w:tcPr>
          <w:p w14:paraId="4619040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无限制</w:t>
            </w:r>
          </w:p>
        </w:tc>
      </w:tr>
      <w:tr w14:paraId="151DB9F3">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B4C5510">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tcPr>
          <w:p w14:paraId="5A67FDB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*VLAN数量</w:t>
            </w:r>
          </w:p>
        </w:tc>
        <w:tc>
          <w:tcPr>
            <w:tcW w:w="6681" w:type="dxa"/>
            <w:tcBorders>
              <w:top w:val="single" w:color="auto" w:sz="12" w:space="0"/>
              <w:left w:val="single" w:color="auto" w:sz="12" w:space="0"/>
              <w:bottom w:val="single" w:color="auto" w:sz="12" w:space="0"/>
              <w:right w:val="single" w:color="auto" w:sz="12" w:space="0"/>
            </w:tcBorders>
            <w:vAlign w:val="center"/>
          </w:tcPr>
          <w:p w14:paraId="627DF49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≥4000个</w:t>
            </w:r>
          </w:p>
        </w:tc>
      </w:tr>
      <w:tr w14:paraId="19832094">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0735860">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tcPr>
          <w:p w14:paraId="54121E1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*网络接口管理</w:t>
            </w:r>
          </w:p>
        </w:tc>
        <w:tc>
          <w:tcPr>
            <w:tcW w:w="6681" w:type="dxa"/>
            <w:tcBorders>
              <w:top w:val="single" w:color="auto" w:sz="12" w:space="0"/>
              <w:left w:val="single" w:color="auto" w:sz="12" w:space="0"/>
              <w:bottom w:val="single" w:color="auto" w:sz="12" w:space="0"/>
              <w:right w:val="single" w:color="auto" w:sz="12" w:space="0"/>
            </w:tcBorders>
            <w:vAlign w:val="center"/>
          </w:tcPr>
          <w:p w14:paraId="5619093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支持双工、流控、速率等参数调整；</w:t>
            </w:r>
          </w:p>
        </w:tc>
      </w:tr>
      <w:tr w14:paraId="31072F79">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56859DF0">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高可用性</w:t>
            </w: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5F08E7A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*冗余</w:t>
            </w:r>
          </w:p>
        </w:tc>
        <w:tc>
          <w:tcPr>
            <w:tcW w:w="6681" w:type="dxa"/>
            <w:tcBorders>
              <w:top w:val="single" w:color="auto" w:sz="12" w:space="0"/>
              <w:left w:val="single" w:color="auto" w:sz="12" w:space="0"/>
              <w:bottom w:val="single" w:color="auto" w:sz="12" w:space="0"/>
              <w:right w:val="single" w:color="auto" w:sz="12" w:space="0"/>
            </w:tcBorders>
            <w:vAlign w:val="center"/>
          </w:tcPr>
          <w:p w14:paraId="73AC38A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支持双机热备功能；</w:t>
            </w:r>
          </w:p>
        </w:tc>
      </w:tr>
      <w:tr w14:paraId="028BAEFD">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BB4FAB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69031C70">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3766EC8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支持配置同步功能；</w:t>
            </w:r>
          </w:p>
        </w:tc>
      </w:tr>
      <w:tr w14:paraId="71314F01">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43C4D423">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710B0D58">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500BD68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双机切换时间小于200毫秒；</w:t>
            </w:r>
          </w:p>
        </w:tc>
      </w:tr>
      <w:tr w14:paraId="5DDE918E">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BB0DD64">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1B29FAE8">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348B44E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设备冗余会话复制，实现应用系统无缝故障切换；</w:t>
            </w:r>
          </w:p>
        </w:tc>
      </w:tr>
      <w:tr w14:paraId="4E5EB8B0">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3E82CD4D">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安全</w:t>
            </w:r>
          </w:p>
        </w:tc>
        <w:tc>
          <w:tcPr>
            <w:tcW w:w="1014" w:type="dxa"/>
            <w:tcBorders>
              <w:top w:val="single" w:color="auto" w:sz="12" w:space="0"/>
              <w:left w:val="single" w:color="auto" w:sz="12" w:space="0"/>
              <w:bottom w:val="single" w:color="auto" w:sz="12" w:space="0"/>
              <w:right w:val="single" w:color="auto" w:sz="12" w:space="0"/>
            </w:tcBorders>
          </w:tcPr>
          <w:p w14:paraId="3B0ADF3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*安全的管理</w:t>
            </w:r>
          </w:p>
        </w:tc>
        <w:tc>
          <w:tcPr>
            <w:tcW w:w="6681" w:type="dxa"/>
            <w:tcBorders>
              <w:top w:val="single" w:color="auto" w:sz="12" w:space="0"/>
              <w:left w:val="single" w:color="auto" w:sz="12" w:space="0"/>
              <w:bottom w:val="single" w:color="auto" w:sz="12" w:space="0"/>
              <w:right w:val="single" w:color="auto" w:sz="12" w:space="0"/>
            </w:tcBorders>
            <w:vAlign w:val="center"/>
          </w:tcPr>
          <w:p w14:paraId="2B21E519">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实现通过HTTPS、SSH进行安全的远程管理，及Console终端管理方式；</w:t>
            </w:r>
          </w:p>
        </w:tc>
      </w:tr>
      <w:tr w14:paraId="1DF39D81">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2E01227">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tcPr>
          <w:p w14:paraId="0925305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*DOS/DDOS防护</w:t>
            </w:r>
          </w:p>
        </w:tc>
        <w:tc>
          <w:tcPr>
            <w:tcW w:w="6681" w:type="dxa"/>
            <w:tcBorders>
              <w:top w:val="single" w:color="auto" w:sz="12" w:space="0"/>
              <w:left w:val="single" w:color="auto" w:sz="12" w:space="0"/>
              <w:bottom w:val="single" w:color="auto" w:sz="12" w:space="0"/>
              <w:right w:val="single" w:color="auto" w:sz="12" w:space="0"/>
            </w:tcBorders>
            <w:vAlign w:val="center"/>
          </w:tcPr>
          <w:p w14:paraId="72BB7E9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支持SYN Flood攻击防护；</w:t>
            </w:r>
          </w:p>
        </w:tc>
      </w:tr>
      <w:tr w14:paraId="18E8BC8D">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5EE181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tcPr>
          <w:p w14:paraId="3A1EBCA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*Http协议清洗</w:t>
            </w:r>
          </w:p>
        </w:tc>
        <w:tc>
          <w:tcPr>
            <w:tcW w:w="6681" w:type="dxa"/>
            <w:tcBorders>
              <w:top w:val="single" w:color="auto" w:sz="12" w:space="0"/>
              <w:left w:val="single" w:color="auto" w:sz="12" w:space="0"/>
              <w:bottom w:val="single" w:color="auto" w:sz="12" w:space="0"/>
              <w:right w:val="single" w:color="auto" w:sz="12" w:space="0"/>
            </w:tcBorders>
            <w:vAlign w:val="center"/>
          </w:tcPr>
          <w:p w14:paraId="48379F5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支持符合RFC定义的HTTP协议清洗，避免无效访问耗费资源；</w:t>
            </w:r>
          </w:p>
        </w:tc>
      </w:tr>
      <w:tr w14:paraId="6BD43D9F">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33962EF0">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SSL证书</w:t>
            </w: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23936C2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*SSL证书管理</w:t>
            </w:r>
          </w:p>
        </w:tc>
        <w:tc>
          <w:tcPr>
            <w:tcW w:w="6681" w:type="dxa"/>
            <w:tcBorders>
              <w:top w:val="single" w:color="auto" w:sz="12" w:space="0"/>
              <w:left w:val="single" w:color="auto" w:sz="12" w:space="0"/>
              <w:bottom w:val="single" w:color="auto" w:sz="12" w:space="0"/>
              <w:right w:val="single" w:color="auto" w:sz="12" w:space="0"/>
            </w:tcBorders>
            <w:vAlign w:val="center"/>
          </w:tcPr>
          <w:p w14:paraId="69A7F7A4">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支持创建自签名数字证书；</w:t>
            </w:r>
          </w:p>
        </w:tc>
      </w:tr>
      <w:tr w14:paraId="11C0DA5F">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484CDDF2">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47EB5705">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2A7626F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支持导入CA证书和普通证书：</w:t>
            </w:r>
          </w:p>
        </w:tc>
      </w:tr>
      <w:tr w14:paraId="2C8C40A9">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E863ACA">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6E8A2DC6">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460AEF54">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服务器证书支持PEM/DER格式导入；</w:t>
            </w:r>
          </w:p>
        </w:tc>
      </w:tr>
      <w:tr w14:paraId="20329FB6">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B995064">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63ADBA42">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1ACF5D15">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客户端证书支持PFX/P12格式导入；</w:t>
            </w:r>
          </w:p>
        </w:tc>
      </w:tr>
      <w:tr w14:paraId="4DA897EF">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125BB9E">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2F9B8693">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7C8677A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支持证书导出；</w:t>
            </w:r>
          </w:p>
        </w:tc>
      </w:tr>
      <w:tr w14:paraId="7EBC1613">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7D97F12">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4DECA7CF">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0AEE9AF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支持强制客户端数字证书验证，并支持CRL证书吊销列表；</w:t>
            </w:r>
          </w:p>
        </w:tc>
      </w:tr>
      <w:tr w14:paraId="5EEA9302">
        <w:tblPrEx>
          <w:tblCellMar>
            <w:top w:w="0" w:type="dxa"/>
            <w:left w:w="108" w:type="dxa"/>
            <w:bottom w:w="0" w:type="dxa"/>
            <w:right w:w="108" w:type="dxa"/>
          </w:tblCellMar>
        </w:tblPrEx>
        <w:trPr>
          <w:trHeight w:val="51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10A7CC05">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管理</w:t>
            </w:r>
          </w:p>
        </w:tc>
        <w:tc>
          <w:tcPr>
            <w:tcW w:w="1014" w:type="dxa"/>
            <w:tcBorders>
              <w:top w:val="single" w:color="auto" w:sz="12" w:space="0"/>
              <w:left w:val="single" w:color="auto" w:sz="12" w:space="0"/>
              <w:bottom w:val="single" w:color="auto" w:sz="12" w:space="0"/>
              <w:right w:val="single" w:color="auto" w:sz="12" w:space="0"/>
            </w:tcBorders>
            <w:vAlign w:val="center"/>
          </w:tcPr>
          <w:p w14:paraId="104A8BB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*实时抓包工具</w:t>
            </w:r>
          </w:p>
        </w:tc>
        <w:tc>
          <w:tcPr>
            <w:tcW w:w="6681" w:type="dxa"/>
            <w:tcBorders>
              <w:top w:val="single" w:color="auto" w:sz="12" w:space="0"/>
              <w:left w:val="single" w:color="auto" w:sz="12" w:space="0"/>
              <w:bottom w:val="single" w:color="auto" w:sz="12" w:space="0"/>
              <w:right w:val="single" w:color="auto" w:sz="12" w:space="0"/>
            </w:tcBorders>
            <w:vAlign w:val="center"/>
          </w:tcPr>
          <w:p w14:paraId="16DE082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应用交付网关自身提供tcpdump的实时抓包工具，并将抓取的数据以文件形式导出，并可以用通用的分析工具，如sniffer,wireshark等工具；</w:t>
            </w:r>
          </w:p>
        </w:tc>
      </w:tr>
      <w:tr w14:paraId="799AEF27">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68169654">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4592163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*语言</w:t>
            </w:r>
          </w:p>
        </w:tc>
        <w:tc>
          <w:tcPr>
            <w:tcW w:w="6681" w:type="dxa"/>
            <w:tcBorders>
              <w:top w:val="single" w:color="auto" w:sz="12" w:space="0"/>
              <w:left w:val="single" w:color="auto" w:sz="12" w:space="0"/>
              <w:bottom w:val="single" w:color="auto" w:sz="12" w:space="0"/>
              <w:right w:val="single" w:color="auto" w:sz="12" w:space="0"/>
            </w:tcBorders>
            <w:vAlign w:val="center"/>
          </w:tcPr>
          <w:p w14:paraId="106B25EF">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支持中文、英文操作界面版本</w:t>
            </w:r>
          </w:p>
        </w:tc>
      </w:tr>
      <w:tr w14:paraId="2923914E">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47D5A740">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6A7E144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*诊断工具</w:t>
            </w:r>
          </w:p>
        </w:tc>
        <w:tc>
          <w:tcPr>
            <w:tcW w:w="6681" w:type="dxa"/>
            <w:tcBorders>
              <w:top w:val="single" w:color="auto" w:sz="12" w:space="0"/>
              <w:left w:val="single" w:color="auto" w:sz="12" w:space="0"/>
              <w:bottom w:val="single" w:color="auto" w:sz="12" w:space="0"/>
              <w:right w:val="single" w:color="auto" w:sz="12" w:space="0"/>
            </w:tcBorders>
            <w:vAlign w:val="center"/>
          </w:tcPr>
          <w:p w14:paraId="01DD7D7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提供PING、Traceroute、Netstat、Iostat、Sar等诊断工具；</w:t>
            </w:r>
          </w:p>
        </w:tc>
      </w:tr>
      <w:tr w14:paraId="32EC62DD">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48A2AF7">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539F171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*统计报表和日志</w:t>
            </w:r>
          </w:p>
        </w:tc>
        <w:tc>
          <w:tcPr>
            <w:tcW w:w="6681" w:type="dxa"/>
            <w:tcBorders>
              <w:top w:val="single" w:color="auto" w:sz="12" w:space="0"/>
              <w:left w:val="single" w:color="auto" w:sz="12" w:space="0"/>
              <w:bottom w:val="single" w:color="auto" w:sz="12" w:space="0"/>
              <w:right w:val="single" w:color="auto" w:sz="12" w:space="0"/>
            </w:tcBorders>
            <w:vAlign w:val="center"/>
          </w:tcPr>
          <w:p w14:paraId="19462454">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xml:space="preserve">应用交付网关提供实时和历史数据统计信息，如：CPU/内存利用率,流量吞吐、连接及请求信息等； </w:t>
            </w:r>
          </w:p>
        </w:tc>
      </w:tr>
      <w:tr w14:paraId="0AB4EC0E">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199828A">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6931C232">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34F3DEBE">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统计报表提供曲线和表格两种形式，并支持csv或pdf文件格式导出；</w:t>
            </w:r>
          </w:p>
        </w:tc>
      </w:tr>
      <w:tr w14:paraId="02E48A08">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9D07E12">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2E816017">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34502D3F">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提供所有系统操作轨迹记录的审计日志</w:t>
            </w:r>
          </w:p>
        </w:tc>
      </w:tr>
      <w:tr w14:paraId="610FB847">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148FF49B">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71A78B6A">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439C5FB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提供WEB访问日志记录与导出</w:t>
            </w:r>
          </w:p>
        </w:tc>
      </w:tr>
      <w:tr w14:paraId="49CF0406">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31D77BA">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0C86DEAF">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2D19975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提供邮件告警功能；</w:t>
            </w:r>
          </w:p>
        </w:tc>
      </w:tr>
      <w:tr w14:paraId="44A189B5">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5DA2EDA">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3E441E6A">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564F8B5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支持第三方SNMPv1/2/3和SNMP trap管理功能；</w:t>
            </w:r>
          </w:p>
        </w:tc>
      </w:tr>
      <w:tr w14:paraId="5F2A611F">
        <w:tblPrEx>
          <w:tblCellMar>
            <w:top w:w="0" w:type="dxa"/>
            <w:left w:w="108" w:type="dxa"/>
            <w:bottom w:w="0" w:type="dxa"/>
            <w:right w:w="108" w:type="dxa"/>
          </w:tblCellMar>
        </w:tblPrEx>
        <w:trPr>
          <w:trHeight w:val="270" w:hRule="atLeast"/>
        </w:trPr>
        <w:tc>
          <w:tcPr>
            <w:tcW w:w="602" w:type="dxa"/>
            <w:vMerge w:val="restart"/>
            <w:tcBorders>
              <w:top w:val="single" w:color="auto" w:sz="12" w:space="0"/>
              <w:left w:val="single" w:color="auto" w:sz="12" w:space="0"/>
              <w:bottom w:val="single" w:color="auto" w:sz="12" w:space="0"/>
              <w:right w:val="single" w:color="auto" w:sz="12" w:space="0"/>
            </w:tcBorders>
            <w:vAlign w:val="center"/>
          </w:tcPr>
          <w:p w14:paraId="042CBD53">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硬件配置</w:t>
            </w:r>
          </w:p>
        </w:tc>
        <w:tc>
          <w:tcPr>
            <w:tcW w:w="1014" w:type="dxa"/>
            <w:tcBorders>
              <w:top w:val="single" w:color="auto" w:sz="12" w:space="0"/>
              <w:left w:val="single" w:color="auto" w:sz="12" w:space="0"/>
              <w:bottom w:val="single" w:color="auto" w:sz="12" w:space="0"/>
              <w:right w:val="single" w:color="auto" w:sz="12" w:space="0"/>
            </w:tcBorders>
            <w:vAlign w:val="center"/>
          </w:tcPr>
          <w:p w14:paraId="4367C11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*CPU</w:t>
            </w:r>
          </w:p>
        </w:tc>
        <w:tc>
          <w:tcPr>
            <w:tcW w:w="6681" w:type="dxa"/>
            <w:tcBorders>
              <w:top w:val="single" w:color="auto" w:sz="12" w:space="0"/>
              <w:left w:val="single" w:color="auto" w:sz="12" w:space="0"/>
              <w:bottom w:val="single" w:color="auto" w:sz="12" w:space="0"/>
              <w:right w:val="single" w:color="auto" w:sz="12" w:space="0"/>
            </w:tcBorders>
            <w:vAlign w:val="center"/>
          </w:tcPr>
          <w:p w14:paraId="7E67621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≥2核CPU</w:t>
            </w:r>
          </w:p>
        </w:tc>
      </w:tr>
      <w:tr w14:paraId="2BB44C34">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7DCC397">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6B48762F">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*内存</w:t>
            </w:r>
          </w:p>
        </w:tc>
        <w:tc>
          <w:tcPr>
            <w:tcW w:w="6681" w:type="dxa"/>
            <w:tcBorders>
              <w:top w:val="single" w:color="auto" w:sz="12" w:space="0"/>
              <w:left w:val="single" w:color="auto" w:sz="12" w:space="0"/>
              <w:bottom w:val="single" w:color="auto" w:sz="12" w:space="0"/>
              <w:right w:val="single" w:color="auto" w:sz="12" w:space="0"/>
            </w:tcBorders>
            <w:vAlign w:val="center"/>
          </w:tcPr>
          <w:p w14:paraId="55EACC8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需采用高速ECC纠错内存技术，系统内存≥8GB</w:t>
            </w:r>
          </w:p>
        </w:tc>
      </w:tr>
      <w:tr w14:paraId="6DA48B07">
        <w:tblPrEx>
          <w:tblCellMar>
            <w:top w:w="0" w:type="dxa"/>
            <w:left w:w="108" w:type="dxa"/>
            <w:bottom w:w="0" w:type="dxa"/>
            <w:right w:w="108" w:type="dxa"/>
          </w:tblCellMar>
        </w:tblPrEx>
        <w:trPr>
          <w:trHeight w:val="51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EDC2A7A">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1F565E04">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*硬盘</w:t>
            </w:r>
          </w:p>
        </w:tc>
        <w:tc>
          <w:tcPr>
            <w:tcW w:w="6681" w:type="dxa"/>
            <w:tcBorders>
              <w:top w:val="single" w:color="auto" w:sz="12" w:space="0"/>
              <w:left w:val="single" w:color="auto" w:sz="12" w:space="0"/>
              <w:bottom w:val="single" w:color="auto" w:sz="12" w:space="0"/>
              <w:right w:val="single" w:color="auto" w:sz="12" w:space="0"/>
            </w:tcBorders>
            <w:vAlign w:val="center"/>
          </w:tcPr>
          <w:p w14:paraId="4F61952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投标设备需配置固态SSD硬盘，以确保系统镜像和日志等信息得到稳定和可靠的存储，容量≥60GB；</w:t>
            </w:r>
          </w:p>
        </w:tc>
      </w:tr>
      <w:tr w14:paraId="11D8675E">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C7687C6">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restart"/>
            <w:tcBorders>
              <w:top w:val="single" w:color="auto" w:sz="12" w:space="0"/>
              <w:left w:val="single" w:color="auto" w:sz="12" w:space="0"/>
              <w:bottom w:val="single" w:color="auto" w:sz="12" w:space="0"/>
              <w:right w:val="single" w:color="auto" w:sz="12" w:space="0"/>
            </w:tcBorders>
            <w:vAlign w:val="center"/>
          </w:tcPr>
          <w:p w14:paraId="4A43971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*网络端口</w:t>
            </w:r>
          </w:p>
        </w:tc>
        <w:tc>
          <w:tcPr>
            <w:tcW w:w="6681" w:type="dxa"/>
            <w:tcBorders>
              <w:top w:val="single" w:color="auto" w:sz="12" w:space="0"/>
              <w:left w:val="single" w:color="auto" w:sz="12" w:space="0"/>
              <w:bottom w:val="single" w:color="auto" w:sz="12" w:space="0"/>
              <w:right w:val="single" w:color="auto" w:sz="12" w:space="0"/>
            </w:tcBorders>
            <w:vAlign w:val="center"/>
          </w:tcPr>
          <w:p w14:paraId="1E071C61">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≥6个10/100/1000M RJ45以太网端口</w:t>
            </w:r>
          </w:p>
        </w:tc>
      </w:tr>
      <w:tr w14:paraId="67344875">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602487B">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10A36D87">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68AD9B8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≥2个千兆位SFP光纤端口</w:t>
            </w:r>
          </w:p>
        </w:tc>
      </w:tr>
      <w:tr w14:paraId="1995DF28">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5BCC961B">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vMerge w:val="continue"/>
            <w:tcBorders>
              <w:top w:val="single" w:color="auto" w:sz="12" w:space="0"/>
              <w:left w:val="single" w:color="auto" w:sz="12" w:space="0"/>
              <w:bottom w:val="single" w:color="auto" w:sz="12" w:space="0"/>
              <w:right w:val="single" w:color="auto" w:sz="12" w:space="0"/>
            </w:tcBorders>
            <w:vAlign w:val="center"/>
          </w:tcPr>
          <w:p w14:paraId="52A76F56">
            <w:pPr>
              <w:spacing w:before="0" w:after="0" w:line="240" w:lineRule="auto"/>
              <w:ind w:firstLine="0"/>
              <w:jc w:val="left"/>
              <w:rPr>
                <w:rFonts w:hint="eastAsia" w:cs="宋体" w:asciiTheme="majorEastAsia" w:hAnsiTheme="majorEastAsia" w:eastAsiaTheme="majorEastAsia"/>
                <w:kern w:val="0"/>
                <w:sz w:val="21"/>
                <w:szCs w:val="21"/>
              </w:rPr>
            </w:pPr>
          </w:p>
        </w:tc>
        <w:tc>
          <w:tcPr>
            <w:tcW w:w="6681" w:type="dxa"/>
            <w:tcBorders>
              <w:top w:val="single" w:color="auto" w:sz="12" w:space="0"/>
              <w:left w:val="single" w:color="auto" w:sz="12" w:space="0"/>
              <w:bottom w:val="single" w:color="auto" w:sz="12" w:space="0"/>
              <w:right w:val="single" w:color="auto" w:sz="12" w:space="0"/>
            </w:tcBorders>
            <w:vAlign w:val="center"/>
          </w:tcPr>
          <w:p w14:paraId="7C6714CC">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≥2个1/10G自适应SFP光接口</w:t>
            </w:r>
          </w:p>
        </w:tc>
      </w:tr>
      <w:tr w14:paraId="50520BC1">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59EBD8D">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55DA90A7">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*四层流量吞吐</w:t>
            </w:r>
          </w:p>
        </w:tc>
        <w:tc>
          <w:tcPr>
            <w:tcW w:w="6681" w:type="dxa"/>
            <w:tcBorders>
              <w:top w:val="single" w:color="auto" w:sz="12" w:space="0"/>
              <w:left w:val="single" w:color="auto" w:sz="12" w:space="0"/>
              <w:bottom w:val="single" w:color="auto" w:sz="12" w:space="0"/>
              <w:right w:val="single" w:color="auto" w:sz="12" w:space="0"/>
            </w:tcBorders>
            <w:vAlign w:val="center"/>
          </w:tcPr>
          <w:p w14:paraId="3CEC4CF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 xml:space="preserve">≥12Gbps  </w:t>
            </w:r>
          </w:p>
        </w:tc>
      </w:tr>
      <w:tr w14:paraId="29CBA5CE">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699CB65">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051CCB32">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*电源配置</w:t>
            </w:r>
          </w:p>
        </w:tc>
        <w:tc>
          <w:tcPr>
            <w:tcW w:w="6681" w:type="dxa"/>
            <w:tcBorders>
              <w:top w:val="single" w:color="auto" w:sz="12" w:space="0"/>
              <w:left w:val="single" w:color="auto" w:sz="12" w:space="0"/>
              <w:bottom w:val="single" w:color="auto" w:sz="12" w:space="0"/>
              <w:right w:val="single" w:color="auto" w:sz="12" w:space="0"/>
            </w:tcBorders>
            <w:vAlign w:val="center"/>
          </w:tcPr>
          <w:p w14:paraId="3CABE70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支持双电源</w:t>
            </w:r>
          </w:p>
        </w:tc>
      </w:tr>
      <w:tr w14:paraId="4D98B8CF">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04A49FA3">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3A8CF4D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*TCP并发连接</w:t>
            </w:r>
          </w:p>
        </w:tc>
        <w:tc>
          <w:tcPr>
            <w:tcW w:w="6681" w:type="dxa"/>
            <w:tcBorders>
              <w:top w:val="single" w:color="auto" w:sz="12" w:space="0"/>
              <w:left w:val="single" w:color="auto" w:sz="12" w:space="0"/>
              <w:bottom w:val="single" w:color="auto" w:sz="12" w:space="0"/>
              <w:right w:val="single" w:color="auto" w:sz="12" w:space="0"/>
            </w:tcBorders>
            <w:vAlign w:val="center"/>
          </w:tcPr>
          <w:p w14:paraId="4C9A115B">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≥1000万，可升级2800万</w:t>
            </w:r>
          </w:p>
        </w:tc>
      </w:tr>
      <w:tr w14:paraId="4D19F7FA">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6F6B47D">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717710B3">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*四层连接新建</w:t>
            </w:r>
          </w:p>
        </w:tc>
        <w:tc>
          <w:tcPr>
            <w:tcW w:w="6681" w:type="dxa"/>
            <w:tcBorders>
              <w:top w:val="single" w:color="auto" w:sz="12" w:space="0"/>
              <w:left w:val="single" w:color="auto" w:sz="12" w:space="0"/>
              <w:bottom w:val="single" w:color="auto" w:sz="12" w:space="0"/>
              <w:right w:val="single" w:color="auto" w:sz="12" w:space="0"/>
            </w:tcBorders>
            <w:vAlign w:val="center"/>
          </w:tcPr>
          <w:p w14:paraId="7FC89570">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≥20万cps</w:t>
            </w:r>
          </w:p>
        </w:tc>
      </w:tr>
      <w:tr w14:paraId="6F87373A">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784B0942">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71AF2834">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*七层请求速率</w:t>
            </w:r>
          </w:p>
        </w:tc>
        <w:tc>
          <w:tcPr>
            <w:tcW w:w="6681" w:type="dxa"/>
            <w:tcBorders>
              <w:top w:val="single" w:color="auto" w:sz="12" w:space="0"/>
              <w:left w:val="single" w:color="auto" w:sz="12" w:space="0"/>
              <w:bottom w:val="single" w:color="auto" w:sz="12" w:space="0"/>
              <w:right w:val="single" w:color="auto" w:sz="12" w:space="0"/>
            </w:tcBorders>
            <w:vAlign w:val="center"/>
          </w:tcPr>
          <w:p w14:paraId="67A63D36">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≥150万rps</w:t>
            </w:r>
          </w:p>
        </w:tc>
      </w:tr>
      <w:tr w14:paraId="5835DCB1">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315E9A84">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155A89E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*SSL流量吞吐</w:t>
            </w:r>
          </w:p>
        </w:tc>
        <w:tc>
          <w:tcPr>
            <w:tcW w:w="6681" w:type="dxa"/>
            <w:tcBorders>
              <w:top w:val="single" w:color="auto" w:sz="12" w:space="0"/>
              <w:left w:val="single" w:color="auto" w:sz="12" w:space="0"/>
              <w:bottom w:val="single" w:color="auto" w:sz="12" w:space="0"/>
              <w:right w:val="single" w:color="auto" w:sz="12" w:space="0"/>
            </w:tcBorders>
            <w:vAlign w:val="center"/>
          </w:tcPr>
          <w:p w14:paraId="4D69357D">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≥2Gbps</w:t>
            </w:r>
          </w:p>
        </w:tc>
      </w:tr>
      <w:tr w14:paraId="6F8452D4">
        <w:tblPrEx>
          <w:tblCellMar>
            <w:top w:w="0" w:type="dxa"/>
            <w:left w:w="108" w:type="dxa"/>
            <w:bottom w:w="0" w:type="dxa"/>
            <w:right w:w="108" w:type="dxa"/>
          </w:tblCellMar>
        </w:tblPrEx>
        <w:trPr>
          <w:trHeight w:val="270" w:hRule="atLeast"/>
        </w:trPr>
        <w:tc>
          <w:tcPr>
            <w:tcW w:w="602" w:type="dxa"/>
            <w:vMerge w:val="continue"/>
            <w:tcBorders>
              <w:top w:val="single" w:color="auto" w:sz="12" w:space="0"/>
              <w:left w:val="single" w:color="auto" w:sz="12" w:space="0"/>
              <w:bottom w:val="single" w:color="auto" w:sz="12" w:space="0"/>
              <w:right w:val="single" w:color="auto" w:sz="12" w:space="0"/>
            </w:tcBorders>
            <w:vAlign w:val="center"/>
          </w:tcPr>
          <w:p w14:paraId="25605BCD">
            <w:pPr>
              <w:spacing w:before="0" w:after="0" w:line="240" w:lineRule="auto"/>
              <w:ind w:firstLine="0"/>
              <w:jc w:val="left"/>
              <w:rPr>
                <w:rFonts w:hint="eastAsia" w:cs="宋体" w:asciiTheme="majorEastAsia" w:hAnsiTheme="majorEastAsia" w:eastAsiaTheme="majorEastAsia"/>
                <w:kern w:val="0"/>
                <w:sz w:val="21"/>
                <w:szCs w:val="21"/>
              </w:rPr>
            </w:pPr>
          </w:p>
        </w:tc>
        <w:tc>
          <w:tcPr>
            <w:tcW w:w="1014" w:type="dxa"/>
            <w:tcBorders>
              <w:top w:val="single" w:color="auto" w:sz="12" w:space="0"/>
              <w:left w:val="single" w:color="auto" w:sz="12" w:space="0"/>
              <w:bottom w:val="single" w:color="auto" w:sz="12" w:space="0"/>
              <w:right w:val="single" w:color="auto" w:sz="12" w:space="0"/>
            </w:tcBorders>
            <w:vAlign w:val="center"/>
          </w:tcPr>
          <w:p w14:paraId="7CAE97B8">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*SSL事务处理</w:t>
            </w:r>
          </w:p>
        </w:tc>
        <w:tc>
          <w:tcPr>
            <w:tcW w:w="6681" w:type="dxa"/>
            <w:tcBorders>
              <w:top w:val="single" w:color="auto" w:sz="12" w:space="0"/>
              <w:left w:val="single" w:color="auto" w:sz="12" w:space="0"/>
              <w:bottom w:val="single" w:color="auto" w:sz="12" w:space="0"/>
              <w:right w:val="single" w:color="auto" w:sz="12" w:space="0"/>
            </w:tcBorders>
            <w:vAlign w:val="center"/>
          </w:tcPr>
          <w:p w14:paraId="50FF5C4A">
            <w:pPr>
              <w:spacing w:before="0" w:after="0" w:line="240" w:lineRule="auto"/>
              <w:ind w:firstLine="0"/>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≥15,000 TPS</w:t>
            </w:r>
          </w:p>
        </w:tc>
      </w:tr>
      <w:tr w14:paraId="515AF830">
        <w:tblPrEx>
          <w:tblCellMar>
            <w:top w:w="0" w:type="dxa"/>
            <w:left w:w="108" w:type="dxa"/>
            <w:bottom w:w="0" w:type="dxa"/>
            <w:right w:w="108" w:type="dxa"/>
          </w:tblCellMar>
        </w:tblPrEx>
        <w:trPr>
          <w:trHeight w:val="690" w:hRule="atLeast"/>
        </w:trPr>
        <w:tc>
          <w:tcPr>
            <w:tcW w:w="1616" w:type="dxa"/>
            <w:gridSpan w:val="2"/>
            <w:tcBorders>
              <w:top w:val="single" w:color="auto" w:sz="12" w:space="0"/>
              <w:left w:val="single" w:color="auto" w:sz="12" w:space="0"/>
              <w:bottom w:val="single" w:color="auto" w:sz="12" w:space="0"/>
              <w:right w:val="single" w:color="auto" w:sz="12" w:space="0"/>
            </w:tcBorders>
            <w:vAlign w:val="center"/>
          </w:tcPr>
          <w:p w14:paraId="426A87F3">
            <w:pPr>
              <w:spacing w:before="0" w:after="0" w:line="240" w:lineRule="auto"/>
              <w:ind w:firstLine="0"/>
              <w:jc w:val="center"/>
              <w:rPr>
                <w:rFonts w:hint="eastAsia" w:cs="宋体" w:asciiTheme="majorEastAsia" w:hAnsiTheme="majorEastAsia" w:eastAsiaTheme="majorEastAsia"/>
                <w:kern w:val="0"/>
                <w:sz w:val="21"/>
                <w:szCs w:val="21"/>
              </w:rPr>
            </w:pPr>
            <w:r>
              <w:rPr>
                <w:rFonts w:hint="eastAsia" w:cs="宋体" w:asciiTheme="majorEastAsia" w:hAnsiTheme="majorEastAsia" w:eastAsiaTheme="majorEastAsia"/>
                <w:kern w:val="0"/>
                <w:sz w:val="21"/>
                <w:szCs w:val="21"/>
              </w:rPr>
              <w:t>服务要求</w:t>
            </w:r>
          </w:p>
        </w:tc>
        <w:tc>
          <w:tcPr>
            <w:tcW w:w="6681" w:type="dxa"/>
            <w:tcBorders>
              <w:top w:val="single" w:color="auto" w:sz="12" w:space="0"/>
              <w:left w:val="single" w:color="auto" w:sz="12" w:space="0"/>
              <w:bottom w:val="single" w:color="auto" w:sz="12" w:space="0"/>
              <w:right w:val="single" w:color="auto" w:sz="12" w:space="0"/>
            </w:tcBorders>
            <w:vAlign w:val="center"/>
          </w:tcPr>
          <w:p w14:paraId="0BEE55B7">
            <w:pPr>
              <w:spacing w:before="0" w:after="0" w:line="240" w:lineRule="auto"/>
              <w:ind w:firstLine="0"/>
              <w:jc w:val="left"/>
              <w:rPr>
                <w:rFonts w:hint="eastAsia" w:cs="宋体" w:asciiTheme="majorEastAsia" w:hAnsiTheme="majorEastAsia" w:eastAsiaTheme="majorEastAsia"/>
                <w:kern w:val="0"/>
                <w:sz w:val="18"/>
                <w:szCs w:val="18"/>
              </w:rPr>
            </w:pPr>
            <w:r>
              <w:rPr>
                <w:rFonts w:hint="eastAsia" w:cs="宋体" w:asciiTheme="majorEastAsia" w:hAnsiTheme="majorEastAsia" w:eastAsiaTheme="majorEastAsia"/>
                <w:kern w:val="0"/>
                <w:sz w:val="18"/>
                <w:szCs w:val="18"/>
              </w:rPr>
              <w:t>售后服务要求：原厂提供5年免费上门维修服务，人工、配件、交通等任何费用全免；每天24小时、每周7天，8小时到现场的原厂商支持。</w:t>
            </w:r>
          </w:p>
        </w:tc>
      </w:tr>
    </w:tbl>
    <w:p w14:paraId="29F037CF">
      <w:pPr>
        <w:pStyle w:val="7"/>
        <w:widowControl/>
        <w:spacing w:line="360" w:lineRule="auto"/>
      </w:pPr>
      <w:r>
        <w:rPr>
          <w:rFonts w:hint="eastAsia"/>
        </w:rPr>
        <w:t>防火墙</w:t>
      </w:r>
      <w:bookmarkStart w:id="56" w:name="_Toc113037954"/>
    </w:p>
    <w:p w14:paraId="7F99C907">
      <w:pPr>
        <w:pStyle w:val="8"/>
        <w:rPr>
          <w:rFonts w:hint="eastAsia"/>
        </w:rPr>
      </w:pPr>
      <w:r>
        <w:t>千兆防火墙</w:t>
      </w:r>
      <w:bookmarkEnd w:id="56"/>
    </w:p>
    <w:tbl>
      <w:tblPr>
        <w:tblStyle w:val="47"/>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16"/>
        <w:gridCol w:w="1843"/>
        <w:gridCol w:w="5749"/>
      </w:tblGrid>
      <w:tr w14:paraId="7790C7F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16" w:type="dxa"/>
          </w:tcPr>
          <w:p w14:paraId="49C200A9">
            <w:pPr>
              <w:spacing w:before="0" w:after="0" w:line="240" w:lineRule="auto"/>
              <w:ind w:firstLine="0"/>
              <w:jc w:val="center"/>
              <w:rPr>
                <w:rFonts w:hint="eastAsia" w:cs="宋体" w:asciiTheme="majorEastAsia" w:hAnsiTheme="majorEastAsia" w:eastAsiaTheme="majorEastAsia"/>
                <w:b/>
                <w:bCs/>
                <w:kern w:val="0"/>
                <w:sz w:val="21"/>
                <w:szCs w:val="21"/>
              </w:rPr>
            </w:pPr>
            <w:r>
              <w:rPr>
                <w:rFonts w:cs="宋体" w:asciiTheme="majorEastAsia" w:hAnsiTheme="majorEastAsia" w:eastAsiaTheme="majorEastAsia"/>
                <w:b/>
                <w:bCs/>
                <w:kern w:val="0"/>
                <w:sz w:val="21"/>
                <w:szCs w:val="21"/>
              </w:rPr>
              <w:t>序号</w:t>
            </w:r>
          </w:p>
        </w:tc>
        <w:tc>
          <w:tcPr>
            <w:tcW w:w="1843" w:type="dxa"/>
          </w:tcPr>
          <w:p w14:paraId="32A03B9F">
            <w:pPr>
              <w:spacing w:before="0" w:after="0" w:line="240" w:lineRule="auto"/>
              <w:ind w:firstLine="0"/>
              <w:jc w:val="center"/>
              <w:rPr>
                <w:rFonts w:hint="eastAsia" w:cs="宋体" w:asciiTheme="majorEastAsia" w:hAnsiTheme="majorEastAsia" w:eastAsiaTheme="majorEastAsia"/>
                <w:b/>
                <w:bCs/>
                <w:kern w:val="0"/>
                <w:sz w:val="21"/>
                <w:szCs w:val="21"/>
              </w:rPr>
            </w:pPr>
            <w:r>
              <w:rPr>
                <w:rFonts w:cs="宋体" w:asciiTheme="majorEastAsia" w:hAnsiTheme="majorEastAsia" w:eastAsiaTheme="majorEastAsia"/>
                <w:b/>
                <w:bCs/>
                <w:kern w:val="0"/>
                <w:sz w:val="21"/>
                <w:szCs w:val="21"/>
              </w:rPr>
              <w:t>设备名称</w:t>
            </w:r>
          </w:p>
        </w:tc>
        <w:tc>
          <w:tcPr>
            <w:tcW w:w="5749" w:type="dxa"/>
          </w:tcPr>
          <w:p w14:paraId="481C0FA3">
            <w:pPr>
              <w:spacing w:before="0" w:after="0" w:line="240" w:lineRule="auto"/>
              <w:ind w:firstLine="0"/>
              <w:jc w:val="center"/>
              <w:rPr>
                <w:rFonts w:hint="eastAsia" w:cs="宋体" w:asciiTheme="majorEastAsia" w:hAnsiTheme="majorEastAsia" w:eastAsiaTheme="majorEastAsia"/>
                <w:b/>
                <w:bCs/>
                <w:kern w:val="0"/>
                <w:sz w:val="21"/>
                <w:szCs w:val="21"/>
              </w:rPr>
            </w:pPr>
            <w:r>
              <w:rPr>
                <w:rFonts w:cs="宋体" w:asciiTheme="majorEastAsia" w:hAnsiTheme="majorEastAsia" w:eastAsiaTheme="majorEastAsia"/>
                <w:b/>
                <w:bCs/>
                <w:kern w:val="0"/>
                <w:sz w:val="21"/>
                <w:szCs w:val="21"/>
              </w:rPr>
              <w:t>技术要求</w:t>
            </w:r>
          </w:p>
        </w:tc>
      </w:tr>
      <w:tr w14:paraId="61F450C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16" w:type="dxa"/>
            <w:vMerge w:val="restart"/>
            <w:vAlign w:val="center"/>
          </w:tcPr>
          <w:p w14:paraId="085524B5">
            <w:pPr>
              <w:ind w:firstLine="480"/>
              <w:jc w:val="center"/>
              <w:rPr>
                <w:color w:val="EE0000"/>
                <w:szCs w:val="22"/>
              </w:rPr>
            </w:pPr>
            <w:r>
              <w:rPr>
                <w:rFonts w:hint="eastAsia"/>
                <w:color w:val="EE0000"/>
                <w:szCs w:val="22"/>
              </w:rPr>
              <w:t>1</w:t>
            </w:r>
          </w:p>
        </w:tc>
        <w:tc>
          <w:tcPr>
            <w:tcW w:w="1843" w:type="dxa"/>
            <w:vMerge w:val="restart"/>
            <w:vAlign w:val="center"/>
          </w:tcPr>
          <w:p w14:paraId="456DE788">
            <w:pPr>
              <w:spacing w:before="0" w:after="0" w:line="240" w:lineRule="auto"/>
              <w:ind w:firstLine="0"/>
              <w:jc w:val="center"/>
              <w:rPr>
                <w:color w:val="EE0000"/>
                <w:szCs w:val="22"/>
              </w:rPr>
            </w:pPr>
            <w:r>
              <w:rPr>
                <w:rFonts w:hint="eastAsia" w:ascii="宋体" w:hAnsi="宋体" w:cs="宋体"/>
                <w:color w:val="EE0000"/>
                <w:kern w:val="0"/>
                <w:sz w:val="18"/>
                <w:szCs w:val="18"/>
              </w:rPr>
              <w:t>千兆防火墙</w:t>
            </w:r>
          </w:p>
        </w:tc>
        <w:tc>
          <w:tcPr>
            <w:tcW w:w="5749" w:type="dxa"/>
          </w:tcPr>
          <w:p w14:paraId="24581397">
            <w:pPr>
              <w:ind w:firstLine="0"/>
              <w:rPr>
                <w:rFonts w:hint="eastAsia" w:cs="宋体" w:asciiTheme="majorEastAsia" w:hAnsiTheme="majorEastAsia" w:eastAsiaTheme="majorEastAsia"/>
                <w:color w:val="EE0000"/>
                <w:kern w:val="0"/>
                <w:sz w:val="18"/>
                <w:szCs w:val="18"/>
              </w:rPr>
            </w:pPr>
            <w:r>
              <w:rPr>
                <w:rFonts w:hint="eastAsia" w:ascii="宋体" w:hAnsi="宋体" w:cs="宋体"/>
                <w:color w:val="EE0000"/>
                <w:kern w:val="0"/>
                <w:sz w:val="18"/>
                <w:szCs w:val="18"/>
              </w:rPr>
              <w:t>★安全可靠：CPU、DRAM颗粒、FLASH、交换转发芯片等配置信息需要同时提供安全可靠芯片证明材料及承诺函（格式见附件四）</w:t>
            </w:r>
          </w:p>
        </w:tc>
      </w:tr>
      <w:tr w14:paraId="63516FF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16" w:type="dxa"/>
            <w:vMerge w:val="continue"/>
          </w:tcPr>
          <w:p w14:paraId="215477D5">
            <w:pPr>
              <w:ind w:firstLine="0"/>
              <w:rPr>
                <w:color w:val="EE0000"/>
                <w:szCs w:val="22"/>
              </w:rPr>
            </w:pPr>
          </w:p>
        </w:tc>
        <w:tc>
          <w:tcPr>
            <w:tcW w:w="1843" w:type="dxa"/>
            <w:vMerge w:val="continue"/>
          </w:tcPr>
          <w:p w14:paraId="4085DFED">
            <w:pPr>
              <w:ind w:firstLine="0"/>
              <w:rPr>
                <w:color w:val="EE0000"/>
                <w:szCs w:val="22"/>
              </w:rPr>
            </w:pPr>
          </w:p>
        </w:tc>
        <w:tc>
          <w:tcPr>
            <w:tcW w:w="5749" w:type="dxa"/>
          </w:tcPr>
          <w:p w14:paraId="09871BCE">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机架式安装；</w:t>
            </w:r>
          </w:p>
          <w:p w14:paraId="293CD2D9">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硬件架构：宜采用专用硬件架构；</w:t>
            </w:r>
          </w:p>
          <w:p w14:paraId="59918168">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千兆防火墙;</w:t>
            </w:r>
          </w:p>
          <w:p w14:paraId="2F44ACC8">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1U机架式结构；配置不低于8个千兆combo口，2个千兆电口，2个万兆光口；具备基本的URL过滤功能；并发连接数100万；冗余双电源；</w:t>
            </w:r>
          </w:p>
          <w:p w14:paraId="1D65AB8C">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《国家信息安全认证产品认证证书》，优选达到千兆EAL3级别产品；</w:t>
            </w:r>
          </w:p>
          <w:p w14:paraId="32A97854">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《信息系统安全集成服务资质证书》;</w:t>
            </w:r>
          </w:p>
          <w:p w14:paraId="4E059A12">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支持VPN功能；提供独立的VPN客户端；</w:t>
            </w:r>
          </w:p>
          <w:p w14:paraId="40DA6255">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可以基于网络地址、通信协议、通信端口、用户帐号、信息传输方向、操作方式、网络通信时间、网络服务等进行综合过滤与访问控制；</w:t>
            </w:r>
          </w:p>
          <w:p w14:paraId="25C29AFC">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支持动态网络地址转换（NAT），支持IP和MAC地址绑定，支持应用层协议的内容过滤；</w:t>
            </w:r>
          </w:p>
          <w:p w14:paraId="3C3A43C5">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支持全面NAT功能，对多种应用层协议支持ALG功能，包括ILS、DNS、PPTP、SIP、FTP、ICQ、RTSP等；</w:t>
            </w:r>
          </w:p>
          <w:p w14:paraId="545FB59E">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支持HTTP、HTTPS、DNS、SIP等应用层Flood攻击，支持流量自学习功能，支持设置自学习时间，并自动生成DDoS防范策略；支持IP信誉；</w:t>
            </w:r>
          </w:p>
          <w:p w14:paraId="49E71B96">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支持IEEE802.1q的TRUNK封装协议；</w:t>
            </w:r>
          </w:p>
          <w:p w14:paraId="306A454E">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支持包过滤、状态检测及应用代理；</w:t>
            </w:r>
          </w:p>
          <w:p w14:paraId="76509785">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具备透明网桥、路由及NAT工作模式；</w:t>
            </w:r>
          </w:p>
          <w:p w14:paraId="5E211A6C">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支持流量管理、流量控制及当前连接数监控，提供基于优先级的宽带管理功能；</w:t>
            </w:r>
          </w:p>
          <w:p w14:paraId="40DEF1B1">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具有安全的自身防护能力，可实时防止多种网络攻击和扫描，异常情况可发出告警信息；</w:t>
            </w:r>
          </w:p>
          <w:p w14:paraId="0F4BD37E">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支持通过WebUI，telnet，ssh，Console和安全集中管理平台（SCM）进行管理；</w:t>
            </w:r>
          </w:p>
          <w:p w14:paraId="67E2894F">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配置信息、过滤规则可方便下载并保存，并可上载或恢复；</w:t>
            </w:r>
          </w:p>
          <w:p w14:paraId="55297D64">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网络吞吐量不小于4000Mbps；</w:t>
            </w:r>
          </w:p>
          <w:p w14:paraId="69989C40">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最大并发连接数大于</w:t>
            </w:r>
            <w:r>
              <w:rPr>
                <w:rFonts w:hint="eastAsia" w:ascii="宋体" w:hAnsi="宋体" w:cs="宋体"/>
                <w:kern w:val="0"/>
                <w:sz w:val="18"/>
                <w:szCs w:val="18"/>
                <w:highlight w:val="none"/>
                <w:lang w:val="en-US" w:eastAsia="zh-CN"/>
              </w:rPr>
              <w:t>1</w:t>
            </w:r>
            <w:r>
              <w:rPr>
                <w:rFonts w:hint="eastAsia" w:ascii="宋体" w:hAnsi="宋体" w:cs="宋体"/>
                <w:kern w:val="0"/>
                <w:sz w:val="18"/>
                <w:szCs w:val="18"/>
                <w:highlight w:val="none"/>
              </w:rPr>
              <w:t>00万个；</w:t>
            </w:r>
          </w:p>
          <w:p w14:paraId="72BBB722">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每秒新建连接速度大于80000个；</w:t>
            </w:r>
          </w:p>
          <w:p w14:paraId="3E25C30D">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平均无故障时间不小于100000小时。</w:t>
            </w:r>
          </w:p>
          <w:p w14:paraId="35815D3F">
            <w:pPr>
              <w:adjustRightInd w:val="0"/>
              <w:snapToGrid w:val="0"/>
              <w:spacing w:before="0" w:after="0" w:line="240" w:lineRule="auto"/>
              <w:ind w:firstLine="0"/>
              <w:jc w:val="left"/>
              <w:rPr>
                <w:rFonts w:ascii="宋体" w:hAnsi="宋体" w:cs="宋体"/>
                <w:kern w:val="0"/>
                <w:sz w:val="18"/>
                <w:szCs w:val="18"/>
                <w:highlight w:val="none"/>
              </w:rPr>
            </w:pPr>
            <w:r>
              <w:rPr>
                <w:rFonts w:hint="eastAsia" w:ascii="宋体" w:hAnsi="宋体" w:cs="宋体"/>
                <w:kern w:val="0"/>
                <w:sz w:val="18"/>
                <w:szCs w:val="18"/>
                <w:highlight w:val="none"/>
              </w:rPr>
              <w:t>配置双电源模块。</w:t>
            </w:r>
          </w:p>
          <w:p w14:paraId="4C4A2919">
            <w:pPr>
              <w:ind w:firstLine="0"/>
              <w:rPr>
                <w:color w:val="EE0000"/>
                <w:szCs w:val="22"/>
              </w:rPr>
            </w:pPr>
            <w:r>
              <w:rPr>
                <w:rFonts w:hint="eastAsia" w:ascii="宋体" w:hAnsi="宋体" w:cs="宋体"/>
                <w:kern w:val="0"/>
                <w:sz w:val="18"/>
                <w:szCs w:val="18"/>
                <w:highlight w:val="none"/>
              </w:rPr>
              <w:t>5年质保</w:t>
            </w:r>
          </w:p>
        </w:tc>
      </w:tr>
    </w:tbl>
    <w:p w14:paraId="46418AA2">
      <w:pPr>
        <w:pStyle w:val="8"/>
        <w:rPr>
          <w:rFonts w:hint="eastAsia"/>
          <w:color w:val="EE0000"/>
        </w:rPr>
      </w:pPr>
      <w:bookmarkStart w:id="57" w:name="_Toc113037955"/>
      <w:r>
        <w:rPr>
          <w:color w:val="EE0000"/>
        </w:rPr>
        <w:t>万兆防火墙</w:t>
      </w:r>
      <w:bookmarkEnd w:id="57"/>
    </w:p>
    <w:tbl>
      <w:tblPr>
        <w:tblStyle w:val="47"/>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15"/>
        <w:gridCol w:w="1810"/>
        <w:gridCol w:w="5652"/>
      </w:tblGrid>
      <w:tr w14:paraId="608AED9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15" w:type="dxa"/>
          </w:tcPr>
          <w:p w14:paraId="5B704743">
            <w:pPr>
              <w:spacing w:before="0" w:after="0" w:line="240" w:lineRule="auto"/>
              <w:ind w:firstLine="0"/>
              <w:jc w:val="center"/>
              <w:rPr>
                <w:rFonts w:hint="eastAsia" w:cs="宋体" w:asciiTheme="majorEastAsia" w:hAnsiTheme="majorEastAsia" w:eastAsiaTheme="majorEastAsia"/>
                <w:b/>
                <w:bCs/>
                <w:kern w:val="0"/>
                <w:sz w:val="21"/>
                <w:szCs w:val="21"/>
              </w:rPr>
            </w:pPr>
            <w:r>
              <w:rPr>
                <w:rFonts w:cs="宋体" w:asciiTheme="majorEastAsia" w:hAnsiTheme="majorEastAsia" w:eastAsiaTheme="majorEastAsia"/>
                <w:b/>
                <w:bCs/>
                <w:kern w:val="0"/>
                <w:sz w:val="21"/>
                <w:szCs w:val="21"/>
              </w:rPr>
              <w:t>序号</w:t>
            </w:r>
          </w:p>
        </w:tc>
        <w:tc>
          <w:tcPr>
            <w:tcW w:w="1810" w:type="dxa"/>
          </w:tcPr>
          <w:p w14:paraId="7D6AAA15">
            <w:pPr>
              <w:spacing w:before="0" w:after="0" w:line="240" w:lineRule="auto"/>
              <w:ind w:firstLine="0"/>
              <w:jc w:val="center"/>
              <w:rPr>
                <w:rFonts w:hint="eastAsia" w:cs="宋体" w:asciiTheme="majorEastAsia" w:hAnsiTheme="majorEastAsia" w:eastAsiaTheme="majorEastAsia"/>
                <w:b/>
                <w:bCs/>
                <w:kern w:val="0"/>
                <w:sz w:val="21"/>
                <w:szCs w:val="21"/>
              </w:rPr>
            </w:pPr>
            <w:r>
              <w:rPr>
                <w:rFonts w:cs="宋体" w:asciiTheme="majorEastAsia" w:hAnsiTheme="majorEastAsia" w:eastAsiaTheme="majorEastAsia"/>
                <w:b/>
                <w:bCs/>
                <w:kern w:val="0"/>
                <w:sz w:val="21"/>
                <w:szCs w:val="21"/>
              </w:rPr>
              <w:t>设备名称</w:t>
            </w:r>
          </w:p>
        </w:tc>
        <w:tc>
          <w:tcPr>
            <w:tcW w:w="5652" w:type="dxa"/>
          </w:tcPr>
          <w:p w14:paraId="000BD22E">
            <w:pPr>
              <w:spacing w:before="0" w:after="0" w:line="240" w:lineRule="auto"/>
              <w:ind w:firstLine="0"/>
              <w:jc w:val="center"/>
              <w:rPr>
                <w:rFonts w:hint="eastAsia" w:cs="宋体" w:asciiTheme="majorEastAsia" w:hAnsiTheme="majorEastAsia" w:eastAsiaTheme="majorEastAsia"/>
                <w:b/>
                <w:bCs/>
                <w:kern w:val="0"/>
                <w:sz w:val="21"/>
                <w:szCs w:val="21"/>
              </w:rPr>
            </w:pPr>
            <w:r>
              <w:rPr>
                <w:rFonts w:cs="宋体" w:asciiTheme="majorEastAsia" w:hAnsiTheme="majorEastAsia" w:eastAsiaTheme="majorEastAsia"/>
                <w:b/>
                <w:bCs/>
                <w:kern w:val="0"/>
                <w:sz w:val="21"/>
                <w:szCs w:val="21"/>
              </w:rPr>
              <w:t>技术要求</w:t>
            </w:r>
          </w:p>
        </w:tc>
      </w:tr>
      <w:tr w14:paraId="0647701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15" w:type="dxa"/>
            <w:vMerge w:val="restart"/>
            <w:vAlign w:val="center"/>
          </w:tcPr>
          <w:p w14:paraId="4CC90974">
            <w:pPr>
              <w:spacing w:before="0" w:after="0" w:line="240" w:lineRule="auto"/>
              <w:ind w:firstLine="0"/>
              <w:jc w:val="center"/>
              <w:rPr>
                <w:rFonts w:hint="eastAsia" w:ascii="宋体" w:hAnsi="宋体" w:eastAsia="宋体" w:cs="宋体"/>
                <w:color w:val="EE0000"/>
                <w:kern w:val="0"/>
                <w:sz w:val="18"/>
                <w:szCs w:val="18"/>
                <w:lang w:eastAsia="zh-CN"/>
              </w:rPr>
            </w:pPr>
            <w:r>
              <w:rPr>
                <w:rFonts w:hint="eastAsia" w:ascii="宋体" w:hAnsi="宋体" w:cs="宋体"/>
                <w:color w:val="EE0000"/>
                <w:kern w:val="0"/>
                <w:sz w:val="18"/>
                <w:szCs w:val="18"/>
                <w:lang w:val="en-US" w:eastAsia="zh-CN"/>
              </w:rPr>
              <w:t>1</w:t>
            </w:r>
          </w:p>
        </w:tc>
        <w:tc>
          <w:tcPr>
            <w:tcW w:w="1810" w:type="dxa"/>
            <w:vMerge w:val="restart"/>
            <w:vAlign w:val="center"/>
          </w:tcPr>
          <w:p w14:paraId="577C8194">
            <w:pPr>
              <w:spacing w:before="0" w:after="0" w:line="240" w:lineRule="auto"/>
              <w:ind w:firstLine="0"/>
              <w:jc w:val="center"/>
              <w:rPr>
                <w:rFonts w:hint="eastAsia" w:ascii="宋体" w:hAnsi="宋体" w:cs="宋体"/>
                <w:color w:val="EE0000"/>
                <w:kern w:val="0"/>
                <w:sz w:val="18"/>
                <w:szCs w:val="18"/>
              </w:rPr>
            </w:pPr>
            <w:r>
              <w:rPr>
                <w:rFonts w:hint="eastAsia" w:ascii="宋体" w:hAnsi="宋体" w:cs="宋体"/>
                <w:color w:val="EE0000"/>
                <w:kern w:val="0"/>
                <w:sz w:val="18"/>
                <w:szCs w:val="18"/>
              </w:rPr>
              <w:t>万兆防火墙</w:t>
            </w:r>
          </w:p>
        </w:tc>
        <w:tc>
          <w:tcPr>
            <w:tcW w:w="5652" w:type="dxa"/>
          </w:tcPr>
          <w:p w14:paraId="5E83EDD2">
            <w:pPr>
              <w:ind w:firstLine="0"/>
              <w:rPr>
                <w:rFonts w:hint="eastAsia" w:cs="宋体" w:asciiTheme="majorEastAsia" w:hAnsiTheme="majorEastAsia" w:eastAsiaTheme="majorEastAsia"/>
                <w:color w:val="EE0000"/>
                <w:kern w:val="0"/>
                <w:sz w:val="18"/>
                <w:szCs w:val="18"/>
              </w:rPr>
            </w:pPr>
            <w:r>
              <w:rPr>
                <w:rFonts w:hint="eastAsia" w:ascii="宋体" w:hAnsi="宋体" w:cs="宋体"/>
                <w:color w:val="EE0000"/>
                <w:kern w:val="0"/>
                <w:sz w:val="18"/>
                <w:szCs w:val="18"/>
              </w:rPr>
              <w:t>★安全可靠：CPU、DRAM颗粒、FLASH、交换转发芯片等配置信息需要同时提供安全可靠芯片证明材料及承诺函（格式见附件四）</w:t>
            </w:r>
          </w:p>
        </w:tc>
      </w:tr>
      <w:tr w14:paraId="26F1857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15" w:type="dxa"/>
            <w:vMerge w:val="continue"/>
          </w:tcPr>
          <w:p w14:paraId="6A3AE837">
            <w:pPr>
              <w:ind w:firstLine="0"/>
              <w:rPr>
                <w:color w:val="EE0000"/>
                <w:szCs w:val="22"/>
              </w:rPr>
            </w:pPr>
          </w:p>
        </w:tc>
        <w:tc>
          <w:tcPr>
            <w:tcW w:w="1810" w:type="dxa"/>
            <w:vMerge w:val="continue"/>
          </w:tcPr>
          <w:p w14:paraId="70EB72A0">
            <w:pPr>
              <w:ind w:firstLine="0"/>
              <w:rPr>
                <w:color w:val="EE0000"/>
                <w:szCs w:val="22"/>
              </w:rPr>
            </w:pPr>
          </w:p>
        </w:tc>
        <w:tc>
          <w:tcPr>
            <w:tcW w:w="5652" w:type="dxa"/>
          </w:tcPr>
          <w:p w14:paraId="2E131A6C">
            <w:pPr>
              <w:adjustRightInd w:val="0"/>
              <w:snapToGrid w:val="0"/>
              <w:spacing w:line="240" w:lineRule="auto"/>
              <w:ind w:firstLine="0"/>
              <w:rPr>
                <w:sz w:val="18"/>
                <w:szCs w:val="18"/>
                <w:highlight w:val="none"/>
              </w:rPr>
            </w:pPr>
            <w:r>
              <w:rPr>
                <w:rFonts w:hint="eastAsia"/>
                <w:sz w:val="18"/>
                <w:szCs w:val="18"/>
                <w:highlight w:val="none"/>
              </w:rPr>
              <w:t>机架式；</w:t>
            </w:r>
          </w:p>
          <w:p w14:paraId="2C46F276">
            <w:pPr>
              <w:adjustRightInd w:val="0"/>
              <w:snapToGrid w:val="0"/>
              <w:spacing w:line="240" w:lineRule="auto"/>
              <w:ind w:firstLine="0"/>
              <w:rPr>
                <w:sz w:val="18"/>
                <w:szCs w:val="18"/>
                <w:highlight w:val="none"/>
              </w:rPr>
            </w:pPr>
            <w:r>
              <w:rPr>
                <w:rFonts w:hint="eastAsia"/>
                <w:sz w:val="18"/>
                <w:szCs w:val="18"/>
                <w:highlight w:val="none"/>
              </w:rPr>
              <w:t>硬件为模块化设计，冗余交流电源；</w:t>
            </w:r>
          </w:p>
          <w:p w14:paraId="1476222E">
            <w:pPr>
              <w:adjustRightInd w:val="0"/>
              <w:snapToGrid w:val="0"/>
              <w:spacing w:line="240" w:lineRule="auto"/>
              <w:ind w:firstLine="0"/>
              <w:rPr>
                <w:sz w:val="18"/>
                <w:szCs w:val="18"/>
                <w:highlight w:val="none"/>
              </w:rPr>
            </w:pPr>
            <w:r>
              <w:rPr>
                <w:rFonts w:hint="eastAsia"/>
                <w:sz w:val="18"/>
                <w:szCs w:val="18"/>
                <w:highlight w:val="none"/>
              </w:rPr>
              <w:t>最大支持32个接口，本期配置6个万兆接口（配置万兆多模模块）、4个千兆电口，4个SFP端口和8个千兆combo口；</w:t>
            </w:r>
          </w:p>
          <w:p w14:paraId="50CCBF2A">
            <w:pPr>
              <w:adjustRightInd w:val="0"/>
              <w:snapToGrid w:val="0"/>
              <w:spacing w:line="240" w:lineRule="auto"/>
              <w:ind w:firstLine="0"/>
              <w:rPr>
                <w:b/>
                <w:sz w:val="18"/>
                <w:szCs w:val="18"/>
                <w:highlight w:val="none"/>
              </w:rPr>
            </w:pPr>
            <w:r>
              <w:rPr>
                <w:rFonts w:hint="eastAsia"/>
                <w:b/>
                <w:sz w:val="18"/>
                <w:szCs w:val="18"/>
                <w:highlight w:val="none"/>
              </w:rPr>
              <w:t>性能指标：</w:t>
            </w:r>
          </w:p>
          <w:p w14:paraId="6BD53ABB">
            <w:pPr>
              <w:adjustRightInd w:val="0"/>
              <w:snapToGrid w:val="0"/>
              <w:spacing w:line="240" w:lineRule="auto"/>
              <w:ind w:firstLine="0"/>
              <w:rPr>
                <w:sz w:val="18"/>
                <w:szCs w:val="18"/>
                <w:highlight w:val="none"/>
              </w:rPr>
            </w:pPr>
            <w:r>
              <w:rPr>
                <w:rFonts w:hint="eastAsia"/>
                <w:sz w:val="18"/>
                <w:szCs w:val="18"/>
                <w:highlight w:val="none"/>
              </w:rPr>
              <w:t>吞吐量≥25Gbps；并发连接≥1000万；TCP新建连接≥25万/秒；HTTP新建连接≥25万/秒；</w:t>
            </w:r>
          </w:p>
          <w:p w14:paraId="3D82431B">
            <w:pPr>
              <w:adjustRightInd w:val="0"/>
              <w:snapToGrid w:val="0"/>
              <w:spacing w:line="240" w:lineRule="auto"/>
              <w:ind w:firstLine="0"/>
              <w:rPr>
                <w:b/>
                <w:sz w:val="18"/>
                <w:szCs w:val="18"/>
                <w:highlight w:val="none"/>
              </w:rPr>
            </w:pPr>
            <w:r>
              <w:rPr>
                <w:rFonts w:hint="eastAsia"/>
                <w:b/>
                <w:sz w:val="18"/>
                <w:szCs w:val="18"/>
                <w:highlight w:val="none"/>
              </w:rPr>
              <w:t>网络特性：</w:t>
            </w:r>
          </w:p>
          <w:p w14:paraId="59E2A0FF">
            <w:pPr>
              <w:adjustRightInd w:val="0"/>
              <w:snapToGrid w:val="0"/>
              <w:spacing w:line="240" w:lineRule="auto"/>
              <w:ind w:firstLine="0"/>
              <w:rPr>
                <w:sz w:val="18"/>
                <w:szCs w:val="18"/>
                <w:highlight w:val="none"/>
              </w:rPr>
            </w:pPr>
            <w:r>
              <w:rPr>
                <w:rFonts w:hint="eastAsia"/>
                <w:sz w:val="18"/>
                <w:szCs w:val="18"/>
                <w:highlight w:val="none"/>
              </w:rPr>
              <w:t>支持透明、三层、混合、旁路监听接入方式，适应各种网络环境需求，同时支持配置向导。</w:t>
            </w:r>
          </w:p>
          <w:p w14:paraId="5D27B429">
            <w:pPr>
              <w:adjustRightInd w:val="0"/>
              <w:snapToGrid w:val="0"/>
              <w:spacing w:line="240" w:lineRule="auto"/>
              <w:ind w:firstLine="0"/>
              <w:rPr>
                <w:sz w:val="18"/>
                <w:szCs w:val="18"/>
                <w:highlight w:val="none"/>
              </w:rPr>
            </w:pPr>
            <w:r>
              <w:rPr>
                <w:rFonts w:hint="eastAsia"/>
                <w:sz w:val="18"/>
                <w:szCs w:val="18"/>
                <w:highlight w:val="none"/>
              </w:rPr>
              <w:t>提供基于源/目的IP地址、安全区、应用/应用过滤器、协议/端口、时间、用户、安全模板/模板组的精细粒度的安全访问控制。</w:t>
            </w:r>
          </w:p>
          <w:p w14:paraId="326B28FF">
            <w:pPr>
              <w:adjustRightInd w:val="0"/>
              <w:snapToGrid w:val="0"/>
              <w:spacing w:line="240" w:lineRule="auto"/>
              <w:ind w:firstLine="0"/>
              <w:rPr>
                <w:sz w:val="18"/>
                <w:szCs w:val="18"/>
                <w:highlight w:val="none"/>
              </w:rPr>
            </w:pPr>
            <w:r>
              <w:rPr>
                <w:rFonts w:hint="eastAsia"/>
                <w:sz w:val="18"/>
                <w:szCs w:val="18"/>
                <w:highlight w:val="none"/>
              </w:rPr>
              <w:t>要求支持基于策略的双向NAT、动态/静态NAT、端口PAT，支持多对一及多对多的映射。</w:t>
            </w:r>
          </w:p>
          <w:p w14:paraId="6FAC9C49">
            <w:pPr>
              <w:adjustRightInd w:val="0"/>
              <w:snapToGrid w:val="0"/>
              <w:spacing w:line="240" w:lineRule="auto"/>
              <w:ind w:firstLine="0"/>
              <w:rPr>
                <w:sz w:val="18"/>
                <w:szCs w:val="18"/>
                <w:highlight w:val="none"/>
              </w:rPr>
            </w:pPr>
            <w:r>
              <w:rPr>
                <w:rFonts w:hint="eastAsia"/>
                <w:sz w:val="18"/>
                <w:szCs w:val="18"/>
                <w:highlight w:val="none"/>
              </w:rPr>
              <w:t>支持静态路由；支持RIP、OSPF等动态路由协议；支持基于源/目的地址、接口的、基于服务的策略路由；支持Vlan路由，能够在不同的VLAN虚接口间实现路由功能；支持单臂路由，可通过单臂模式接入网络，并提供路由转发功能。</w:t>
            </w:r>
          </w:p>
          <w:p w14:paraId="0125967B">
            <w:pPr>
              <w:adjustRightInd w:val="0"/>
              <w:snapToGrid w:val="0"/>
              <w:spacing w:line="240" w:lineRule="auto"/>
              <w:ind w:firstLine="0"/>
              <w:rPr>
                <w:sz w:val="18"/>
                <w:szCs w:val="18"/>
                <w:highlight w:val="none"/>
              </w:rPr>
            </w:pPr>
            <w:r>
              <w:rPr>
                <w:rFonts w:hint="eastAsia"/>
                <w:sz w:val="18"/>
                <w:szCs w:val="18"/>
                <w:highlight w:val="none"/>
              </w:rPr>
              <w:t>支持VLAN划分、VLAN Trunk，支持802.1Q，能进行封装和解封；支持MSTP、RSTP等生成树协议；支持IPMAC绑定，支持手动和自动探测绑定；支持汇聚接口。</w:t>
            </w:r>
          </w:p>
          <w:p w14:paraId="7081CB88">
            <w:pPr>
              <w:adjustRightInd w:val="0"/>
              <w:snapToGrid w:val="0"/>
              <w:spacing w:line="240" w:lineRule="auto"/>
              <w:ind w:firstLine="0"/>
              <w:rPr>
                <w:sz w:val="18"/>
                <w:szCs w:val="18"/>
                <w:highlight w:val="none"/>
              </w:rPr>
            </w:pPr>
            <w:r>
              <w:rPr>
                <w:rFonts w:hint="eastAsia"/>
                <w:sz w:val="18"/>
                <w:szCs w:val="18"/>
                <w:highlight w:val="none"/>
              </w:rPr>
              <w:t>支持内置/自定义ISP路由库，实现ISP链路间路由负载均衡；支持链路探测，能够在每接口上以ICMP/TCP/UDP协议探测目标主机可达性，探测链路是否有效。</w:t>
            </w:r>
          </w:p>
          <w:p w14:paraId="46E8CFEF">
            <w:pPr>
              <w:adjustRightInd w:val="0"/>
              <w:snapToGrid w:val="0"/>
              <w:spacing w:line="240" w:lineRule="auto"/>
              <w:ind w:firstLine="0"/>
              <w:rPr>
                <w:b/>
                <w:sz w:val="18"/>
                <w:szCs w:val="18"/>
                <w:highlight w:val="none"/>
              </w:rPr>
            </w:pPr>
            <w:r>
              <w:rPr>
                <w:rFonts w:hint="eastAsia"/>
                <w:b/>
                <w:sz w:val="18"/>
                <w:szCs w:val="18"/>
                <w:highlight w:val="none"/>
              </w:rPr>
              <w:t>网络安全：</w:t>
            </w:r>
          </w:p>
          <w:p w14:paraId="1F844D94">
            <w:pPr>
              <w:adjustRightInd w:val="0"/>
              <w:snapToGrid w:val="0"/>
              <w:spacing w:line="240" w:lineRule="auto"/>
              <w:ind w:firstLine="0"/>
              <w:rPr>
                <w:sz w:val="18"/>
                <w:szCs w:val="18"/>
                <w:highlight w:val="none"/>
              </w:rPr>
            </w:pPr>
            <w:r>
              <w:rPr>
                <w:rFonts w:hint="eastAsia"/>
                <w:sz w:val="18"/>
                <w:szCs w:val="18"/>
                <w:highlight w:val="none"/>
              </w:rPr>
              <w:t>产品要求支持防病毒，入侵保护，URL过滤，内容过滤等深度检测功能；入侵保护功能应提供覆盖广泛的攻击特征库，可针对网络病毒、蠕虫、间谍软件、木马后门、扫描探测、暴力破解等恶意流量进行检测和阻断，攻击特征库具备足够数量以满足安全要求。</w:t>
            </w:r>
          </w:p>
          <w:p w14:paraId="2B33D577">
            <w:pPr>
              <w:adjustRightInd w:val="0"/>
              <w:snapToGrid w:val="0"/>
              <w:spacing w:line="240" w:lineRule="auto"/>
              <w:ind w:firstLine="0"/>
              <w:rPr>
                <w:sz w:val="18"/>
                <w:szCs w:val="18"/>
                <w:highlight w:val="none"/>
              </w:rPr>
            </w:pPr>
            <w:r>
              <w:rPr>
                <w:rFonts w:hint="eastAsia"/>
                <w:sz w:val="18"/>
                <w:szCs w:val="18"/>
                <w:highlight w:val="none"/>
              </w:rPr>
              <w:t>支持本地账户数据库及RADIUS认证。</w:t>
            </w:r>
          </w:p>
          <w:p w14:paraId="513461E2">
            <w:pPr>
              <w:adjustRightInd w:val="0"/>
              <w:snapToGrid w:val="0"/>
              <w:spacing w:line="240" w:lineRule="auto"/>
              <w:ind w:firstLine="0"/>
              <w:rPr>
                <w:sz w:val="18"/>
                <w:szCs w:val="18"/>
                <w:highlight w:val="none"/>
              </w:rPr>
            </w:pPr>
            <w:r>
              <w:rPr>
                <w:rFonts w:hint="eastAsia"/>
                <w:sz w:val="18"/>
                <w:szCs w:val="18"/>
                <w:highlight w:val="none"/>
              </w:rPr>
              <w:t>支持协议/端口、源/目的IP地址/网段、时间）、带宽/会话数等对象，实现基于内容、面向对象的流量管理；支持最小保证带宽和最大限制带宽，支持优先级别。</w:t>
            </w:r>
          </w:p>
          <w:p w14:paraId="0D745439">
            <w:pPr>
              <w:adjustRightInd w:val="0"/>
              <w:snapToGrid w:val="0"/>
              <w:spacing w:line="240" w:lineRule="auto"/>
              <w:ind w:firstLine="0"/>
              <w:rPr>
                <w:sz w:val="18"/>
                <w:szCs w:val="18"/>
                <w:highlight w:val="none"/>
              </w:rPr>
            </w:pPr>
            <w:r>
              <w:rPr>
                <w:rFonts w:hint="eastAsia"/>
                <w:sz w:val="18"/>
                <w:szCs w:val="18"/>
                <w:highlight w:val="none"/>
              </w:rPr>
              <w:t>要求本产品支持IPSec VPN功能；支持AES、DES、3DES、MD5、SHA1、DH、RC4等算法，并且支持MD5及SHA-1验证算法，支持各种NAT网络环境下的VPN组网，支持网关-网关、网关-移动用户（C/S）等部署模式。</w:t>
            </w:r>
          </w:p>
          <w:p w14:paraId="7F29EB19">
            <w:pPr>
              <w:adjustRightInd w:val="0"/>
              <w:snapToGrid w:val="0"/>
              <w:spacing w:line="240" w:lineRule="auto"/>
              <w:ind w:firstLine="0"/>
              <w:rPr>
                <w:sz w:val="18"/>
                <w:szCs w:val="18"/>
                <w:highlight w:val="none"/>
              </w:rPr>
            </w:pPr>
            <w:r>
              <w:rPr>
                <w:rFonts w:hint="eastAsia"/>
                <w:sz w:val="18"/>
                <w:szCs w:val="18"/>
                <w:highlight w:val="none"/>
              </w:rPr>
              <w:t>支持HTTP、HTTPS、DNS、SIP等应用层Flood攻击，支持流量自学习功能，支持设置自学习时间，并自动生成DDoS防范策略；支持IP信誉；</w:t>
            </w:r>
          </w:p>
          <w:p w14:paraId="057BA9DA">
            <w:pPr>
              <w:adjustRightInd w:val="0"/>
              <w:snapToGrid w:val="0"/>
              <w:spacing w:line="240" w:lineRule="auto"/>
              <w:ind w:firstLine="0"/>
              <w:rPr>
                <w:sz w:val="18"/>
                <w:szCs w:val="18"/>
                <w:highlight w:val="none"/>
              </w:rPr>
            </w:pPr>
            <w:r>
              <w:rPr>
                <w:rFonts w:hint="eastAsia"/>
                <w:sz w:val="18"/>
                <w:szCs w:val="18"/>
                <w:highlight w:val="none"/>
              </w:rPr>
              <w:t>支持事件关联分析，能够对防火墙的日志进行关联分析。事件关联分析支持多种排序，最少包含：基于流量、会话、风险等级。</w:t>
            </w:r>
          </w:p>
          <w:p w14:paraId="4D33E82D">
            <w:pPr>
              <w:adjustRightInd w:val="0"/>
              <w:snapToGrid w:val="0"/>
              <w:spacing w:line="240" w:lineRule="auto"/>
              <w:ind w:firstLine="0"/>
              <w:rPr>
                <w:sz w:val="18"/>
                <w:szCs w:val="18"/>
                <w:highlight w:val="none"/>
              </w:rPr>
            </w:pPr>
            <w:r>
              <w:rPr>
                <w:rFonts w:hint="eastAsia"/>
                <w:sz w:val="18"/>
                <w:szCs w:val="18"/>
                <w:highlight w:val="none"/>
              </w:rPr>
              <w:t>支持会话、配置的状态同步；支持HA；支持Active-Active与Active-Standby两种模式。同时支持路由及非对称路由功能。</w:t>
            </w:r>
          </w:p>
          <w:p w14:paraId="723830F9">
            <w:pPr>
              <w:adjustRightInd w:val="0"/>
              <w:snapToGrid w:val="0"/>
              <w:spacing w:line="240" w:lineRule="auto"/>
              <w:ind w:firstLine="0"/>
              <w:rPr>
                <w:b/>
                <w:sz w:val="18"/>
                <w:szCs w:val="18"/>
                <w:highlight w:val="none"/>
              </w:rPr>
            </w:pPr>
            <w:r>
              <w:rPr>
                <w:rFonts w:hint="eastAsia"/>
                <w:b/>
                <w:sz w:val="18"/>
                <w:szCs w:val="18"/>
                <w:highlight w:val="none"/>
              </w:rPr>
              <w:t>资质要求：</w:t>
            </w:r>
          </w:p>
          <w:p w14:paraId="5BA0762E">
            <w:pPr>
              <w:adjustRightInd w:val="0"/>
              <w:snapToGrid w:val="0"/>
              <w:spacing w:line="240" w:lineRule="auto"/>
              <w:ind w:firstLine="0"/>
              <w:rPr>
                <w:sz w:val="18"/>
                <w:szCs w:val="18"/>
                <w:highlight w:val="none"/>
              </w:rPr>
            </w:pPr>
            <w:r>
              <w:rPr>
                <w:rFonts w:hint="eastAsia"/>
                <w:sz w:val="18"/>
                <w:szCs w:val="18"/>
                <w:highlight w:val="none"/>
              </w:rPr>
              <w:t>公安部颁发的《计算机信息系统安全专用产品销售许可证》（万兆）</w:t>
            </w:r>
          </w:p>
          <w:p w14:paraId="281C26BA">
            <w:pPr>
              <w:adjustRightInd w:val="0"/>
              <w:snapToGrid w:val="0"/>
              <w:spacing w:line="240" w:lineRule="auto"/>
              <w:ind w:firstLine="0"/>
              <w:rPr>
                <w:sz w:val="18"/>
                <w:szCs w:val="18"/>
                <w:highlight w:val="none"/>
              </w:rPr>
            </w:pPr>
            <w:r>
              <w:rPr>
                <w:rFonts w:hint="eastAsia"/>
                <w:sz w:val="18"/>
                <w:szCs w:val="18"/>
                <w:highlight w:val="none"/>
              </w:rPr>
              <w:t>中国网络安全审查技术与认证中心颁发的《中国国家信息安全产品认证证书》（万兆）</w:t>
            </w:r>
          </w:p>
          <w:p w14:paraId="242B3B0B">
            <w:pPr>
              <w:adjustRightInd w:val="0"/>
              <w:snapToGrid w:val="0"/>
              <w:spacing w:line="240" w:lineRule="auto"/>
              <w:ind w:firstLine="0"/>
              <w:rPr>
                <w:sz w:val="18"/>
                <w:szCs w:val="18"/>
                <w:highlight w:val="none"/>
              </w:rPr>
            </w:pPr>
            <w:r>
              <w:rPr>
                <w:rFonts w:hint="eastAsia"/>
                <w:sz w:val="18"/>
                <w:szCs w:val="18"/>
                <w:highlight w:val="none"/>
              </w:rPr>
              <w:t>中国信息安全测评中心颁发的《国家信息安全测评信息技术产品安全测评证书》（万兆）优选EAL3</w:t>
            </w:r>
            <w:r>
              <w:rPr>
                <w:sz w:val="18"/>
                <w:szCs w:val="18"/>
                <w:highlight w:val="none"/>
              </w:rPr>
              <w:t>+级别</w:t>
            </w:r>
            <w:r>
              <w:rPr>
                <w:rFonts w:hint="eastAsia"/>
                <w:sz w:val="18"/>
                <w:szCs w:val="18"/>
                <w:highlight w:val="none"/>
              </w:rPr>
              <w:t>；</w:t>
            </w:r>
          </w:p>
          <w:p w14:paraId="318FF955">
            <w:pPr>
              <w:ind w:firstLine="0"/>
              <w:rPr>
                <w:rFonts w:hint="eastAsia" w:cs="宋体" w:asciiTheme="majorEastAsia" w:hAnsiTheme="majorEastAsia" w:eastAsiaTheme="majorEastAsia"/>
                <w:color w:val="EE0000"/>
                <w:kern w:val="0"/>
                <w:sz w:val="18"/>
                <w:szCs w:val="18"/>
              </w:rPr>
            </w:pPr>
            <w:r>
              <w:rPr>
                <w:rFonts w:hint="eastAsia"/>
                <w:sz w:val="18"/>
                <w:szCs w:val="18"/>
                <w:highlight w:val="none"/>
              </w:rPr>
              <w:t>原厂提供5年免费上门维修服务，人工、配件、交通等任何费用全免；每天24小时、每周7天，4小时到现场的原厂商支持；提供原厂授权和原厂服务承诺函。</w:t>
            </w:r>
          </w:p>
        </w:tc>
      </w:tr>
    </w:tbl>
    <w:p w14:paraId="1A9A022C"/>
    <w:bookmarkEnd w:id="53"/>
    <w:bookmarkEnd w:id="54"/>
    <w:bookmarkEnd w:id="55"/>
    <w:p w14:paraId="21520098">
      <w:pPr>
        <w:pStyle w:val="7"/>
        <w:widowControl/>
        <w:spacing w:line="360" w:lineRule="auto"/>
      </w:pPr>
      <w:bookmarkStart w:id="58" w:name="_Toc2358"/>
      <w:bookmarkStart w:id="59" w:name="_Toc534621768"/>
      <w:bookmarkStart w:id="60" w:name="_Toc481000497"/>
      <w:bookmarkStart w:id="61" w:name="_Toc354067299"/>
      <w:bookmarkStart w:id="62" w:name="_Toc351991197"/>
      <w:r>
        <w:rPr>
          <w:rFonts w:hint="eastAsia"/>
        </w:rPr>
        <w:t>前置通信设备配置要求</w:t>
      </w:r>
    </w:p>
    <w:p w14:paraId="61ED79F2">
      <w:pPr>
        <w:spacing w:before="120" w:after="120"/>
        <w:ind w:firstLine="480"/>
      </w:pPr>
      <w:r>
        <w:rPr>
          <w:rFonts w:hint="eastAsia"/>
        </w:rPr>
        <w:t>最低配置要求如下表所示，</w:t>
      </w:r>
      <w:r>
        <w:t>产品应满足或不低于该配置要求</w:t>
      </w:r>
      <w:r>
        <w:rPr>
          <w:rFonts w:hint="eastAsia"/>
        </w:rPr>
        <w:t>：</w:t>
      </w:r>
    </w:p>
    <w:tbl>
      <w:tblPr>
        <w:tblStyle w:val="46"/>
        <w:tblW w:w="9224" w:type="dxa"/>
        <w:tblInd w:w="0" w:type="dxa"/>
        <w:tblLayout w:type="fixed"/>
        <w:tblCellMar>
          <w:top w:w="0" w:type="dxa"/>
          <w:left w:w="108" w:type="dxa"/>
          <w:bottom w:w="0" w:type="dxa"/>
          <w:right w:w="108" w:type="dxa"/>
        </w:tblCellMar>
      </w:tblPr>
      <w:tblGrid>
        <w:gridCol w:w="1210"/>
        <w:gridCol w:w="1522"/>
        <w:gridCol w:w="6492"/>
      </w:tblGrid>
      <w:tr w14:paraId="3C8D8E33">
        <w:tblPrEx>
          <w:tblCellMar>
            <w:top w:w="0" w:type="dxa"/>
            <w:left w:w="108" w:type="dxa"/>
            <w:bottom w:w="0" w:type="dxa"/>
            <w:right w:w="108" w:type="dxa"/>
          </w:tblCellMar>
        </w:tblPrEx>
        <w:trPr>
          <w:trHeight w:val="285" w:hRule="atLeast"/>
        </w:trPr>
        <w:tc>
          <w:tcPr>
            <w:tcW w:w="1210" w:type="dxa"/>
            <w:tcBorders>
              <w:top w:val="single" w:color="000000" w:sz="8" w:space="0"/>
              <w:left w:val="single" w:color="000000" w:sz="8" w:space="0"/>
              <w:bottom w:val="single" w:color="000000" w:sz="8" w:space="0"/>
              <w:right w:val="single" w:color="000000" w:sz="8" w:space="0"/>
            </w:tcBorders>
            <w:shd w:val="clear" w:color="000000" w:fill="FFFFFF"/>
            <w:vAlign w:val="center"/>
          </w:tcPr>
          <w:p w14:paraId="6E6C11A0">
            <w:pPr>
              <w:spacing w:before="120" w:after="120" w:line="240" w:lineRule="auto"/>
              <w:ind w:firstLine="21"/>
              <w:jc w:val="center"/>
              <w:rPr>
                <w:rFonts w:hint="eastAsia" w:ascii="宋体" w:hAnsi="宋体" w:cs="宋体"/>
                <w:b/>
                <w:bCs/>
                <w:color w:val="000000"/>
                <w:kern w:val="0"/>
                <w:sz w:val="18"/>
                <w:szCs w:val="18"/>
              </w:rPr>
            </w:pPr>
            <w:r>
              <w:rPr>
                <w:rFonts w:hint="eastAsia" w:ascii="宋体" w:hAnsi="宋体" w:cs="宋体"/>
                <w:b/>
                <w:bCs/>
                <w:color w:val="000000"/>
                <w:kern w:val="0"/>
                <w:sz w:val="18"/>
                <w:szCs w:val="18"/>
              </w:rPr>
              <w:t>序号</w:t>
            </w:r>
          </w:p>
        </w:tc>
        <w:tc>
          <w:tcPr>
            <w:tcW w:w="1522" w:type="dxa"/>
            <w:tcBorders>
              <w:top w:val="single" w:color="000000" w:sz="8" w:space="0"/>
              <w:left w:val="nil"/>
              <w:bottom w:val="single" w:color="000000" w:sz="8" w:space="0"/>
              <w:right w:val="single" w:color="000000" w:sz="8" w:space="0"/>
            </w:tcBorders>
            <w:shd w:val="clear" w:color="000000" w:fill="FFFFFF"/>
            <w:vAlign w:val="center"/>
          </w:tcPr>
          <w:p w14:paraId="42ED29BA">
            <w:pPr>
              <w:spacing w:before="0" w:after="0" w:line="240" w:lineRule="auto"/>
              <w:ind w:firstLine="0"/>
              <w:jc w:val="center"/>
              <w:rPr>
                <w:rFonts w:hint="eastAsia" w:ascii="宋体" w:hAnsi="宋体" w:cs="宋体"/>
                <w:b/>
                <w:bCs/>
                <w:color w:val="000000"/>
                <w:kern w:val="0"/>
                <w:sz w:val="18"/>
                <w:szCs w:val="18"/>
                <w:highlight w:val="yellow"/>
              </w:rPr>
            </w:pPr>
            <w:r>
              <w:rPr>
                <w:rFonts w:hint="eastAsia" w:ascii="宋体" w:hAnsi="宋体" w:cs="宋体"/>
                <w:b/>
                <w:bCs/>
                <w:color w:val="000000"/>
                <w:kern w:val="0"/>
                <w:sz w:val="18"/>
                <w:szCs w:val="18"/>
                <w:highlight w:val="yellow"/>
              </w:rPr>
              <w:t>设备名称</w:t>
            </w:r>
          </w:p>
        </w:tc>
        <w:tc>
          <w:tcPr>
            <w:tcW w:w="6492" w:type="dxa"/>
            <w:tcBorders>
              <w:top w:val="single" w:color="000000" w:sz="8" w:space="0"/>
              <w:left w:val="nil"/>
              <w:bottom w:val="single" w:color="000000" w:sz="8" w:space="0"/>
              <w:right w:val="single" w:color="000000" w:sz="8" w:space="0"/>
            </w:tcBorders>
            <w:shd w:val="clear" w:color="000000" w:fill="FFFFFF"/>
            <w:vAlign w:val="center"/>
          </w:tcPr>
          <w:p w14:paraId="1F668F20">
            <w:pPr>
              <w:spacing w:before="0" w:after="0" w:line="240" w:lineRule="auto"/>
              <w:ind w:firstLine="0"/>
              <w:jc w:val="center"/>
              <w:rPr>
                <w:rFonts w:hint="eastAsia" w:ascii="宋体" w:hAnsi="宋体" w:cs="宋体"/>
                <w:b/>
                <w:bCs/>
                <w:color w:val="000000"/>
                <w:kern w:val="0"/>
                <w:sz w:val="18"/>
                <w:szCs w:val="18"/>
                <w:highlight w:val="yellow"/>
              </w:rPr>
            </w:pPr>
            <w:r>
              <w:rPr>
                <w:rFonts w:hint="eastAsia" w:ascii="宋体" w:hAnsi="宋体" w:cs="宋体"/>
                <w:b/>
                <w:bCs/>
                <w:color w:val="000000"/>
                <w:kern w:val="0"/>
                <w:sz w:val="18"/>
                <w:szCs w:val="18"/>
                <w:highlight w:val="yellow"/>
              </w:rPr>
              <w:t>技术要求</w:t>
            </w:r>
          </w:p>
        </w:tc>
      </w:tr>
      <w:tr w14:paraId="6E92675F">
        <w:tblPrEx>
          <w:tblCellMar>
            <w:top w:w="0" w:type="dxa"/>
            <w:left w:w="108" w:type="dxa"/>
            <w:bottom w:w="0" w:type="dxa"/>
            <w:right w:w="108" w:type="dxa"/>
          </w:tblCellMar>
        </w:tblPrEx>
        <w:trPr>
          <w:trHeight w:val="690" w:hRule="atLeast"/>
        </w:trPr>
        <w:tc>
          <w:tcPr>
            <w:tcW w:w="1210" w:type="dxa"/>
            <w:tcBorders>
              <w:top w:val="nil"/>
              <w:left w:val="single" w:color="000000" w:sz="8" w:space="0"/>
              <w:bottom w:val="single" w:color="000000" w:sz="8" w:space="0"/>
              <w:right w:val="single" w:color="000000" w:sz="8" w:space="0"/>
            </w:tcBorders>
            <w:shd w:val="clear" w:color="000000" w:fill="FFFFFF"/>
            <w:vAlign w:val="center"/>
          </w:tcPr>
          <w:p w14:paraId="1D95109F">
            <w:pPr>
              <w:spacing w:before="0" w:after="0" w:line="240" w:lineRule="auto"/>
              <w:ind w:firstLine="0"/>
              <w:jc w:val="center"/>
              <w:rPr>
                <w:rFonts w:hint="eastAsia" w:ascii="宋体" w:hAnsi="宋体" w:cs="宋体"/>
                <w:color w:val="000000"/>
                <w:kern w:val="0"/>
                <w:sz w:val="18"/>
                <w:szCs w:val="18"/>
              </w:rPr>
            </w:pPr>
            <w:r>
              <w:rPr>
                <w:rFonts w:hint="eastAsia" w:ascii="宋体" w:hAnsi="宋体" w:cs="宋体"/>
                <w:color w:val="000000"/>
                <w:kern w:val="0"/>
                <w:sz w:val="18"/>
                <w:szCs w:val="18"/>
              </w:rPr>
              <w:t>1</w:t>
            </w:r>
          </w:p>
        </w:tc>
        <w:tc>
          <w:tcPr>
            <w:tcW w:w="1522" w:type="dxa"/>
            <w:tcBorders>
              <w:top w:val="nil"/>
              <w:left w:val="nil"/>
              <w:bottom w:val="single" w:color="000000" w:sz="8" w:space="0"/>
              <w:right w:val="single" w:color="000000" w:sz="8" w:space="0"/>
            </w:tcBorders>
            <w:shd w:val="clear" w:color="000000" w:fill="FFFFFF"/>
            <w:vAlign w:val="center"/>
          </w:tcPr>
          <w:p w14:paraId="7AAB7249">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终端服务器</w:t>
            </w:r>
          </w:p>
        </w:tc>
        <w:tc>
          <w:tcPr>
            <w:tcW w:w="6492" w:type="dxa"/>
            <w:tcBorders>
              <w:top w:val="nil"/>
              <w:left w:val="nil"/>
              <w:bottom w:val="single" w:color="000000" w:sz="8" w:space="0"/>
              <w:right w:val="single" w:color="000000" w:sz="8" w:space="0"/>
            </w:tcBorders>
            <w:shd w:val="clear" w:color="000000" w:fill="FFFFFF"/>
            <w:vAlign w:val="center"/>
          </w:tcPr>
          <w:p w14:paraId="1E4C4226">
            <w:pPr>
              <w:spacing w:before="0" w:after="0" w:line="240" w:lineRule="auto"/>
              <w:ind w:firstLine="0"/>
              <w:jc w:val="left"/>
              <w:rPr>
                <w:rFonts w:hint="eastAsia" w:ascii="宋体" w:hAnsi="宋体" w:cs="宋体"/>
                <w:color w:val="000000"/>
                <w:kern w:val="0"/>
                <w:sz w:val="18"/>
                <w:szCs w:val="18"/>
                <w:highlight w:val="yellow"/>
              </w:rPr>
            </w:pPr>
            <w:r>
              <w:rPr>
                <w:rFonts w:hint="eastAsia" w:ascii="宋体" w:hAnsi="宋体" w:cs="宋体"/>
                <w:color w:val="000000"/>
                <w:kern w:val="0"/>
                <w:sz w:val="18"/>
                <w:szCs w:val="18"/>
              </w:rPr>
              <w:t>16口RS232（支持300-9600bps），每个端口支持8个会话数；2个以太网口（双网口具备2个IP地址和2个MAC地址）；支持Linux下的Real COM/TTY驱动，TCP Server，TCP Client，DRDAS等工作模式；双电源冗余输入（输入电压100-240VAC）；保修期：5年。</w:t>
            </w:r>
          </w:p>
        </w:tc>
      </w:tr>
    </w:tbl>
    <w:p w14:paraId="019490DD">
      <w:pPr>
        <w:spacing w:before="0" w:after="0" w:line="240" w:lineRule="auto"/>
        <w:ind w:firstLine="0"/>
      </w:pPr>
    </w:p>
    <w:p w14:paraId="3B8630BF">
      <w:pPr>
        <w:pStyle w:val="7"/>
        <w:widowControl/>
        <w:spacing w:line="360" w:lineRule="auto"/>
      </w:pPr>
      <w:r>
        <w:rPr>
          <w:rFonts w:hint="eastAsia"/>
        </w:rPr>
        <w:t>机柜及其它设备配置要求</w:t>
      </w:r>
    </w:p>
    <w:p w14:paraId="2608EDA6">
      <w:pPr>
        <w:spacing w:before="120" w:after="120"/>
        <w:ind w:firstLine="480"/>
      </w:pPr>
      <w:r>
        <w:rPr>
          <w:rFonts w:hint="eastAsia"/>
        </w:rPr>
        <w:t>最低配置要求如下表所示，</w:t>
      </w:r>
      <w:r>
        <w:t>产品应满足或不低于该配置要求</w:t>
      </w:r>
      <w:r>
        <w:rPr>
          <w:rFonts w:hint="eastAsia"/>
        </w:rPr>
        <w:t>：</w:t>
      </w:r>
    </w:p>
    <w:tbl>
      <w:tblPr>
        <w:tblStyle w:val="46"/>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1521"/>
        <w:gridCol w:w="6497"/>
      </w:tblGrid>
      <w:tr w14:paraId="775E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trPr>
        <w:tc>
          <w:tcPr>
            <w:tcW w:w="1211" w:type="dxa"/>
            <w:shd w:val="clear" w:color="000000" w:fill="FFFFFF"/>
            <w:vAlign w:val="center"/>
          </w:tcPr>
          <w:p w14:paraId="3F91CB94">
            <w:pPr>
              <w:spacing w:before="120" w:after="120" w:line="240" w:lineRule="auto"/>
              <w:ind w:firstLine="361"/>
              <w:jc w:val="center"/>
              <w:rPr>
                <w:rFonts w:hint="eastAsia" w:ascii="宋体" w:hAnsi="宋体" w:cs="宋体"/>
                <w:b/>
                <w:bCs/>
                <w:kern w:val="0"/>
                <w:sz w:val="18"/>
                <w:szCs w:val="18"/>
              </w:rPr>
            </w:pPr>
            <w:r>
              <w:rPr>
                <w:rFonts w:hint="eastAsia" w:ascii="宋体" w:hAnsi="宋体" w:cs="宋体"/>
                <w:b/>
                <w:bCs/>
                <w:kern w:val="0"/>
                <w:sz w:val="18"/>
                <w:szCs w:val="18"/>
              </w:rPr>
              <w:t>序号</w:t>
            </w:r>
          </w:p>
        </w:tc>
        <w:tc>
          <w:tcPr>
            <w:tcW w:w="1521" w:type="dxa"/>
            <w:shd w:val="clear" w:color="000000" w:fill="FFFFFF"/>
            <w:vAlign w:val="center"/>
          </w:tcPr>
          <w:p w14:paraId="573BB12D">
            <w:pPr>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设备名称</w:t>
            </w:r>
          </w:p>
        </w:tc>
        <w:tc>
          <w:tcPr>
            <w:tcW w:w="6497" w:type="dxa"/>
            <w:shd w:val="clear" w:color="000000" w:fill="FFFFFF"/>
            <w:vAlign w:val="center"/>
          </w:tcPr>
          <w:p w14:paraId="2808DEF8">
            <w:pPr>
              <w:spacing w:before="0" w:after="0" w:line="240" w:lineRule="auto"/>
              <w:ind w:firstLine="0"/>
              <w:jc w:val="center"/>
              <w:rPr>
                <w:rFonts w:hint="eastAsia" w:ascii="宋体" w:hAnsi="宋体" w:cs="宋体"/>
                <w:b/>
                <w:bCs/>
                <w:kern w:val="0"/>
                <w:sz w:val="18"/>
                <w:szCs w:val="18"/>
              </w:rPr>
            </w:pPr>
            <w:r>
              <w:rPr>
                <w:rFonts w:hint="eastAsia" w:ascii="宋体" w:hAnsi="宋体" w:cs="宋体"/>
                <w:b/>
                <w:bCs/>
                <w:kern w:val="0"/>
                <w:sz w:val="18"/>
                <w:szCs w:val="18"/>
              </w:rPr>
              <w:t>技术要求</w:t>
            </w:r>
          </w:p>
        </w:tc>
      </w:tr>
      <w:tr w14:paraId="3FB6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1" w:type="dxa"/>
            <w:shd w:val="clear" w:color="000000" w:fill="FFFFFF"/>
            <w:vAlign w:val="center"/>
          </w:tcPr>
          <w:p w14:paraId="04009AA4">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1</w:t>
            </w:r>
          </w:p>
        </w:tc>
        <w:tc>
          <w:tcPr>
            <w:tcW w:w="1521" w:type="dxa"/>
            <w:shd w:val="clear" w:color="000000" w:fill="FFFFFF"/>
            <w:vAlign w:val="center"/>
          </w:tcPr>
          <w:p w14:paraId="263934DC">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机柜</w:t>
            </w:r>
          </w:p>
        </w:tc>
        <w:tc>
          <w:tcPr>
            <w:tcW w:w="6497" w:type="dxa"/>
            <w:shd w:val="clear" w:color="000000" w:fill="FFFFFF"/>
            <w:vAlign w:val="center"/>
          </w:tcPr>
          <w:p w14:paraId="7BADA6FF">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19英寸标准机柜，2000*1</w:t>
            </w:r>
            <w:r>
              <w:rPr>
                <w:rFonts w:ascii="宋体" w:hAnsi="宋体" w:cs="宋体"/>
                <w:kern w:val="0"/>
                <w:sz w:val="18"/>
                <w:szCs w:val="18"/>
              </w:rPr>
              <w:t>2</w:t>
            </w:r>
            <w:r>
              <w:rPr>
                <w:rFonts w:hint="eastAsia" w:ascii="宋体" w:hAnsi="宋体" w:cs="宋体"/>
                <w:kern w:val="0"/>
                <w:sz w:val="18"/>
                <w:szCs w:val="18"/>
              </w:rPr>
              <w:t>00*600，提供2路PDU（10A12位</w:t>
            </w:r>
            <w:r>
              <w:rPr>
                <w:rFonts w:ascii="宋体" w:hAnsi="宋体" w:cs="宋体"/>
                <w:kern w:val="0"/>
                <w:sz w:val="18"/>
                <w:szCs w:val="18"/>
              </w:rPr>
              <w:t>，</w:t>
            </w:r>
            <w:r>
              <w:rPr>
                <w:rFonts w:hint="eastAsia" w:ascii="宋体" w:hAnsi="宋体" w:cs="宋体"/>
                <w:kern w:val="0"/>
                <w:sz w:val="18"/>
                <w:szCs w:val="18"/>
              </w:rPr>
              <w:t>16A4位）（其中</w:t>
            </w:r>
            <w:r>
              <w:rPr>
                <w:rFonts w:ascii="宋体" w:hAnsi="宋体" w:cs="宋体"/>
                <w:kern w:val="0"/>
                <w:sz w:val="18"/>
                <w:szCs w:val="18"/>
              </w:rPr>
              <w:t>机柜</w:t>
            </w:r>
            <w:r>
              <w:rPr>
                <w:rFonts w:hint="eastAsia" w:ascii="宋体" w:hAnsi="宋体" w:cs="宋体"/>
                <w:kern w:val="0"/>
                <w:sz w:val="18"/>
                <w:szCs w:val="18"/>
              </w:rPr>
              <w:t>尺寸</w:t>
            </w:r>
            <w:r>
              <w:rPr>
                <w:rFonts w:ascii="宋体" w:hAnsi="宋体" w:cs="宋体"/>
                <w:kern w:val="0"/>
                <w:sz w:val="18"/>
                <w:szCs w:val="18"/>
              </w:rPr>
              <w:t>及</w:t>
            </w:r>
            <w:r>
              <w:rPr>
                <w:rFonts w:hint="eastAsia" w:ascii="宋体" w:hAnsi="宋体" w:cs="宋体"/>
                <w:kern w:val="0"/>
                <w:sz w:val="18"/>
                <w:szCs w:val="18"/>
              </w:rPr>
              <w:t>PDU位数在供货前确认），包含必备的端子、配线。</w:t>
            </w:r>
          </w:p>
          <w:p w14:paraId="4FEC84FD">
            <w:pPr>
              <w:spacing w:before="0" w:after="0" w:line="240" w:lineRule="auto"/>
              <w:ind w:firstLine="0"/>
              <w:jc w:val="left"/>
              <w:rPr>
                <w:rFonts w:hint="eastAsia" w:ascii="宋体" w:hAnsi="宋体" w:cs="宋体"/>
                <w:kern w:val="0"/>
                <w:sz w:val="18"/>
                <w:szCs w:val="18"/>
              </w:rPr>
            </w:pPr>
            <w:r>
              <w:rPr>
                <w:rFonts w:hint="eastAsia" w:ascii="宋体" w:hAnsi="宋体" w:cs="宋体"/>
                <w:color w:val="000000"/>
                <w:kern w:val="0"/>
                <w:sz w:val="18"/>
                <w:szCs w:val="18"/>
              </w:rPr>
              <w:t>保修期：5年。</w:t>
            </w:r>
          </w:p>
        </w:tc>
      </w:tr>
      <w:tr w14:paraId="7084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1" w:type="dxa"/>
            <w:shd w:val="clear" w:color="000000" w:fill="FFFFFF"/>
            <w:vAlign w:val="center"/>
          </w:tcPr>
          <w:p w14:paraId="60944855">
            <w:pPr>
              <w:spacing w:before="0" w:after="0" w:line="240" w:lineRule="auto"/>
              <w:ind w:firstLine="0"/>
              <w:jc w:val="center"/>
              <w:rPr>
                <w:rFonts w:hint="eastAsia" w:ascii="宋体" w:hAnsi="宋体" w:cs="宋体"/>
                <w:kern w:val="0"/>
                <w:sz w:val="18"/>
                <w:szCs w:val="18"/>
              </w:rPr>
            </w:pPr>
            <w:r>
              <w:rPr>
                <w:rFonts w:ascii="宋体" w:hAnsi="宋体" w:cs="宋体"/>
                <w:kern w:val="0"/>
                <w:sz w:val="18"/>
                <w:szCs w:val="18"/>
              </w:rPr>
              <w:t>2</w:t>
            </w:r>
          </w:p>
        </w:tc>
        <w:tc>
          <w:tcPr>
            <w:tcW w:w="1521" w:type="dxa"/>
            <w:shd w:val="clear" w:color="000000" w:fill="FFFFFF"/>
            <w:vAlign w:val="center"/>
          </w:tcPr>
          <w:p w14:paraId="33A7D619">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屏蔽机柜</w:t>
            </w:r>
          </w:p>
        </w:tc>
        <w:tc>
          <w:tcPr>
            <w:tcW w:w="6497" w:type="dxa"/>
            <w:shd w:val="clear" w:color="000000" w:fill="FFFFFF"/>
            <w:vAlign w:val="center"/>
          </w:tcPr>
          <w:p w14:paraId="48CD422A">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 xml:space="preserve">1) 机柜尺寸为 </w:t>
            </w:r>
            <w:r>
              <w:rPr>
                <w:rFonts w:ascii="宋体" w:hAnsi="宋体" w:cs="宋体"/>
                <w:kern w:val="0"/>
                <w:sz w:val="18"/>
                <w:szCs w:val="18"/>
              </w:rPr>
              <w:t>8</w:t>
            </w:r>
            <w:r>
              <w:rPr>
                <w:rFonts w:hint="eastAsia" w:ascii="宋体" w:hAnsi="宋体" w:cs="宋体"/>
                <w:kern w:val="0"/>
                <w:sz w:val="18"/>
                <w:szCs w:val="18"/>
              </w:rPr>
              <w:t>00mm 宽×1100mm 深×2050mm 高或与之相近，满足BMB19-2006《处理涉密信息的电磁屏蔽室的技术要求和测试方法》C 级要求，测试方法参照GB12190-90 《高性能屏蔽室屏蔽效能的测量方法》。</w:t>
            </w:r>
          </w:p>
          <w:p w14:paraId="0570313C">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 屏蔽机柜壳体材料为优质 2mm 冷板冲压折弯成型，屏蔽门采用铍铜屏蔽簧片单刀插入式。机柜外观颜色与设备机柜一致。</w:t>
            </w:r>
          </w:p>
          <w:p w14:paraId="3C1D747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3) 屏蔽机柜内交流电源均通过专用 16A/220V 电源滤波器接入，并配置接地柱。屏蔽机柜重要部件之一的屏蔽门采用手拉式插刀屏蔽门。</w:t>
            </w:r>
          </w:p>
          <w:p w14:paraId="5109860B">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4) 屏蔽机柜散热装置通过截止波导窗并安装换气风扇，机柜底部需安装在安装支架上。</w:t>
            </w:r>
          </w:p>
          <w:p w14:paraId="75683028">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5) 光纤通过安装在机柜后壁的铜质波导管引入屏蔽机柜。</w:t>
            </w:r>
          </w:p>
          <w:p w14:paraId="390C5868">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6) 网线通过安装在机柜后壁的铜质波导管引入屏蔽机柜，网线通过波导管部分需除去网线外层的绝缘层后拧紧波导管两端的弹性夹头使屏蔽层与波导管充分接触。</w:t>
            </w:r>
          </w:p>
          <w:p w14:paraId="29A85A96">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7) 屏蔽机柜内层焊接矩型支撑龙骨，增强屏蔽壳体的钢性，确保屏蔽体的平整</w:t>
            </w:r>
          </w:p>
          <w:p w14:paraId="3AA7E6F0">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度。</w:t>
            </w:r>
          </w:p>
          <w:p w14:paraId="565352BD">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8) 屏蔽系统所有部件在设计时充分考虑导电的连续性。如需另配特殊的 RJ45屏蔽接口（或波导管接口）与屏蔽金属壳采用紧密嵌套接合，确保线缆和接口的屏蔽层在360 度圆围上完全紧密接触，并使双绞线缆的屏蔽层的与波导管完全包覆。</w:t>
            </w:r>
          </w:p>
          <w:p w14:paraId="5599F66C">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9) 在安装工艺中要求：屏蔽机柜所有插件与屏蔽体构成完全紧密的接地，从而提高屏蔽系统的整体性能,降低接地电阻。屏蔽机柜制造达到设备在机柜内工作所需要的通风散热，耐酸碱度，湿度等条件。</w:t>
            </w:r>
          </w:p>
          <w:p w14:paraId="0E8F7E4E">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10) 屏蔽机柜导电衬垫是专门用于抑制机柜缝隙电磁泄漏的专用屏蔽材料，掌握导电衬垫的屏蔽机理，合理的选择使用对提高屏蔽体的实际屏蔽效能，确保效能的稳定性和可靠性起到决定性的作用。</w:t>
            </w:r>
          </w:p>
          <w:p w14:paraId="31ED2D7C">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11) 机柜内搁置板采用 1.5mm 厚的钢板制成，安装在机柜内左右立柱之间，用作放置设备。例如服务器、显示器、交换机、路由器设备等。承重力不小于50kg</w:t>
            </w:r>
          </w:p>
          <w:p w14:paraId="72F6BBE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12) 机柜加固安装必需满足《电信设备安装抗震设计规范》（YD5059-2005）的要求，满足8 度 及8 度以上的抗震设防。</w:t>
            </w:r>
          </w:p>
          <w:p w14:paraId="7E9335D3">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13)机柜宜配置温、湿度的监测功能并能通过液晶显示，对机柜内的温度进行监控，如有温度异情，可通过管理器提示音报警，并预留数据上传端口，可通过管理平台统一监测管理。</w:t>
            </w:r>
          </w:p>
        </w:tc>
      </w:tr>
      <w:tr w14:paraId="3720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1" w:type="dxa"/>
            <w:shd w:val="clear" w:color="000000" w:fill="FFFFFF"/>
            <w:vAlign w:val="center"/>
          </w:tcPr>
          <w:p w14:paraId="35951A69">
            <w:pPr>
              <w:spacing w:before="0" w:after="0" w:line="240" w:lineRule="auto"/>
              <w:ind w:firstLine="0"/>
              <w:jc w:val="center"/>
              <w:rPr>
                <w:rFonts w:hint="eastAsia" w:ascii="宋体" w:hAnsi="宋体" w:cs="宋体"/>
                <w:kern w:val="0"/>
                <w:sz w:val="18"/>
                <w:szCs w:val="18"/>
              </w:rPr>
            </w:pPr>
            <w:r>
              <w:rPr>
                <w:rFonts w:hint="eastAsia" w:ascii="宋体" w:hAnsi="宋体" w:cs="宋体"/>
                <w:kern w:val="0"/>
                <w:sz w:val="18"/>
                <w:szCs w:val="18"/>
              </w:rPr>
              <w:t>3</w:t>
            </w:r>
          </w:p>
        </w:tc>
        <w:tc>
          <w:tcPr>
            <w:tcW w:w="1521" w:type="dxa"/>
            <w:shd w:val="clear" w:color="000000" w:fill="FFFFFF"/>
            <w:vAlign w:val="center"/>
          </w:tcPr>
          <w:p w14:paraId="3422ECB6">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短信模块</w:t>
            </w:r>
          </w:p>
        </w:tc>
        <w:tc>
          <w:tcPr>
            <w:tcW w:w="6497" w:type="dxa"/>
            <w:shd w:val="clear" w:color="000000" w:fill="FFFFFF"/>
            <w:vAlign w:val="center"/>
          </w:tcPr>
          <w:p w14:paraId="3ADFCF4B">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rPr>
              <w:t>&gt;=1个RS232串口；具备电源、通信及在线指示灯；支持SIM/UIM卡；电源接口，</w:t>
            </w:r>
            <w:r>
              <w:rPr>
                <w:rFonts w:hint="eastAsia" w:ascii="宋体" w:hAnsi="宋体" w:cs="宋体"/>
                <w:color w:val="000000"/>
                <w:kern w:val="0"/>
                <w:sz w:val="18"/>
                <w:szCs w:val="18"/>
              </w:rPr>
              <w:t>保修期：5年。</w:t>
            </w:r>
          </w:p>
        </w:tc>
      </w:tr>
      <w:tr w14:paraId="4C437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trPr>
        <w:tc>
          <w:tcPr>
            <w:tcW w:w="1211" w:type="dxa"/>
            <w:shd w:val="clear" w:color="000000" w:fill="FFFFFF"/>
            <w:vAlign w:val="center"/>
          </w:tcPr>
          <w:p w14:paraId="5E9FF1A7">
            <w:pPr>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4</w:t>
            </w:r>
          </w:p>
        </w:tc>
        <w:tc>
          <w:tcPr>
            <w:tcW w:w="1521" w:type="dxa"/>
            <w:shd w:val="clear" w:color="000000" w:fill="FFFFFF"/>
            <w:vAlign w:val="center"/>
          </w:tcPr>
          <w:p w14:paraId="39068C14">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卫星钟</w:t>
            </w:r>
          </w:p>
        </w:tc>
        <w:tc>
          <w:tcPr>
            <w:tcW w:w="6497" w:type="dxa"/>
            <w:shd w:val="clear" w:color="000000" w:fill="FFFFFF"/>
            <w:vAlign w:val="center"/>
          </w:tcPr>
          <w:p w14:paraId="4B38B122">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双路北斗接收模块。</w:t>
            </w:r>
          </w:p>
          <w:p w14:paraId="58F04555">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时钟应能通过网络接口直接向局域网发布标准时间，各工作站运行相应对时进程，保持全网时钟同步。在时钟系统的操作面板上应显示年、月、日、星期、小时、分、秒。</w:t>
            </w:r>
          </w:p>
          <w:p w14:paraId="14A0C1DF">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可采集输入电源的频率，</w:t>
            </w:r>
            <w:r>
              <w:rPr>
                <w:rFonts w:hint="eastAsia" w:ascii="宋体" w:hAnsi="宋体" w:cs="宋体"/>
                <w:color w:val="FF0000"/>
                <w:kern w:val="0"/>
                <w:sz w:val="18"/>
                <w:szCs w:val="18"/>
                <w:highlight w:val="yellow"/>
              </w:rPr>
              <w:t>数量不低于2路，</w:t>
            </w:r>
            <w:r>
              <w:rPr>
                <w:rFonts w:hint="eastAsia" w:ascii="宋体" w:hAnsi="宋体" w:cs="宋体"/>
                <w:kern w:val="0"/>
                <w:sz w:val="18"/>
                <w:szCs w:val="18"/>
                <w:highlight w:val="yellow"/>
              </w:rPr>
              <w:t>精度不低于0.001Hz，并可使用电力常用规约传送给前置采集服务器；</w:t>
            </w:r>
          </w:p>
          <w:p w14:paraId="763A4261">
            <w:pPr>
              <w:spacing w:before="0" w:after="0" w:line="240" w:lineRule="auto"/>
              <w:ind w:firstLine="0"/>
              <w:jc w:val="left"/>
              <w:rPr>
                <w:rFonts w:hint="eastAsia" w:ascii="宋体" w:hAnsi="宋体" w:cs="宋体"/>
                <w:kern w:val="0"/>
                <w:sz w:val="18"/>
                <w:szCs w:val="18"/>
                <w:highlight w:val="yellow"/>
              </w:rPr>
            </w:pPr>
            <w:r>
              <w:rPr>
                <w:color w:val="000000" w:themeColor="text1"/>
                <w:kern w:val="0"/>
                <w:sz w:val="18"/>
                <w:szCs w:val="18"/>
                <w:highlight w:val="yellow"/>
                <w:lang w:bidi="ar"/>
                <w14:textFill>
                  <w14:solidFill>
                    <w14:schemeClr w14:val="tx1"/>
                  </w14:solidFill>
                </w14:textFill>
              </w:rPr>
              <w:t>具备卫星信号输入接口；具有至少2个（可扩）RJ-45网络接口（输出NTP/SNTP网络对时信号）；具有至少2个时钟源输入接口，通过IRIG-B（光纤）接入；具有至少6个(可扩)时钟源输出接口，可通过IRIG-B（光纤）接口输出</w:t>
            </w:r>
            <w:r>
              <w:rPr>
                <w:rFonts w:hint="eastAsia" w:ascii="宋体" w:hAnsi="宋体" w:cs="宋体"/>
                <w:kern w:val="0"/>
                <w:sz w:val="18"/>
                <w:szCs w:val="18"/>
                <w:highlight w:val="yellow"/>
              </w:rPr>
              <w:t>。</w:t>
            </w:r>
          </w:p>
          <w:p w14:paraId="3411702F">
            <w:pPr>
              <w:pStyle w:val="2"/>
              <w:spacing w:before="0" w:after="0" w:line="240" w:lineRule="auto"/>
              <w:ind w:firstLine="0"/>
              <w:rPr>
                <w:highlight w:val="yellow"/>
              </w:rPr>
            </w:pPr>
            <w:r>
              <w:rPr>
                <w:rFonts w:hint="eastAsia" w:ascii="宋体" w:hAnsi="宋体" w:cs="宋体"/>
                <w:kern w:val="0"/>
                <w:sz w:val="18"/>
                <w:szCs w:val="18"/>
                <w:highlight w:val="yellow"/>
              </w:rPr>
              <w:t>具备自守时能力，</w:t>
            </w:r>
            <w:r>
              <w:rPr>
                <w:rFonts w:hint="eastAsia" w:ascii="宋体" w:hAnsi="宋体" w:cs="宋体"/>
                <w:color w:val="FF0000"/>
                <w:kern w:val="0"/>
                <w:sz w:val="18"/>
                <w:szCs w:val="18"/>
                <w:highlight w:val="yellow"/>
              </w:rPr>
              <w:t>信号输出不应发生跳变；</w:t>
            </w:r>
          </w:p>
          <w:p w14:paraId="1C09991D">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冗余双电源。</w:t>
            </w:r>
          </w:p>
          <w:p w14:paraId="37439F70">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kern w:val="0"/>
                <w:sz w:val="18"/>
                <w:szCs w:val="18"/>
                <w:highlight w:val="yellow"/>
              </w:rPr>
              <w:t>配天线（长度应可根据工程实际需求定制，长度要求至少适应50米和100米两个长度）。</w:t>
            </w:r>
          </w:p>
          <w:p w14:paraId="3848647A">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color w:val="000000"/>
                <w:kern w:val="0"/>
                <w:sz w:val="18"/>
                <w:szCs w:val="18"/>
                <w:highlight w:val="yellow"/>
              </w:rPr>
              <w:t>保修期：5年。</w:t>
            </w:r>
          </w:p>
        </w:tc>
      </w:tr>
      <w:tr w14:paraId="6EB5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trPr>
        <w:tc>
          <w:tcPr>
            <w:tcW w:w="1211" w:type="dxa"/>
            <w:shd w:val="clear" w:color="000000" w:fill="FFFFFF"/>
            <w:vAlign w:val="center"/>
          </w:tcPr>
          <w:p w14:paraId="54802466">
            <w:pPr>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5</w:t>
            </w:r>
          </w:p>
        </w:tc>
        <w:tc>
          <w:tcPr>
            <w:tcW w:w="1521" w:type="dxa"/>
            <w:shd w:val="clear" w:color="000000" w:fill="FFFFFF"/>
            <w:vAlign w:val="center"/>
          </w:tcPr>
          <w:p w14:paraId="53014C66">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拓展时钟</w:t>
            </w:r>
          </w:p>
        </w:tc>
        <w:tc>
          <w:tcPr>
            <w:tcW w:w="6497" w:type="dxa"/>
            <w:shd w:val="clear" w:color="000000" w:fill="FFFFFF"/>
            <w:vAlign w:val="center"/>
          </w:tcPr>
          <w:p w14:paraId="73DCBBBE">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采用国产主流品牌；</w:t>
            </w:r>
          </w:p>
          <w:p w14:paraId="761B6E4B">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与卫星钟兼容</w:t>
            </w:r>
            <w:r>
              <w:rPr>
                <w:rFonts w:hint="eastAsia" w:ascii="宋体" w:hAnsi="宋体" w:cs="宋体"/>
                <w:kern w:val="0"/>
                <w:sz w:val="18"/>
                <w:szCs w:val="18"/>
              </w:rPr>
              <w:t>。</w:t>
            </w:r>
          </w:p>
          <w:p w14:paraId="1563204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结构：可安装到工业标准机柜中，含机架安装套件；</w:t>
            </w:r>
          </w:p>
          <w:p w14:paraId="16D9B5A2">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架构：冗余双电源；</w:t>
            </w:r>
          </w:p>
          <w:p w14:paraId="3919D507">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功能：具有NTP/SNTP服务功能，能通过网络接口直接向局域网发布标准时间，各计算机运行相应对时进程，保持全网时钟同步；具备外部时间基准信号时延补偿功能；时钟的操作面板上可显示年、月、日、星期、小时、分、秒。</w:t>
            </w:r>
          </w:p>
          <w:p w14:paraId="2F0E4AD4">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性能: 时钟的误差小于</w:t>
            </w:r>
            <w:r>
              <w:rPr>
                <w:rFonts w:ascii="宋体" w:hAnsi="宋体" w:cs="宋体"/>
                <w:kern w:val="0"/>
                <w:sz w:val="18"/>
                <w:szCs w:val="18"/>
              </w:rPr>
              <w:t>1.0×10-6秒</w:t>
            </w:r>
            <w:r>
              <w:rPr>
                <w:rFonts w:hint="eastAsia" w:ascii="宋体" w:hAnsi="宋体" w:cs="宋体"/>
                <w:kern w:val="0"/>
                <w:sz w:val="18"/>
                <w:szCs w:val="18"/>
              </w:rPr>
              <w:t>。</w:t>
            </w:r>
          </w:p>
          <w:p w14:paraId="52598653">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接口：具有至少2个(可扩)外部时钟源输入接口，通过IRIG-B（光纤）接入；具备2个（可扩）RJ-45网络接口（输出NTP/SNTP网络对时信号）。</w:t>
            </w:r>
          </w:p>
          <w:p w14:paraId="4F82F9CA">
            <w:pPr>
              <w:spacing w:before="0" w:after="0" w:line="240" w:lineRule="auto"/>
              <w:ind w:firstLine="0"/>
              <w:jc w:val="left"/>
              <w:rPr>
                <w:rFonts w:hint="eastAsia" w:ascii="宋体" w:hAnsi="宋体" w:cs="宋体"/>
                <w:kern w:val="0"/>
                <w:sz w:val="18"/>
                <w:szCs w:val="18"/>
                <w:highlight w:val="yellow"/>
              </w:rPr>
            </w:pPr>
            <w:r>
              <w:rPr>
                <w:rFonts w:ascii="宋体" w:hAnsi="宋体" w:cs="宋体"/>
                <w:kern w:val="0"/>
                <w:sz w:val="18"/>
                <w:szCs w:val="18"/>
              </w:rPr>
              <w:t>保修期：5年。</w:t>
            </w:r>
          </w:p>
        </w:tc>
      </w:tr>
      <w:tr w14:paraId="69AC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1211" w:type="dxa"/>
            <w:shd w:val="clear" w:color="000000" w:fill="FFFFFF"/>
            <w:vAlign w:val="center"/>
          </w:tcPr>
          <w:p w14:paraId="1A09C192">
            <w:pPr>
              <w:spacing w:before="0" w:after="0" w:line="240" w:lineRule="auto"/>
              <w:ind w:firstLine="0"/>
              <w:jc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6</w:t>
            </w:r>
          </w:p>
        </w:tc>
        <w:tc>
          <w:tcPr>
            <w:tcW w:w="1521" w:type="dxa"/>
            <w:shd w:val="clear" w:color="000000" w:fill="FFFFFF"/>
            <w:vAlign w:val="center"/>
          </w:tcPr>
          <w:p w14:paraId="0353B916">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备份移动硬盘</w:t>
            </w:r>
          </w:p>
        </w:tc>
        <w:tc>
          <w:tcPr>
            <w:tcW w:w="6497" w:type="dxa"/>
            <w:shd w:val="clear" w:color="000000" w:fill="FFFFFF"/>
            <w:vAlign w:val="center"/>
          </w:tcPr>
          <w:p w14:paraId="3DF03990">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存储容量：不低于4TB</w:t>
            </w:r>
          </w:p>
          <w:p w14:paraId="43DD2879">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 xml:space="preserve">硬盘尺寸：3.5英寸硬盘 </w:t>
            </w:r>
          </w:p>
          <w:p w14:paraId="16668EAA">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接口类型：有线（USB3.0）</w:t>
            </w:r>
          </w:p>
          <w:p w14:paraId="777BC807">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 xml:space="preserve">缓存：不低于64MB </w:t>
            </w:r>
          </w:p>
          <w:p w14:paraId="62B59E31">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转速：不低于5400转/分</w:t>
            </w:r>
          </w:p>
          <w:p w14:paraId="6C829C22">
            <w:pPr>
              <w:spacing w:before="0" w:after="0" w:line="240" w:lineRule="auto"/>
              <w:ind w:firstLine="0"/>
              <w:jc w:val="left"/>
              <w:rPr>
                <w:rFonts w:hint="eastAsia" w:ascii="宋体" w:hAnsi="宋体" w:cs="宋体"/>
                <w:kern w:val="0"/>
                <w:sz w:val="18"/>
                <w:szCs w:val="18"/>
              </w:rPr>
            </w:pPr>
            <w:r>
              <w:rPr>
                <w:rFonts w:hint="eastAsia" w:ascii="宋体" w:hAnsi="宋体" w:cs="宋体"/>
                <w:color w:val="000000"/>
                <w:kern w:val="0"/>
                <w:sz w:val="18"/>
                <w:szCs w:val="18"/>
              </w:rPr>
              <w:t>保修期：5年</w:t>
            </w:r>
          </w:p>
        </w:tc>
      </w:tr>
      <w:tr w14:paraId="6DA7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222E823B">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7</w:t>
            </w:r>
          </w:p>
        </w:tc>
        <w:tc>
          <w:tcPr>
            <w:tcW w:w="1521" w:type="dxa"/>
            <w:shd w:val="clear" w:color="000000" w:fill="FFFFFF"/>
            <w:vAlign w:val="center"/>
          </w:tcPr>
          <w:p w14:paraId="6D46DDB5">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网络附件</w:t>
            </w:r>
          </w:p>
        </w:tc>
        <w:tc>
          <w:tcPr>
            <w:tcW w:w="6497" w:type="dxa"/>
            <w:shd w:val="clear" w:color="000000" w:fill="FFFFFF"/>
            <w:vAlign w:val="center"/>
          </w:tcPr>
          <w:p w14:paraId="52B46582">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含网线钳、水晶头、网线等。</w:t>
            </w:r>
          </w:p>
        </w:tc>
      </w:tr>
      <w:tr w14:paraId="04E4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1211" w:type="dxa"/>
            <w:shd w:val="clear" w:color="000000" w:fill="FFFFFF"/>
            <w:vAlign w:val="center"/>
          </w:tcPr>
          <w:p w14:paraId="3E1EAF23">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8</w:t>
            </w:r>
          </w:p>
        </w:tc>
        <w:tc>
          <w:tcPr>
            <w:tcW w:w="1521" w:type="dxa"/>
            <w:shd w:val="clear" w:color="000000" w:fill="FFFFFF"/>
            <w:vAlign w:val="center"/>
          </w:tcPr>
          <w:p w14:paraId="3A31B0F3">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自动语音告警装置</w:t>
            </w:r>
          </w:p>
        </w:tc>
        <w:tc>
          <w:tcPr>
            <w:tcW w:w="6497" w:type="dxa"/>
            <w:shd w:val="clear" w:color="000000" w:fill="FFFFFF"/>
            <w:vAlign w:val="center"/>
          </w:tcPr>
          <w:p w14:paraId="1F5E2EF3">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（仅针对硬件实现方案）</w:t>
            </w:r>
          </w:p>
          <w:p w14:paraId="7B3BDD7E">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采用板卡或外接模块方式设计，插入PC工作站主板或通过外部接口接入。支持Linux操作系统，并提供API接口，自动将输入文字转化为音频信号输出。播放速度、人声类型、特殊符号发音等均可调。</w:t>
            </w:r>
          </w:p>
          <w:p w14:paraId="42AD13F9">
            <w:pPr>
              <w:spacing w:before="0" w:after="0" w:line="240" w:lineRule="auto"/>
              <w:ind w:firstLine="0"/>
              <w:jc w:val="left"/>
              <w:rPr>
                <w:rFonts w:hint="eastAsia" w:ascii="宋体" w:hAnsi="宋体" w:cs="宋体"/>
                <w:kern w:val="0"/>
                <w:sz w:val="18"/>
                <w:szCs w:val="18"/>
              </w:rPr>
            </w:pPr>
            <w:r>
              <w:rPr>
                <w:rFonts w:hint="eastAsia" w:ascii="宋体" w:hAnsi="宋体" w:cs="宋体"/>
                <w:color w:val="000000"/>
                <w:kern w:val="0"/>
                <w:sz w:val="18"/>
                <w:szCs w:val="18"/>
              </w:rPr>
              <w:t>保修期：5年。</w:t>
            </w:r>
          </w:p>
        </w:tc>
      </w:tr>
      <w:tr w14:paraId="459B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1211" w:type="dxa"/>
            <w:shd w:val="clear" w:color="000000" w:fill="FFFFFF"/>
            <w:vAlign w:val="center"/>
          </w:tcPr>
          <w:p w14:paraId="3C9AE0BB">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9</w:t>
            </w:r>
          </w:p>
        </w:tc>
        <w:tc>
          <w:tcPr>
            <w:tcW w:w="1521" w:type="dxa"/>
            <w:shd w:val="clear" w:color="000000" w:fill="FFFFFF"/>
            <w:vAlign w:val="center"/>
          </w:tcPr>
          <w:p w14:paraId="1CAC343C">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电话语音卡</w:t>
            </w:r>
          </w:p>
        </w:tc>
        <w:tc>
          <w:tcPr>
            <w:tcW w:w="6497" w:type="dxa"/>
            <w:shd w:val="clear" w:color="000000" w:fill="FFFFFF"/>
            <w:vAlign w:val="center"/>
          </w:tcPr>
          <w:p w14:paraId="155CB48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（仅针对硬件实现方案）</w:t>
            </w:r>
          </w:p>
          <w:p w14:paraId="20861A2D">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采用板卡或外接模块方式设计，插入PC工作站主板或通过外部接口接入，</w:t>
            </w:r>
            <w:r>
              <w:rPr>
                <w:rFonts w:ascii="宋体" w:hAnsi="宋体" w:cs="宋体"/>
                <w:kern w:val="0"/>
                <w:sz w:val="18"/>
                <w:szCs w:val="18"/>
              </w:rPr>
              <w:t>兼容</w:t>
            </w:r>
            <w:r>
              <w:rPr>
                <w:rFonts w:hint="eastAsia" w:ascii="宋体" w:hAnsi="宋体" w:cs="宋体"/>
                <w:kern w:val="0"/>
                <w:sz w:val="18"/>
                <w:szCs w:val="18"/>
              </w:rPr>
              <w:t>X86</w:t>
            </w:r>
            <w:r>
              <w:rPr>
                <w:rFonts w:ascii="宋体" w:hAnsi="宋体" w:cs="宋体"/>
                <w:kern w:val="0"/>
                <w:sz w:val="18"/>
                <w:szCs w:val="18"/>
              </w:rPr>
              <w:t xml:space="preserve"> CPU</w:t>
            </w:r>
            <w:r>
              <w:rPr>
                <w:rFonts w:hint="eastAsia" w:ascii="宋体" w:hAnsi="宋体" w:cs="宋体"/>
                <w:kern w:val="0"/>
                <w:sz w:val="18"/>
                <w:szCs w:val="18"/>
              </w:rPr>
              <w:t>架构</w:t>
            </w:r>
            <w:r>
              <w:rPr>
                <w:rFonts w:ascii="宋体" w:hAnsi="宋体" w:cs="宋体"/>
                <w:kern w:val="0"/>
                <w:sz w:val="18"/>
                <w:szCs w:val="18"/>
              </w:rPr>
              <w:t>以及</w:t>
            </w:r>
            <w:r>
              <w:rPr>
                <w:rFonts w:hint="eastAsia" w:ascii="宋体" w:hAnsi="宋体" w:cs="宋体"/>
                <w:kern w:val="0"/>
                <w:sz w:val="18"/>
                <w:szCs w:val="18"/>
              </w:rPr>
              <w:t>ARM</w:t>
            </w:r>
            <w:r>
              <w:rPr>
                <w:rFonts w:ascii="宋体" w:hAnsi="宋体" w:cs="宋体"/>
                <w:kern w:val="0"/>
                <w:sz w:val="18"/>
                <w:szCs w:val="18"/>
              </w:rPr>
              <w:t xml:space="preserve"> CPU</w:t>
            </w:r>
            <w:r>
              <w:rPr>
                <w:rFonts w:hint="eastAsia" w:ascii="宋体" w:hAnsi="宋体" w:cs="宋体"/>
                <w:kern w:val="0"/>
                <w:sz w:val="18"/>
                <w:szCs w:val="18"/>
              </w:rPr>
              <w:t>架构</w:t>
            </w:r>
            <w:r>
              <w:rPr>
                <w:rFonts w:ascii="宋体" w:hAnsi="宋体" w:cs="宋体"/>
                <w:kern w:val="0"/>
                <w:sz w:val="18"/>
                <w:szCs w:val="18"/>
              </w:rPr>
              <w:t>，</w:t>
            </w:r>
            <w:r>
              <w:rPr>
                <w:rFonts w:hint="eastAsia" w:ascii="宋体" w:hAnsi="宋体" w:cs="宋体"/>
                <w:kern w:val="0"/>
                <w:sz w:val="18"/>
                <w:szCs w:val="18"/>
              </w:rPr>
              <w:t>支持Linux操作系统，并提供API接口，支持自动拨号，</w:t>
            </w:r>
            <w:r>
              <w:rPr>
                <w:rFonts w:ascii="宋体" w:hAnsi="宋体" w:cs="宋体"/>
                <w:kern w:val="0"/>
                <w:sz w:val="18"/>
                <w:szCs w:val="18"/>
              </w:rPr>
              <w:t>提供不低于</w:t>
            </w:r>
            <w:r>
              <w:rPr>
                <w:rFonts w:hint="eastAsia" w:ascii="宋体" w:hAnsi="宋体" w:cs="宋体"/>
                <w:kern w:val="0"/>
                <w:sz w:val="18"/>
                <w:szCs w:val="18"/>
              </w:rPr>
              <w:t>16路电话</w:t>
            </w:r>
            <w:r>
              <w:rPr>
                <w:rFonts w:ascii="宋体" w:hAnsi="宋体" w:cs="宋体"/>
                <w:kern w:val="0"/>
                <w:sz w:val="18"/>
                <w:szCs w:val="18"/>
              </w:rPr>
              <w:t>并行处理能力。</w:t>
            </w:r>
          </w:p>
          <w:p w14:paraId="53A6EB3E">
            <w:pPr>
              <w:spacing w:before="0" w:after="0" w:line="240" w:lineRule="auto"/>
              <w:ind w:firstLine="0"/>
              <w:jc w:val="left"/>
              <w:rPr>
                <w:rFonts w:hint="eastAsia" w:ascii="宋体" w:hAnsi="宋体" w:cs="宋体"/>
                <w:kern w:val="0"/>
                <w:sz w:val="18"/>
                <w:szCs w:val="18"/>
              </w:rPr>
            </w:pPr>
            <w:r>
              <w:rPr>
                <w:rFonts w:hint="eastAsia" w:ascii="宋体" w:hAnsi="宋体" w:cs="宋体"/>
                <w:color w:val="000000"/>
                <w:kern w:val="0"/>
                <w:sz w:val="18"/>
                <w:szCs w:val="18"/>
              </w:rPr>
              <w:t>保修期：5年。</w:t>
            </w:r>
          </w:p>
        </w:tc>
      </w:tr>
      <w:tr w14:paraId="163F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78B827B7">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10</w:t>
            </w:r>
          </w:p>
        </w:tc>
        <w:tc>
          <w:tcPr>
            <w:tcW w:w="1521" w:type="dxa"/>
            <w:shd w:val="clear" w:color="000000" w:fill="FFFFFF"/>
            <w:vAlign w:val="center"/>
          </w:tcPr>
          <w:p w14:paraId="4BD88ACB">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摄像头</w:t>
            </w:r>
          </w:p>
        </w:tc>
        <w:tc>
          <w:tcPr>
            <w:tcW w:w="6497" w:type="dxa"/>
            <w:shd w:val="clear" w:color="000000" w:fill="FFFFFF"/>
            <w:vAlign w:val="center"/>
          </w:tcPr>
          <w:p w14:paraId="4D517C91">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1）像素：30万象素以上。</w:t>
            </w:r>
          </w:p>
          <w:p w14:paraId="4A2492F4">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2）分辨率：320*240及640*480分辨率。</w:t>
            </w:r>
          </w:p>
          <w:p w14:paraId="78267108">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3）图像传感器：采用单板式或微型的CMOS或CCD传感器。</w:t>
            </w:r>
          </w:p>
          <w:p w14:paraId="75CB2A4D">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4）最低照度：1Lux。</w:t>
            </w:r>
          </w:p>
          <w:p w14:paraId="0E22C97B">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5）刷新率：实况视频刷新率每秒≥30帧。</w:t>
            </w:r>
          </w:p>
          <w:p w14:paraId="679830C0">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6）镜头：小口径、固定焦距的简单型光学镜头。</w:t>
            </w:r>
          </w:p>
          <w:p w14:paraId="54931103">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7）接口：具备USB或其他接口。</w:t>
            </w:r>
          </w:p>
          <w:p w14:paraId="29008312">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扬声器配置要求</w:t>
            </w:r>
          </w:p>
          <w:p w14:paraId="13B1215C">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1）声道：2.0。</w:t>
            </w:r>
          </w:p>
          <w:p w14:paraId="0D597568">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2）信噪比：≧85 dBA。</w:t>
            </w:r>
          </w:p>
          <w:p w14:paraId="3BF9C5FD">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3）类型：多媒体音箱。</w:t>
            </w:r>
          </w:p>
          <w:p w14:paraId="782D3F04">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4）灵敏度：R/L：700±50 mV。</w:t>
            </w:r>
          </w:p>
          <w:p w14:paraId="7AD780EC">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5）频响范围：R/L：80 Hz-20 KHz。</w:t>
            </w:r>
          </w:p>
          <w:p w14:paraId="3879E35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6）接口：3.5毫米音频接口。</w:t>
            </w:r>
          </w:p>
          <w:p w14:paraId="371308A0">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7）防磁：支持防磁功能。</w:t>
            </w:r>
          </w:p>
          <w:p w14:paraId="703EA64F">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8）电源： 12V 开关电源。</w:t>
            </w:r>
          </w:p>
          <w:p w14:paraId="2E7F09C7">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9）应能与项目所使用的工作站完全兼容；</w:t>
            </w:r>
          </w:p>
          <w:p w14:paraId="5AA6F27B">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10）驱动程序支持linux(麒麟、凝思均应支持)；</w:t>
            </w:r>
          </w:p>
          <w:p w14:paraId="51B134B2">
            <w:pPr>
              <w:spacing w:before="0" w:after="0" w:line="240" w:lineRule="auto"/>
              <w:ind w:firstLine="0"/>
              <w:jc w:val="left"/>
              <w:rPr>
                <w:rFonts w:hint="eastAsia" w:ascii="宋体" w:hAnsi="宋体" w:cs="宋体"/>
                <w:kern w:val="0"/>
                <w:sz w:val="18"/>
                <w:szCs w:val="18"/>
                <w:highlight w:val="yellow"/>
              </w:rPr>
            </w:pPr>
            <w:r>
              <w:rPr>
                <w:rFonts w:hint="eastAsia" w:ascii="宋体" w:hAnsi="宋体" w:cs="宋体"/>
                <w:color w:val="000000"/>
                <w:kern w:val="0"/>
                <w:sz w:val="18"/>
                <w:szCs w:val="18"/>
              </w:rPr>
              <w:t>保修期：5年。</w:t>
            </w:r>
          </w:p>
        </w:tc>
      </w:tr>
      <w:tr w14:paraId="05EA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1A3624EB">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11</w:t>
            </w:r>
          </w:p>
        </w:tc>
        <w:tc>
          <w:tcPr>
            <w:tcW w:w="1521" w:type="dxa"/>
            <w:shd w:val="clear" w:color="000000" w:fill="FFFFFF"/>
            <w:vAlign w:val="center"/>
          </w:tcPr>
          <w:p w14:paraId="2A32FE19">
            <w:pPr>
              <w:spacing w:before="0" w:after="0" w:line="240" w:lineRule="auto"/>
              <w:ind w:firstLine="0"/>
              <w:jc w:val="center"/>
              <w:rPr>
                <w:rFonts w:hint="eastAsia" w:ascii="宋体" w:hAnsi="宋体" w:cs="宋体"/>
                <w:kern w:val="0"/>
                <w:sz w:val="18"/>
                <w:szCs w:val="18"/>
                <w:highlight w:val="yellow"/>
              </w:rPr>
            </w:pPr>
            <w:r>
              <w:rPr>
                <w:rFonts w:ascii="宋体" w:hAnsi="宋体" w:cs="宋体"/>
                <w:kern w:val="0"/>
                <w:sz w:val="18"/>
                <w:szCs w:val="18"/>
                <w:highlight w:val="yellow"/>
              </w:rPr>
              <w:t>32A PDU</w:t>
            </w:r>
          </w:p>
        </w:tc>
        <w:tc>
          <w:tcPr>
            <w:tcW w:w="6497" w:type="dxa"/>
            <w:shd w:val="clear" w:color="000000" w:fill="FFFFFF"/>
            <w:vAlign w:val="center"/>
          </w:tcPr>
          <w:p w14:paraId="014ADDCD">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1）交流电源分配单元额定电压：250VAC 50/60Hz</w:t>
            </w:r>
            <w:r>
              <w:rPr>
                <w:rFonts w:hint="eastAsia" w:asciiTheme="minorEastAsia" w:hAnsiTheme="minorEastAsia" w:eastAsiaTheme="minorEastAsia"/>
                <w:sz w:val="18"/>
                <w:szCs w:val="18"/>
                <w:highlight w:val="yellow"/>
              </w:rPr>
              <w:t>；额定电流：</w:t>
            </w:r>
            <w:r>
              <w:rPr>
                <w:rFonts w:asciiTheme="minorEastAsia" w:hAnsiTheme="minorEastAsia" w:eastAsiaTheme="minorEastAsia"/>
                <w:sz w:val="18"/>
                <w:szCs w:val="18"/>
                <w:highlight w:val="yellow"/>
              </w:rPr>
              <w:t>32A</w:t>
            </w:r>
            <w:r>
              <w:rPr>
                <w:rFonts w:hint="eastAsia" w:asciiTheme="minorEastAsia" w:hAnsiTheme="minorEastAsia" w:eastAsiaTheme="minorEastAsia"/>
                <w:sz w:val="18"/>
                <w:szCs w:val="18"/>
                <w:highlight w:val="yellow"/>
              </w:rPr>
              <w:t>。</w:t>
            </w:r>
          </w:p>
          <w:p w14:paraId="302BB759">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2）产品外壳采用独立开发的经特殊绝缘处理的电泳铝合金或钢板等，能够有效的抗射频、电磁波干扰。</w:t>
            </w:r>
          </w:p>
          <w:p w14:paraId="18259BD1">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3）所有插座模块、功能模块全部采用PC/ABS</w:t>
            </w:r>
            <w:r>
              <w:rPr>
                <w:rFonts w:hint="eastAsia" w:asciiTheme="minorEastAsia" w:hAnsiTheme="minorEastAsia" w:eastAsiaTheme="minorEastAsia"/>
                <w:sz w:val="18"/>
                <w:szCs w:val="18"/>
                <w:highlight w:val="yellow"/>
              </w:rPr>
              <w:t>塑胶材料，热变型温度高达</w:t>
            </w:r>
            <w:r>
              <w:rPr>
                <w:rFonts w:asciiTheme="minorEastAsia" w:hAnsiTheme="minorEastAsia" w:eastAsiaTheme="minorEastAsia"/>
                <w:sz w:val="18"/>
                <w:szCs w:val="18"/>
                <w:highlight w:val="yellow"/>
              </w:rPr>
              <w:t>120</w:t>
            </w:r>
            <w:r>
              <w:rPr>
                <w:rFonts w:hint="eastAsia" w:asciiTheme="minorEastAsia" w:hAnsiTheme="minorEastAsia" w:eastAsiaTheme="minorEastAsia"/>
                <w:sz w:val="18"/>
                <w:szCs w:val="18"/>
                <w:highlight w:val="yellow"/>
              </w:rPr>
              <w:t>℃以上，阻燃特性符合</w:t>
            </w:r>
            <w:r>
              <w:rPr>
                <w:rFonts w:asciiTheme="minorEastAsia" w:hAnsiTheme="minorEastAsia" w:eastAsiaTheme="minorEastAsia"/>
                <w:sz w:val="18"/>
                <w:szCs w:val="18"/>
                <w:highlight w:val="yellow"/>
              </w:rPr>
              <w:t>UL94-V0</w:t>
            </w:r>
            <w:r>
              <w:rPr>
                <w:rFonts w:hint="eastAsia" w:asciiTheme="minorEastAsia" w:hAnsiTheme="minorEastAsia" w:eastAsiaTheme="minorEastAsia"/>
                <w:sz w:val="18"/>
                <w:szCs w:val="18"/>
                <w:highlight w:val="yellow"/>
              </w:rPr>
              <w:t>标准。</w:t>
            </w:r>
          </w:p>
          <w:p w14:paraId="75D74EAB">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4）每条PDU</w:t>
            </w:r>
            <w:r>
              <w:rPr>
                <w:rFonts w:hint="eastAsia" w:asciiTheme="minorEastAsia" w:hAnsiTheme="minorEastAsia" w:eastAsiaTheme="minorEastAsia"/>
                <w:sz w:val="18"/>
                <w:szCs w:val="18"/>
                <w:highlight w:val="yellow"/>
              </w:rPr>
              <w:t>配置不少于10位</w:t>
            </w:r>
            <w:r>
              <w:rPr>
                <w:rFonts w:asciiTheme="minorEastAsia" w:hAnsiTheme="minorEastAsia" w:eastAsiaTheme="minorEastAsia"/>
                <w:sz w:val="18"/>
                <w:szCs w:val="18"/>
                <w:highlight w:val="yellow"/>
              </w:rPr>
              <w:t>10A</w:t>
            </w:r>
            <w:r>
              <w:rPr>
                <w:rFonts w:hint="eastAsia" w:asciiTheme="minorEastAsia" w:hAnsiTheme="minorEastAsia" w:eastAsiaTheme="minorEastAsia"/>
                <w:sz w:val="18"/>
                <w:szCs w:val="18"/>
                <w:highlight w:val="yellow"/>
              </w:rPr>
              <w:t>输出模块</w:t>
            </w:r>
            <w:r>
              <w:rPr>
                <w:rFonts w:hint="eastAsia" w:ascii="宋体" w:hAnsi="宋体" w:cs="宋体"/>
                <w:kern w:val="0"/>
                <w:sz w:val="18"/>
                <w:szCs w:val="18"/>
                <w:highlight w:val="yellow"/>
              </w:rPr>
              <w:t>（PDU应具备可扩展性，支持采购方对横向或纵向的选择，满足机柜设备对电源的需求）。</w:t>
            </w:r>
          </w:p>
          <w:p w14:paraId="5FF1DEFB">
            <w:pPr>
              <w:spacing w:before="0" w:after="0" w:line="240" w:lineRule="auto"/>
              <w:ind w:firstLine="0"/>
              <w:jc w:val="left"/>
              <w:rPr>
                <w:rFonts w:hint="eastAsia" w:ascii="宋体" w:hAnsi="宋体" w:cs="宋体"/>
                <w:kern w:val="0"/>
                <w:sz w:val="18"/>
                <w:szCs w:val="18"/>
                <w:highlight w:val="yellow"/>
              </w:rPr>
            </w:pPr>
            <w:r>
              <w:rPr>
                <w:rFonts w:asciiTheme="minorEastAsia" w:hAnsiTheme="minorEastAsia" w:eastAsiaTheme="minorEastAsia"/>
                <w:sz w:val="18"/>
                <w:szCs w:val="18"/>
                <w:highlight w:val="yellow"/>
              </w:rPr>
              <w:t>5）内部的插</w:t>
            </w:r>
            <w:r>
              <w:rPr>
                <w:rFonts w:ascii="宋体" w:hAnsi="宋体" w:cs="宋体"/>
                <w:kern w:val="0"/>
                <w:sz w:val="18"/>
                <w:szCs w:val="18"/>
                <w:highlight w:val="yellow"/>
              </w:rPr>
              <w:t>座模块之间、各种功能模块之间的连接方式全部采用专用母线铜排连接方法。</w:t>
            </w:r>
          </w:p>
          <w:p w14:paraId="5D043825">
            <w:pPr>
              <w:spacing w:before="0" w:after="0" w:line="240" w:lineRule="auto"/>
              <w:ind w:firstLine="0"/>
              <w:jc w:val="left"/>
              <w:rPr>
                <w:rFonts w:hint="eastAsia" w:ascii="宋体" w:hAnsi="宋体" w:cs="宋体"/>
                <w:color w:val="000000"/>
                <w:kern w:val="0"/>
                <w:sz w:val="18"/>
                <w:szCs w:val="18"/>
                <w:highlight w:val="yellow"/>
              </w:rPr>
            </w:pPr>
            <w:r>
              <w:rPr>
                <w:rFonts w:ascii="宋体" w:hAnsi="宋体" w:cs="宋体"/>
                <w:kern w:val="0"/>
                <w:sz w:val="18"/>
                <w:szCs w:val="18"/>
                <w:highlight w:val="yellow"/>
              </w:rPr>
              <w:t>6）</w:t>
            </w:r>
            <w:r>
              <w:rPr>
                <w:rFonts w:hint="eastAsia" w:ascii="宋体" w:hAnsi="宋体" w:cs="宋体"/>
                <w:kern w:val="0"/>
                <w:sz w:val="18"/>
                <w:szCs w:val="18"/>
                <w:highlight w:val="yellow"/>
              </w:rPr>
              <w:t>采用输入线缆上端或下端单输入，电位源线采用直接接入</w:t>
            </w:r>
            <w:r>
              <w:rPr>
                <w:rFonts w:ascii="宋体" w:hAnsi="宋体" w:cs="宋体"/>
                <w:kern w:val="0"/>
                <w:sz w:val="18"/>
                <w:szCs w:val="18"/>
                <w:highlight w:val="yellow"/>
              </w:rPr>
              <w:t>PDU</w:t>
            </w:r>
            <w:r>
              <w:rPr>
                <w:rFonts w:hint="eastAsia" w:ascii="宋体" w:hAnsi="宋体" w:cs="宋体"/>
                <w:kern w:val="0"/>
                <w:sz w:val="18"/>
                <w:szCs w:val="18"/>
                <w:highlight w:val="yellow"/>
              </w:rPr>
              <w:t>的接线端子，减少层接达到更安全效果，插头需作出极性标识。</w:t>
            </w:r>
          </w:p>
        </w:tc>
      </w:tr>
      <w:tr w14:paraId="15B4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1C888102">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12</w:t>
            </w:r>
          </w:p>
        </w:tc>
        <w:tc>
          <w:tcPr>
            <w:tcW w:w="1521" w:type="dxa"/>
            <w:shd w:val="clear" w:color="000000" w:fill="FFFFFF"/>
            <w:vAlign w:val="center"/>
          </w:tcPr>
          <w:p w14:paraId="3BC9E61F">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32A智能</w:t>
            </w:r>
            <w:r>
              <w:rPr>
                <w:rFonts w:ascii="宋体" w:hAnsi="宋体" w:cs="宋体"/>
                <w:kern w:val="0"/>
                <w:sz w:val="18"/>
                <w:szCs w:val="18"/>
                <w:highlight w:val="yellow"/>
              </w:rPr>
              <w:t>PDU</w:t>
            </w:r>
          </w:p>
        </w:tc>
        <w:tc>
          <w:tcPr>
            <w:tcW w:w="6497" w:type="dxa"/>
            <w:shd w:val="clear" w:color="000000" w:fill="FFFFFF"/>
            <w:vAlign w:val="center"/>
          </w:tcPr>
          <w:p w14:paraId="4B8DF62C">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1）交流电源分配单元额定电压：250VAC 50/60Hz</w:t>
            </w:r>
            <w:r>
              <w:rPr>
                <w:rFonts w:hint="eastAsia" w:asciiTheme="minorEastAsia" w:hAnsiTheme="minorEastAsia" w:eastAsiaTheme="minorEastAsia"/>
                <w:sz w:val="18"/>
                <w:szCs w:val="18"/>
                <w:highlight w:val="yellow"/>
              </w:rPr>
              <w:t>；额定电流：</w:t>
            </w:r>
            <w:r>
              <w:rPr>
                <w:rFonts w:asciiTheme="minorEastAsia" w:hAnsiTheme="minorEastAsia" w:eastAsiaTheme="minorEastAsia"/>
                <w:sz w:val="18"/>
                <w:szCs w:val="18"/>
                <w:highlight w:val="yellow"/>
              </w:rPr>
              <w:t>32A</w:t>
            </w:r>
            <w:r>
              <w:rPr>
                <w:rFonts w:hint="eastAsia" w:asciiTheme="minorEastAsia" w:hAnsiTheme="minorEastAsia" w:eastAsiaTheme="minorEastAsia"/>
                <w:sz w:val="18"/>
                <w:szCs w:val="18"/>
                <w:highlight w:val="yellow"/>
              </w:rPr>
              <w:t>；应符合《通信设备用电源分配单元(PDU)》（YDT 2063-2009）的要求，并通过第三方权威检测机构认证。</w:t>
            </w:r>
          </w:p>
          <w:p w14:paraId="2029D7B1">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2）产品外壳采用独立开发的经特殊绝缘处理的电泳铝合金或钢板等，能够有效的抗射频、电磁波干扰。</w:t>
            </w:r>
          </w:p>
          <w:p w14:paraId="004475C0">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3）所有插座模块、功能模块全部采用PC/ABS</w:t>
            </w:r>
            <w:r>
              <w:rPr>
                <w:rFonts w:hint="eastAsia" w:asciiTheme="minorEastAsia" w:hAnsiTheme="minorEastAsia" w:eastAsiaTheme="minorEastAsia"/>
                <w:sz w:val="18"/>
                <w:szCs w:val="18"/>
                <w:highlight w:val="yellow"/>
              </w:rPr>
              <w:t>塑胶材料，热变型温度高达</w:t>
            </w:r>
            <w:r>
              <w:rPr>
                <w:rFonts w:asciiTheme="minorEastAsia" w:hAnsiTheme="minorEastAsia" w:eastAsiaTheme="minorEastAsia"/>
                <w:sz w:val="18"/>
                <w:szCs w:val="18"/>
                <w:highlight w:val="yellow"/>
              </w:rPr>
              <w:t>120</w:t>
            </w:r>
            <w:r>
              <w:rPr>
                <w:rFonts w:hint="eastAsia" w:asciiTheme="minorEastAsia" w:hAnsiTheme="minorEastAsia" w:eastAsiaTheme="minorEastAsia"/>
                <w:sz w:val="18"/>
                <w:szCs w:val="18"/>
                <w:highlight w:val="yellow"/>
              </w:rPr>
              <w:t>℃以上，阻燃特性符合</w:t>
            </w:r>
            <w:r>
              <w:rPr>
                <w:rFonts w:asciiTheme="minorEastAsia" w:hAnsiTheme="minorEastAsia" w:eastAsiaTheme="minorEastAsia"/>
                <w:sz w:val="18"/>
                <w:szCs w:val="18"/>
                <w:highlight w:val="yellow"/>
              </w:rPr>
              <w:t>UL94-V0</w:t>
            </w:r>
            <w:r>
              <w:rPr>
                <w:rFonts w:hint="eastAsia" w:asciiTheme="minorEastAsia" w:hAnsiTheme="minorEastAsia" w:eastAsiaTheme="minorEastAsia"/>
                <w:sz w:val="18"/>
                <w:szCs w:val="18"/>
                <w:highlight w:val="yellow"/>
              </w:rPr>
              <w:t>标准。</w:t>
            </w:r>
          </w:p>
          <w:p w14:paraId="5D65EF0F">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4）每条PDU</w:t>
            </w:r>
            <w:r>
              <w:rPr>
                <w:rFonts w:hint="eastAsia" w:asciiTheme="minorEastAsia" w:hAnsiTheme="minorEastAsia" w:eastAsiaTheme="minorEastAsia"/>
                <w:sz w:val="18"/>
                <w:szCs w:val="18"/>
                <w:highlight w:val="yellow"/>
              </w:rPr>
              <w:t>配置为</w:t>
            </w:r>
            <w:r>
              <w:rPr>
                <w:rFonts w:asciiTheme="minorEastAsia" w:hAnsiTheme="minorEastAsia" w:eastAsiaTheme="minorEastAsia"/>
                <w:sz w:val="18"/>
                <w:szCs w:val="18"/>
                <w:highlight w:val="yellow"/>
              </w:rPr>
              <w:t>16</w:t>
            </w:r>
            <w:r>
              <w:rPr>
                <w:rFonts w:hint="eastAsia" w:asciiTheme="minorEastAsia" w:hAnsiTheme="minorEastAsia" w:eastAsiaTheme="minorEastAsia"/>
                <w:sz w:val="18"/>
                <w:szCs w:val="18"/>
                <w:highlight w:val="yellow"/>
              </w:rPr>
              <w:t>位</w:t>
            </w:r>
            <w:r>
              <w:rPr>
                <w:rFonts w:asciiTheme="minorEastAsia" w:hAnsiTheme="minorEastAsia" w:eastAsiaTheme="minorEastAsia"/>
                <w:sz w:val="18"/>
                <w:szCs w:val="18"/>
                <w:highlight w:val="yellow"/>
              </w:rPr>
              <w:t>10A</w:t>
            </w:r>
            <w:r>
              <w:rPr>
                <w:rFonts w:hint="eastAsia" w:asciiTheme="minorEastAsia" w:hAnsiTheme="minorEastAsia" w:eastAsiaTheme="minorEastAsia"/>
                <w:sz w:val="18"/>
                <w:szCs w:val="18"/>
                <w:highlight w:val="yellow"/>
              </w:rPr>
              <w:t>输出模块，</w:t>
            </w:r>
            <w:r>
              <w:rPr>
                <w:rFonts w:asciiTheme="minorEastAsia" w:hAnsiTheme="minorEastAsia" w:eastAsiaTheme="minorEastAsia"/>
                <w:sz w:val="18"/>
                <w:szCs w:val="18"/>
                <w:highlight w:val="yellow"/>
              </w:rPr>
              <w:t>4</w:t>
            </w:r>
            <w:r>
              <w:rPr>
                <w:rFonts w:hint="eastAsia" w:asciiTheme="minorEastAsia" w:hAnsiTheme="minorEastAsia" w:eastAsiaTheme="minorEastAsia"/>
                <w:sz w:val="18"/>
                <w:szCs w:val="18"/>
                <w:highlight w:val="yellow"/>
              </w:rPr>
              <w:t>位</w:t>
            </w:r>
            <w:r>
              <w:rPr>
                <w:rFonts w:asciiTheme="minorEastAsia" w:hAnsiTheme="minorEastAsia" w:eastAsiaTheme="minorEastAsia"/>
                <w:sz w:val="18"/>
                <w:szCs w:val="18"/>
                <w:highlight w:val="yellow"/>
              </w:rPr>
              <w:t>16A</w:t>
            </w:r>
            <w:r>
              <w:rPr>
                <w:rFonts w:hint="eastAsia" w:asciiTheme="minorEastAsia" w:hAnsiTheme="minorEastAsia" w:eastAsiaTheme="minorEastAsia"/>
                <w:sz w:val="18"/>
                <w:szCs w:val="18"/>
                <w:highlight w:val="yellow"/>
              </w:rPr>
              <w:t>输出模块</w:t>
            </w:r>
            <w:r>
              <w:rPr>
                <w:rFonts w:hint="eastAsia" w:ascii="宋体" w:hAnsi="宋体" w:cs="宋体"/>
                <w:kern w:val="0"/>
                <w:sz w:val="18"/>
                <w:szCs w:val="18"/>
                <w:highlight w:val="yellow"/>
              </w:rPr>
              <w:t>（PDU应具备可扩展性，支持采购方对横向或纵向的选择，满足机柜设备对电源的需求）</w:t>
            </w:r>
            <w:r>
              <w:rPr>
                <w:rFonts w:hint="eastAsia" w:asciiTheme="minorEastAsia" w:hAnsiTheme="minorEastAsia" w:eastAsiaTheme="minorEastAsia"/>
                <w:sz w:val="18"/>
                <w:szCs w:val="18"/>
                <w:highlight w:val="yellow"/>
              </w:rPr>
              <w:t>。</w:t>
            </w:r>
          </w:p>
          <w:p w14:paraId="2A910804">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5）内部的插座模块之间、各种功能模块之间的连接方式全部采用专用母线铜排连接方法。</w:t>
            </w:r>
          </w:p>
          <w:p w14:paraId="18ED4318">
            <w:pPr>
              <w:spacing w:before="0" w:after="0" w:line="240" w:lineRule="auto"/>
              <w:ind w:firstLine="0"/>
              <w:jc w:val="left"/>
              <w:rPr>
                <w:rFonts w:hint="eastAsia" w:asciiTheme="minorEastAsia" w:hAnsiTheme="minorEastAsia" w:eastAsiaTheme="minorEastAsia"/>
                <w:sz w:val="18"/>
                <w:szCs w:val="18"/>
                <w:highlight w:val="yellow"/>
              </w:rPr>
            </w:pPr>
            <w:r>
              <w:rPr>
                <w:rFonts w:asciiTheme="minorEastAsia" w:hAnsiTheme="minorEastAsia" w:eastAsiaTheme="minorEastAsia"/>
                <w:sz w:val="18"/>
                <w:szCs w:val="18"/>
                <w:highlight w:val="yellow"/>
              </w:rPr>
              <w:t>6）</w:t>
            </w:r>
            <w:r>
              <w:rPr>
                <w:rFonts w:hint="eastAsia" w:asciiTheme="minorEastAsia" w:hAnsiTheme="minorEastAsia" w:eastAsiaTheme="minorEastAsia"/>
                <w:sz w:val="18"/>
                <w:szCs w:val="18"/>
                <w:highlight w:val="yellow"/>
              </w:rPr>
              <w:t>具备本地液晶显示和网络通讯功能，可实时高清液晶显示每路插座的电压、电流阀值等参数。功能模块应设计功能按键、复位按键、查看按键等操作按键。产品可根据需求随时扩展温湿度、功率、电能计量等监测功能，配备相应的远程监控通讯接口，具体协议满足机房动环系统。</w:t>
            </w:r>
          </w:p>
          <w:p w14:paraId="6133A7B0">
            <w:pPr>
              <w:spacing w:before="0" w:after="0" w:line="240" w:lineRule="auto"/>
              <w:ind w:firstLine="0"/>
              <w:jc w:val="left"/>
              <w:rPr>
                <w:rFonts w:hint="eastAsia" w:ascii="宋体" w:hAnsi="宋体" w:cs="宋体"/>
                <w:color w:val="000000"/>
                <w:kern w:val="0"/>
                <w:sz w:val="18"/>
                <w:szCs w:val="18"/>
                <w:highlight w:val="yellow"/>
              </w:rPr>
            </w:pPr>
            <w:r>
              <w:rPr>
                <w:rFonts w:asciiTheme="minorEastAsia" w:hAnsiTheme="minorEastAsia" w:eastAsiaTheme="minorEastAsia"/>
                <w:sz w:val="18"/>
                <w:szCs w:val="18"/>
                <w:highlight w:val="yellow"/>
              </w:rPr>
              <w:t>7）具备</w:t>
            </w:r>
            <w:r>
              <w:rPr>
                <w:rFonts w:hint="eastAsia" w:asciiTheme="minorEastAsia" w:hAnsiTheme="minorEastAsia" w:eastAsiaTheme="minorEastAsia"/>
                <w:sz w:val="18"/>
                <w:szCs w:val="18"/>
                <w:highlight w:val="yellow"/>
              </w:rPr>
              <w:t>过载保护功能：每条</w:t>
            </w:r>
            <w:r>
              <w:rPr>
                <w:rFonts w:asciiTheme="minorEastAsia" w:hAnsiTheme="minorEastAsia" w:eastAsiaTheme="minorEastAsia"/>
                <w:sz w:val="18"/>
                <w:szCs w:val="18"/>
                <w:highlight w:val="yellow"/>
              </w:rPr>
              <w:t>PDU</w:t>
            </w:r>
            <w:r>
              <w:rPr>
                <w:rFonts w:hint="eastAsia" w:asciiTheme="minorEastAsia" w:hAnsiTheme="minorEastAsia" w:eastAsiaTheme="minorEastAsia"/>
                <w:sz w:val="18"/>
                <w:szCs w:val="18"/>
                <w:highlight w:val="yellow"/>
              </w:rPr>
              <w:t>配置一个断路器。</w:t>
            </w:r>
          </w:p>
        </w:tc>
      </w:tr>
      <w:tr w14:paraId="1FB71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5BAA6A92">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13</w:t>
            </w:r>
          </w:p>
        </w:tc>
        <w:tc>
          <w:tcPr>
            <w:tcW w:w="1521" w:type="dxa"/>
            <w:shd w:val="clear" w:color="000000" w:fill="FFFFFF"/>
            <w:vAlign w:val="center"/>
          </w:tcPr>
          <w:p w14:paraId="33C747BE">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63A PDU</w:t>
            </w:r>
          </w:p>
        </w:tc>
        <w:tc>
          <w:tcPr>
            <w:tcW w:w="6497" w:type="dxa"/>
            <w:shd w:val="clear" w:color="000000" w:fill="FFFFFF"/>
            <w:vAlign w:val="center"/>
          </w:tcPr>
          <w:p w14:paraId="7F1822A8">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1）交流电源分配单元额定电压：250VAC 50/60Hz；额定电流：63A。</w:t>
            </w:r>
          </w:p>
          <w:p w14:paraId="5BF670AE">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2）产品外壳采用独立开发的经特殊绝缘处理的电泳铝合金或钢板等，能够有效的抗射频、电磁波干扰。</w:t>
            </w:r>
          </w:p>
          <w:p w14:paraId="184DA18C">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3）所有插座模块、功能模块全部采用PC/ABS塑胶材料，热变型温度高达120℃以上，阻燃特性符合UL94-V0标准。</w:t>
            </w:r>
          </w:p>
          <w:p w14:paraId="753B45A2">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4）每条PDU配置不少于10位16A输出模块（PDU应具备可扩展性，支持采购方对横向或纵向的选择，满足机柜设备对电源的需求）。</w:t>
            </w:r>
          </w:p>
          <w:p w14:paraId="7DEB4684">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5）内部的插座模块之间、各种功能模块之间的连接方式全部采用专用母线铜排连接方法。</w:t>
            </w:r>
          </w:p>
          <w:p w14:paraId="45FD4118">
            <w:pPr>
              <w:spacing w:before="0" w:after="0" w:line="240" w:lineRule="auto"/>
              <w:ind w:firstLine="0"/>
              <w:jc w:val="left"/>
              <w:rPr>
                <w:rFonts w:hint="eastAsia" w:ascii="宋体" w:hAnsi="宋体" w:cs="宋体"/>
                <w:color w:val="000000"/>
                <w:kern w:val="0"/>
                <w:sz w:val="18"/>
                <w:szCs w:val="18"/>
                <w:highlight w:val="yellow"/>
              </w:rPr>
            </w:pPr>
            <w:r>
              <w:rPr>
                <w:rFonts w:hint="eastAsia" w:asciiTheme="minorEastAsia" w:hAnsiTheme="minorEastAsia" w:eastAsiaTheme="minorEastAsia"/>
                <w:sz w:val="18"/>
                <w:szCs w:val="18"/>
                <w:highlight w:val="yellow"/>
              </w:rPr>
              <w:t>6）采用输入线缆上端或下端单输入，电位源线采用直接接入PDU的接线端子，减少层接达到更安全效果，插头需作出极性标识。</w:t>
            </w:r>
          </w:p>
        </w:tc>
      </w:tr>
      <w:tr w14:paraId="4BD3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4EA2DE30">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14</w:t>
            </w:r>
          </w:p>
        </w:tc>
        <w:tc>
          <w:tcPr>
            <w:tcW w:w="1521" w:type="dxa"/>
            <w:shd w:val="clear" w:color="000000" w:fill="FFFFFF"/>
            <w:vAlign w:val="center"/>
          </w:tcPr>
          <w:p w14:paraId="5932B1E0">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18"/>
                <w:szCs w:val="18"/>
                <w:highlight w:val="yellow"/>
              </w:rPr>
              <w:t>63A 智能PDU</w:t>
            </w:r>
          </w:p>
        </w:tc>
        <w:tc>
          <w:tcPr>
            <w:tcW w:w="6497" w:type="dxa"/>
            <w:shd w:val="clear" w:color="000000" w:fill="FFFFFF"/>
            <w:vAlign w:val="center"/>
          </w:tcPr>
          <w:p w14:paraId="08DEC16F">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1）交流电源分配单元额定电压：250VAC 50/60Hz；额定电流：63A；应符合《通信设备用电源分配单元(PDU)》（YDT 2063-2009）的要求，并通过第三方权威检测机构认证。</w:t>
            </w:r>
          </w:p>
          <w:p w14:paraId="64AF77BE">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2）产品外壳采用独立开发的经特殊绝缘处理的电泳铝合金或钢板等，能够有效的抗射频、电磁波干扰。</w:t>
            </w:r>
          </w:p>
          <w:p w14:paraId="3A91AB9C">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3）所有插座模块、功能模块全部采用PC/ABS塑胶材料，热变型温度高达120℃以上，阻燃特性符合UL94-V0标准。</w:t>
            </w:r>
          </w:p>
          <w:p w14:paraId="0171559E">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4）每条PDU配置为8位10A输出模块， 12位16A输出模块（PDU应具备可扩展性，支持采购方对横向或纵向的选择，满足机柜设备对电源的需求）。</w:t>
            </w:r>
          </w:p>
          <w:p w14:paraId="73EE4EFC">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5）内部的插座模块之间、各种功能模块之间的连接方式全部采用专用母线铜排连接方法。</w:t>
            </w:r>
          </w:p>
          <w:p w14:paraId="1859096B">
            <w:pPr>
              <w:spacing w:before="0" w:after="0" w:line="240" w:lineRule="auto"/>
              <w:ind w:firstLine="0"/>
              <w:jc w:val="left"/>
              <w:rPr>
                <w:rFonts w:hint="eastAsia" w:asciiTheme="minorEastAsia" w:hAnsiTheme="minorEastAsia" w:eastAsiaTheme="minorEastAsia"/>
                <w:sz w:val="18"/>
                <w:szCs w:val="18"/>
                <w:highlight w:val="yellow"/>
              </w:rPr>
            </w:pPr>
            <w:r>
              <w:rPr>
                <w:rFonts w:hint="eastAsia" w:asciiTheme="minorEastAsia" w:hAnsiTheme="minorEastAsia" w:eastAsiaTheme="minorEastAsia"/>
                <w:sz w:val="18"/>
                <w:szCs w:val="18"/>
                <w:highlight w:val="yellow"/>
              </w:rPr>
              <w:t>6）具备本地液晶显示和网络通讯功能，可实时高清液晶显示每路插座的电压、电流阀值等参数。功能模块应设计功能按键、复位按键、查看按键等操作按键。产品可根据需求随时扩展温湿度、功率、电能计量等监测功能，配备相应的远程监控通讯接口，具体协议满足机房动环系统。</w:t>
            </w:r>
          </w:p>
          <w:p w14:paraId="2ACB143B">
            <w:pPr>
              <w:spacing w:before="0" w:after="0" w:line="240" w:lineRule="auto"/>
              <w:ind w:firstLine="0"/>
              <w:jc w:val="left"/>
              <w:rPr>
                <w:rFonts w:hint="eastAsia" w:ascii="宋体" w:hAnsi="宋体" w:cs="宋体"/>
                <w:color w:val="000000"/>
                <w:kern w:val="0"/>
                <w:sz w:val="18"/>
                <w:szCs w:val="18"/>
                <w:highlight w:val="yellow"/>
              </w:rPr>
            </w:pPr>
            <w:r>
              <w:rPr>
                <w:rFonts w:hint="eastAsia" w:asciiTheme="minorEastAsia" w:hAnsiTheme="minorEastAsia" w:eastAsiaTheme="minorEastAsia"/>
                <w:sz w:val="18"/>
                <w:szCs w:val="18"/>
                <w:highlight w:val="yellow"/>
              </w:rPr>
              <w:t>7）具备过载保护功能：每条PDU配置一个断路器。</w:t>
            </w:r>
          </w:p>
        </w:tc>
      </w:tr>
      <w:tr w14:paraId="075E0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1AEE8D34">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15</w:t>
            </w:r>
          </w:p>
        </w:tc>
        <w:tc>
          <w:tcPr>
            <w:tcW w:w="1521" w:type="dxa"/>
            <w:shd w:val="clear" w:color="000000" w:fill="FFFFFF"/>
            <w:vAlign w:val="center"/>
          </w:tcPr>
          <w:p w14:paraId="4CABBD6F">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20"/>
                <w:highlight w:val="yellow"/>
              </w:rPr>
              <w:t>U-KEY</w:t>
            </w:r>
          </w:p>
        </w:tc>
        <w:tc>
          <w:tcPr>
            <w:tcW w:w="6497" w:type="dxa"/>
            <w:shd w:val="clear" w:color="000000" w:fill="FFFFFF"/>
            <w:vAlign w:val="center"/>
          </w:tcPr>
          <w:p w14:paraId="738F3858">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标准的USB 接口、即插即用，免驱动。</w:t>
            </w:r>
          </w:p>
          <w:p w14:paraId="58716CD2">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内置国密认证智能芯片，用户私钥存于芯片中，安全可靠。</w:t>
            </w:r>
          </w:p>
          <w:p w14:paraId="1268A103">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可以与用户权限管理功能模块配套实现系统的安全认证登录及操控功能；</w:t>
            </w:r>
          </w:p>
          <w:p w14:paraId="52F5B912">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符合国密《智能密码钥匙技术规范》；</w:t>
            </w:r>
          </w:p>
          <w:p w14:paraId="37C9BE3B">
            <w:pPr>
              <w:adjustRightInd w:val="0"/>
              <w:snapToGrid w:val="0"/>
              <w:spacing w:line="240" w:lineRule="auto"/>
              <w:ind w:firstLine="0"/>
              <w:jc w:val="left"/>
              <w:rPr>
                <w:rFonts w:hint="eastAsia" w:ascii="宋体" w:hAnsi="宋体" w:cs="宋体"/>
                <w:kern w:val="0"/>
                <w:sz w:val="18"/>
                <w:szCs w:val="18"/>
              </w:rPr>
            </w:pPr>
            <w:r>
              <w:rPr>
                <w:rFonts w:ascii="宋体" w:hAnsi="宋体" w:cs="宋体"/>
                <w:kern w:val="0"/>
                <w:sz w:val="18"/>
                <w:szCs w:val="18"/>
              </w:rPr>
              <w:t>符合《中国金融集成（IC）卡规范》</w:t>
            </w:r>
            <w:r>
              <w:rPr>
                <w:rFonts w:hint="eastAsia" w:ascii="宋体" w:hAnsi="宋体" w:cs="宋体"/>
                <w:kern w:val="0"/>
                <w:sz w:val="18"/>
                <w:szCs w:val="18"/>
              </w:rPr>
              <w:t>；</w:t>
            </w:r>
          </w:p>
          <w:p w14:paraId="5193BD57">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支持多应用；</w:t>
            </w:r>
          </w:p>
          <w:p w14:paraId="2BD39FA1">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 xml:space="preserve">支持3DES、SSF33、SM1、SM2、RSA1024、RSA2048、SHA-1以及SM3密码算法。 </w:t>
            </w:r>
          </w:p>
          <w:p w14:paraId="709FA1FA">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内置硬件随机数发生器。</w:t>
            </w:r>
          </w:p>
          <w:p w14:paraId="3715E064">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支持安全数据传输，提供明文、加密、校验和加密校验四种传输模式。</w:t>
            </w:r>
          </w:p>
          <w:p w14:paraId="5D4E3DCF">
            <w:pPr>
              <w:adjustRightInd w:val="0"/>
              <w:snapToGrid w:val="0"/>
              <w:spacing w:line="240" w:lineRule="auto"/>
              <w:ind w:firstLine="0"/>
              <w:jc w:val="left"/>
              <w:rPr>
                <w:rFonts w:hint="eastAsia" w:ascii="宋体" w:hAnsi="宋体" w:cs="宋体"/>
                <w:kern w:val="0"/>
                <w:sz w:val="18"/>
                <w:szCs w:val="18"/>
              </w:rPr>
            </w:pPr>
            <w:r>
              <w:rPr>
                <w:rFonts w:hint="eastAsia" w:ascii="宋体" w:hAnsi="宋体" w:cs="宋体"/>
                <w:kern w:val="0"/>
                <w:sz w:val="18"/>
                <w:szCs w:val="18"/>
              </w:rPr>
              <w:t>提供完整的开发套件，支持PKCS11，国密SKF接口以及CSP开发接口。其中国密SKF接口必须支持且不仅限于安全可靠麒麟，凝思及以上。并且支持智能密码钥匙在非超级用户下的访问。</w:t>
            </w:r>
          </w:p>
          <w:p w14:paraId="1DA6141B">
            <w:pPr>
              <w:spacing w:before="0" w:after="0" w:line="240" w:lineRule="auto"/>
              <w:ind w:firstLine="0"/>
              <w:jc w:val="left"/>
              <w:rPr>
                <w:rFonts w:hint="eastAsia" w:ascii="宋体" w:hAnsi="宋体" w:cs="宋体"/>
                <w:color w:val="000000"/>
                <w:kern w:val="0"/>
                <w:sz w:val="18"/>
                <w:szCs w:val="18"/>
                <w:highlight w:val="yellow"/>
              </w:rPr>
            </w:pPr>
            <w:r>
              <w:rPr>
                <w:rFonts w:hint="eastAsia" w:ascii="宋体" w:hAnsi="宋体" w:cs="宋体"/>
                <w:kern w:val="0"/>
                <w:sz w:val="18"/>
                <w:szCs w:val="18"/>
              </w:rPr>
              <w:t>五年质保</w:t>
            </w:r>
          </w:p>
        </w:tc>
      </w:tr>
      <w:tr w14:paraId="124A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1" w:type="dxa"/>
            <w:shd w:val="clear" w:color="000000" w:fill="FFFFFF"/>
            <w:vAlign w:val="center"/>
          </w:tcPr>
          <w:p w14:paraId="3CDED71F">
            <w:pPr>
              <w:spacing w:before="0" w:after="0" w:line="240" w:lineRule="auto"/>
              <w:ind w:firstLine="0"/>
              <w:jc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16</w:t>
            </w:r>
          </w:p>
        </w:tc>
        <w:tc>
          <w:tcPr>
            <w:tcW w:w="1521" w:type="dxa"/>
            <w:shd w:val="clear" w:color="000000" w:fill="FFFFFF"/>
            <w:vAlign w:val="center"/>
          </w:tcPr>
          <w:p w14:paraId="4BEFA471">
            <w:pPr>
              <w:spacing w:before="0" w:after="0" w:line="240" w:lineRule="auto"/>
              <w:ind w:firstLine="0"/>
              <w:jc w:val="center"/>
              <w:rPr>
                <w:rFonts w:hint="eastAsia" w:ascii="宋体" w:hAnsi="宋体" w:cs="宋体"/>
                <w:kern w:val="0"/>
                <w:sz w:val="18"/>
                <w:szCs w:val="18"/>
                <w:highlight w:val="yellow"/>
              </w:rPr>
            </w:pPr>
            <w:r>
              <w:rPr>
                <w:rFonts w:hint="eastAsia" w:ascii="宋体" w:hAnsi="宋体" w:cs="宋体"/>
                <w:kern w:val="0"/>
                <w:sz w:val="20"/>
                <w:highlight w:val="yellow"/>
              </w:rPr>
              <w:t>指纹识别仪</w:t>
            </w:r>
          </w:p>
        </w:tc>
        <w:tc>
          <w:tcPr>
            <w:tcW w:w="6497" w:type="dxa"/>
            <w:shd w:val="clear" w:color="000000" w:fill="FFFFFF"/>
            <w:vAlign w:val="center"/>
          </w:tcPr>
          <w:p w14:paraId="43845745">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探测</w:t>
            </w:r>
            <w:r>
              <w:rPr>
                <w:rFonts w:ascii="宋体" w:hAnsi="宋体" w:cs="宋体"/>
                <w:kern w:val="0"/>
                <w:sz w:val="18"/>
                <w:szCs w:val="18"/>
              </w:rPr>
              <w:t>技术：反射式感应探测技术，具有</w:t>
            </w:r>
            <w:r>
              <w:rPr>
                <w:rFonts w:hint="eastAsia" w:ascii="宋体" w:hAnsi="宋体" w:cs="宋体"/>
                <w:kern w:val="0"/>
                <w:sz w:val="18"/>
                <w:szCs w:val="18"/>
              </w:rPr>
              <w:t>活体</w:t>
            </w:r>
            <w:r>
              <w:rPr>
                <w:rFonts w:ascii="宋体" w:hAnsi="宋体" w:cs="宋体"/>
                <w:kern w:val="0"/>
                <w:sz w:val="18"/>
                <w:szCs w:val="18"/>
              </w:rPr>
              <w:t>指纹探测功能</w:t>
            </w:r>
            <w:r>
              <w:rPr>
                <w:rFonts w:hint="eastAsia" w:ascii="宋体" w:hAnsi="宋体" w:cs="宋体"/>
                <w:kern w:val="0"/>
                <w:sz w:val="18"/>
                <w:szCs w:val="18"/>
              </w:rPr>
              <w:t>；</w:t>
            </w:r>
          </w:p>
          <w:p w14:paraId="4714D233">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抗</w:t>
            </w:r>
            <w:r>
              <w:rPr>
                <w:rFonts w:ascii="宋体" w:hAnsi="宋体" w:cs="宋体"/>
                <w:kern w:val="0"/>
                <w:sz w:val="18"/>
                <w:szCs w:val="18"/>
              </w:rPr>
              <w:t>磨损强度高：</w:t>
            </w:r>
            <w:r>
              <w:rPr>
                <w:rFonts w:hint="eastAsia" w:ascii="宋体" w:hAnsi="宋体" w:cs="宋体"/>
                <w:kern w:val="0"/>
                <w:sz w:val="18"/>
                <w:szCs w:val="18"/>
              </w:rPr>
              <w:t>不少于1百</w:t>
            </w:r>
            <w:r>
              <w:rPr>
                <w:rFonts w:ascii="宋体" w:hAnsi="宋体" w:cs="宋体"/>
                <w:kern w:val="0"/>
                <w:sz w:val="18"/>
                <w:szCs w:val="18"/>
              </w:rPr>
              <w:t>万次；</w:t>
            </w:r>
          </w:p>
          <w:p w14:paraId="04D0CA18">
            <w:pPr>
              <w:spacing w:before="0" w:after="0" w:line="240" w:lineRule="auto"/>
              <w:ind w:firstLine="0"/>
              <w:jc w:val="left"/>
              <w:rPr>
                <w:rFonts w:hint="eastAsia" w:ascii="宋体" w:hAnsi="宋体" w:cs="宋体"/>
                <w:kern w:val="0"/>
                <w:sz w:val="18"/>
                <w:szCs w:val="18"/>
              </w:rPr>
            </w:pPr>
            <w:r>
              <w:rPr>
                <w:rFonts w:hint="eastAsia" w:ascii="宋体" w:hAnsi="宋体" w:cs="宋体"/>
                <w:kern w:val="0"/>
                <w:sz w:val="18"/>
                <w:szCs w:val="18"/>
              </w:rPr>
              <w:t>抗</w:t>
            </w:r>
            <w:r>
              <w:rPr>
                <w:rFonts w:ascii="宋体" w:hAnsi="宋体" w:cs="宋体"/>
                <w:kern w:val="0"/>
                <w:sz w:val="18"/>
                <w:szCs w:val="18"/>
              </w:rPr>
              <w:t>静电指标：≥15KV</w:t>
            </w:r>
            <w:r>
              <w:rPr>
                <w:rFonts w:hint="eastAsia" w:ascii="宋体" w:hAnsi="宋体" w:cs="宋体"/>
                <w:kern w:val="0"/>
                <w:sz w:val="18"/>
                <w:szCs w:val="18"/>
              </w:rPr>
              <w:t>；</w:t>
            </w:r>
          </w:p>
          <w:p w14:paraId="58E5ACD8">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指纹总数</w:t>
            </w:r>
            <w:r>
              <w:rPr>
                <w:rFonts w:hint="eastAsia" w:ascii="宋体" w:hAnsi="宋体" w:cs="宋体"/>
                <w:kern w:val="0"/>
                <w:sz w:val="18"/>
                <w:szCs w:val="18"/>
              </w:rPr>
              <w:t>：</w:t>
            </w:r>
            <w:r>
              <w:rPr>
                <w:rFonts w:ascii="宋体" w:hAnsi="宋体" w:cs="宋体"/>
                <w:kern w:val="0"/>
                <w:sz w:val="18"/>
                <w:szCs w:val="18"/>
              </w:rPr>
              <w:t>≥930枚</w:t>
            </w:r>
            <w:r>
              <w:rPr>
                <w:rFonts w:hint="eastAsia" w:ascii="宋体" w:hAnsi="宋体" w:cs="宋体"/>
                <w:kern w:val="0"/>
                <w:sz w:val="18"/>
                <w:szCs w:val="18"/>
              </w:rPr>
              <w:t>；</w:t>
            </w:r>
          </w:p>
          <w:p w14:paraId="7E24C829">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指纹图像录入时间：&lt;0.5秒</w:t>
            </w:r>
            <w:r>
              <w:rPr>
                <w:rFonts w:hint="eastAsia" w:ascii="宋体" w:hAnsi="宋体" w:cs="宋体"/>
                <w:kern w:val="0"/>
                <w:sz w:val="18"/>
                <w:szCs w:val="18"/>
              </w:rPr>
              <w:t>；</w:t>
            </w:r>
          </w:p>
          <w:p w14:paraId="641FCA19">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认假率(FAR)：≤0.00001%(安全等级为3时)</w:t>
            </w:r>
            <w:r>
              <w:rPr>
                <w:rFonts w:hint="eastAsia" w:ascii="宋体" w:hAnsi="宋体" w:cs="宋体"/>
                <w:kern w:val="0"/>
                <w:sz w:val="18"/>
                <w:szCs w:val="18"/>
              </w:rPr>
              <w:t>；</w:t>
            </w:r>
          </w:p>
          <w:p w14:paraId="32990F01">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拒真率(FAR)：≤0.0001% (安全等级为3时)</w:t>
            </w:r>
            <w:r>
              <w:rPr>
                <w:rFonts w:hint="eastAsia" w:ascii="宋体" w:hAnsi="宋体" w:cs="宋体"/>
                <w:kern w:val="0"/>
                <w:sz w:val="18"/>
                <w:szCs w:val="18"/>
              </w:rPr>
              <w:t>；</w:t>
            </w:r>
          </w:p>
          <w:p w14:paraId="34E15EBF">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对比时间：≤1 秒</w:t>
            </w:r>
            <w:r>
              <w:rPr>
                <w:rFonts w:hint="eastAsia" w:ascii="宋体" w:hAnsi="宋体" w:cs="宋体"/>
                <w:kern w:val="0"/>
                <w:sz w:val="18"/>
                <w:szCs w:val="18"/>
              </w:rPr>
              <w:t>；</w:t>
            </w:r>
          </w:p>
          <w:p w14:paraId="44FCA6DE">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验证方式：支持指纹验证（1：1）和指纹搜索（1：N）</w:t>
            </w:r>
            <w:r>
              <w:rPr>
                <w:rFonts w:hint="eastAsia" w:ascii="宋体" w:hAnsi="宋体" w:cs="宋体"/>
                <w:kern w:val="0"/>
                <w:sz w:val="18"/>
                <w:szCs w:val="18"/>
              </w:rPr>
              <w:t>；</w:t>
            </w:r>
          </w:p>
          <w:p w14:paraId="2B9A788D">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搜索时间：&lt;1.0 秒（1：1000 时，均值）</w:t>
            </w:r>
            <w:r>
              <w:rPr>
                <w:rFonts w:hint="eastAsia" w:ascii="宋体" w:hAnsi="宋体" w:cs="宋体"/>
                <w:kern w:val="0"/>
                <w:sz w:val="18"/>
                <w:szCs w:val="18"/>
              </w:rPr>
              <w:t>；</w:t>
            </w:r>
          </w:p>
          <w:p w14:paraId="600F9442">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安全等级：五级（从 低到高：1,2,3,4,5）</w:t>
            </w:r>
            <w:r>
              <w:rPr>
                <w:rFonts w:hint="eastAsia" w:ascii="宋体" w:hAnsi="宋体" w:cs="宋体"/>
                <w:kern w:val="0"/>
                <w:sz w:val="18"/>
                <w:szCs w:val="18"/>
              </w:rPr>
              <w:t>；</w:t>
            </w:r>
          </w:p>
          <w:p w14:paraId="50B79C6A">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工作环境：温 度：-40℃~+70℃</w:t>
            </w:r>
            <w:r>
              <w:rPr>
                <w:rFonts w:hint="eastAsia" w:ascii="宋体" w:hAnsi="宋体" w:cs="宋体"/>
                <w:kern w:val="0"/>
                <w:sz w:val="18"/>
                <w:szCs w:val="18"/>
              </w:rPr>
              <w:t>；</w:t>
            </w:r>
          </w:p>
          <w:p w14:paraId="2EF872B0">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相对湿度：40%RH~85%RH（无凝露）</w:t>
            </w:r>
            <w:r>
              <w:rPr>
                <w:rFonts w:hint="eastAsia" w:ascii="宋体" w:hAnsi="宋体" w:cs="宋体"/>
                <w:kern w:val="0"/>
                <w:sz w:val="18"/>
                <w:szCs w:val="18"/>
              </w:rPr>
              <w:t>；</w:t>
            </w:r>
          </w:p>
          <w:p w14:paraId="0C549E29">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相对湿度：&lt;85%H(无凝露)</w:t>
            </w:r>
            <w:r>
              <w:rPr>
                <w:rFonts w:hint="eastAsia" w:ascii="宋体" w:hAnsi="宋体" w:cs="宋体"/>
                <w:kern w:val="0"/>
                <w:sz w:val="18"/>
                <w:szCs w:val="18"/>
              </w:rPr>
              <w:t>；</w:t>
            </w:r>
          </w:p>
          <w:p w14:paraId="254444AB">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通讯接口：RS-232 标准接口/TTL 串口/USB 标准接口</w:t>
            </w:r>
            <w:r>
              <w:rPr>
                <w:rFonts w:hint="eastAsia" w:ascii="宋体" w:hAnsi="宋体" w:cs="宋体"/>
                <w:kern w:val="0"/>
                <w:sz w:val="18"/>
                <w:szCs w:val="18"/>
              </w:rPr>
              <w:t>；</w:t>
            </w:r>
          </w:p>
          <w:p w14:paraId="470B0952">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供电：支持 USB 供电</w:t>
            </w:r>
            <w:r>
              <w:rPr>
                <w:rFonts w:hint="eastAsia" w:ascii="宋体" w:hAnsi="宋体" w:cs="宋体"/>
                <w:kern w:val="0"/>
                <w:sz w:val="18"/>
                <w:szCs w:val="18"/>
              </w:rPr>
              <w:t>；</w:t>
            </w:r>
          </w:p>
          <w:p w14:paraId="0D716748">
            <w:pPr>
              <w:spacing w:before="0" w:after="0" w:line="240" w:lineRule="auto"/>
              <w:ind w:firstLine="0"/>
              <w:jc w:val="left"/>
              <w:rPr>
                <w:rFonts w:hint="eastAsia" w:ascii="宋体" w:hAnsi="宋体" w:cs="宋体"/>
                <w:kern w:val="0"/>
                <w:sz w:val="18"/>
                <w:szCs w:val="18"/>
              </w:rPr>
            </w:pPr>
            <w:r>
              <w:rPr>
                <w:rFonts w:ascii="宋体" w:hAnsi="宋体" w:cs="宋体"/>
                <w:kern w:val="0"/>
                <w:sz w:val="18"/>
                <w:szCs w:val="18"/>
              </w:rPr>
              <w:t>开发平台：支持linux 以及 B/S，C/S 架构等平台，方便于系统集成商开发及应用</w:t>
            </w:r>
            <w:r>
              <w:rPr>
                <w:rFonts w:hint="eastAsia" w:ascii="宋体" w:hAnsi="宋体" w:cs="宋体"/>
                <w:kern w:val="0"/>
                <w:sz w:val="18"/>
                <w:szCs w:val="18"/>
              </w:rPr>
              <w:t>；</w:t>
            </w:r>
          </w:p>
          <w:p w14:paraId="5293FC7D">
            <w:pPr>
              <w:spacing w:before="0" w:after="0" w:line="240" w:lineRule="auto"/>
              <w:ind w:firstLine="0"/>
              <w:jc w:val="left"/>
              <w:rPr>
                <w:rFonts w:hint="eastAsia" w:ascii="宋体" w:hAnsi="宋体" w:cs="宋体"/>
                <w:color w:val="000000"/>
                <w:kern w:val="0"/>
                <w:sz w:val="18"/>
                <w:szCs w:val="18"/>
                <w:highlight w:val="yellow"/>
              </w:rPr>
            </w:pPr>
            <w:r>
              <w:rPr>
                <w:rFonts w:hint="eastAsia" w:ascii="宋体" w:hAnsi="宋体" w:cs="宋体"/>
                <w:kern w:val="0"/>
                <w:sz w:val="18"/>
                <w:szCs w:val="18"/>
              </w:rPr>
              <w:t>保修期：5年。</w:t>
            </w:r>
          </w:p>
        </w:tc>
      </w:tr>
    </w:tbl>
    <w:p w14:paraId="516050CC">
      <w:pPr>
        <w:ind w:firstLine="0"/>
      </w:pPr>
    </w:p>
    <w:bookmarkEnd w:id="58"/>
    <w:p w14:paraId="40545C7F">
      <w:pPr>
        <w:pStyle w:val="6"/>
        <w:rPr>
          <w:highlight w:val="yellow"/>
        </w:rPr>
      </w:pPr>
      <w:r>
        <w:rPr>
          <w:rFonts w:hint="eastAsia"/>
          <w:highlight w:val="yellow"/>
        </w:rPr>
        <w:t>商用软件配置要求</w:t>
      </w:r>
    </w:p>
    <w:p w14:paraId="7F6D59BC">
      <w:pPr>
        <w:pStyle w:val="7"/>
        <w:spacing w:before="0" w:after="0"/>
        <w:ind w:left="862" w:hanging="862"/>
      </w:pPr>
      <w:r>
        <w:rPr>
          <w:rFonts w:hint="eastAsia"/>
        </w:rPr>
        <w:t>信息安全基线要求</w:t>
      </w:r>
    </w:p>
    <w:p w14:paraId="21188D31">
      <w:r>
        <w:rPr>
          <w:rFonts w:hint="eastAsia"/>
        </w:rPr>
        <w:t>本项目所有操作系统、关系数据库、时序数据库等商用软件应在出厂前完成加固措施，并满足《IT主流设备安全基线技术规范》（Q/CSG 11804-2010）要求。</w:t>
      </w:r>
    </w:p>
    <w:p w14:paraId="45ED4912">
      <w:pPr>
        <w:pStyle w:val="7"/>
        <w:spacing w:before="0" w:after="0"/>
        <w:ind w:left="862" w:hanging="862"/>
      </w:pPr>
      <w:r>
        <w:rPr>
          <w:rFonts w:hint="eastAsia"/>
        </w:rPr>
        <w:t>操作系统配置要求</w:t>
      </w:r>
    </w:p>
    <w:p w14:paraId="3B192130">
      <w:pPr>
        <w:pStyle w:val="1058"/>
        <w:ind w:firstLine="480"/>
      </w:pPr>
      <w:r>
        <w:rPr>
          <w:rFonts w:hint="eastAsia"/>
        </w:rPr>
        <w:t>操作系统</w:t>
      </w:r>
      <w:r>
        <w:rPr>
          <w:rFonts w:ascii="宋体" w:hAnsi="宋体" w:cs="宋体"/>
          <w:szCs w:val="24"/>
        </w:rPr>
        <w:t>需通过安全可靠测评，其安全可靠测评等级不得低于I级，详情可从中国信息安全测评中心（www.itsec.gov.cn）和国家保密科技测评中心（www.nsstec.org.cn）网站查询。</w:t>
      </w:r>
    </w:p>
    <w:p w14:paraId="4E1B0C9F">
      <w:pPr>
        <w:spacing w:before="120" w:after="120"/>
        <w:ind w:firstLine="480"/>
      </w:pPr>
      <w:r>
        <w:rPr>
          <w:rFonts w:hint="eastAsia"/>
        </w:rPr>
        <w:t>操作系统的选择要兼顾系统安全稳定性和使用灵活性的要求。</w:t>
      </w:r>
    </w:p>
    <w:p w14:paraId="7EC015F6">
      <w:pPr>
        <w:pStyle w:val="409"/>
        <w:snapToGrid/>
        <w:spacing w:before="120" w:after="120" w:line="360" w:lineRule="auto"/>
        <w:ind w:firstLine="480"/>
        <w:rPr>
          <w:rFonts w:hint="eastAsia"/>
          <w:sz w:val="24"/>
        </w:rPr>
      </w:pPr>
      <w:r>
        <w:rPr>
          <w:rFonts w:hint="eastAsia"/>
          <w:sz w:val="24"/>
        </w:rPr>
        <w:t>操作系统应为具有开放性、高可靠性和安全、通用、成熟的产品。PC服务器、工作站应采用安全可靠的Linux操作系统。</w:t>
      </w:r>
    </w:p>
    <w:p w14:paraId="2A177548">
      <w:pPr>
        <w:pStyle w:val="409"/>
        <w:snapToGrid/>
        <w:spacing w:before="120" w:after="120" w:line="360" w:lineRule="auto"/>
        <w:ind w:firstLine="480"/>
        <w:rPr>
          <w:rFonts w:hint="eastAsia"/>
          <w:sz w:val="24"/>
        </w:rPr>
      </w:pPr>
      <w:r>
        <w:rPr>
          <w:rFonts w:hint="eastAsia"/>
          <w:sz w:val="24"/>
        </w:rPr>
        <w:t>系统建设时应使用可以获得的操作系统主流版本，并在系统生命周期内及时进行补丁升级。</w:t>
      </w:r>
    </w:p>
    <w:p w14:paraId="60FB08D2">
      <w:pPr>
        <w:spacing w:before="120" w:after="120"/>
        <w:ind w:firstLine="480"/>
      </w:pPr>
      <w:r>
        <w:rPr>
          <w:rFonts w:hint="eastAsia"/>
        </w:rPr>
        <w:t>应该使用安全操作系统或对系统进行安全加固。加固方式包括：安全配置，安全补丁，采用专用软件强化操作系统访问控制能力，以及配置安全的应用程序。</w:t>
      </w:r>
    </w:p>
    <w:p w14:paraId="198E4CF0">
      <w:pPr>
        <w:spacing w:before="120" w:after="120"/>
        <w:ind w:firstLine="480"/>
      </w:pPr>
      <w:r>
        <w:rPr>
          <w:rFonts w:hint="eastAsia"/>
        </w:rPr>
        <w:t>操作系统与主流服务器、工作站兼容性良好。操作系统开放多路径相关接口，并且与磁盘阵列设备及内置软件（含多路径等）兼容性良好。</w:t>
      </w:r>
    </w:p>
    <w:p w14:paraId="032A5534">
      <w:pPr>
        <w:pStyle w:val="7"/>
        <w:spacing w:before="0" w:after="0"/>
        <w:ind w:left="862" w:hanging="862"/>
      </w:pPr>
      <w:r>
        <w:rPr>
          <w:rFonts w:hint="eastAsia"/>
        </w:rPr>
        <w:t>关系数据库配置要求</w:t>
      </w:r>
    </w:p>
    <w:p w14:paraId="0A136058">
      <w:pPr>
        <w:pStyle w:val="409"/>
        <w:snapToGrid/>
        <w:spacing w:before="120" w:after="120" w:line="360" w:lineRule="auto"/>
        <w:ind w:firstLine="480"/>
        <w:rPr>
          <w:rFonts w:hint="eastAsia"/>
          <w:sz w:val="24"/>
        </w:rPr>
      </w:pPr>
      <w:r>
        <w:rPr>
          <w:rFonts w:hint="eastAsia"/>
          <w:sz w:val="24"/>
        </w:rPr>
        <w:t>系统宜配置通用、成熟的商用关系数据库存储模型、参数及管理信息。</w:t>
      </w:r>
    </w:p>
    <w:p w14:paraId="2463C925">
      <w:pPr>
        <w:pStyle w:val="243"/>
        <w:widowControl w:val="0"/>
        <w:tabs>
          <w:tab w:val="left" w:pos="567"/>
        </w:tabs>
        <w:spacing w:before="0"/>
        <w:ind w:firstLine="240"/>
        <w:rPr>
          <w:rFonts w:ascii="Calibri" w:hAnsi="Calibri"/>
        </w:rPr>
      </w:pPr>
      <w:r>
        <w:rPr>
          <w:rFonts w:hint="eastAsia" w:ascii="Calibri" w:hAnsi="Calibri"/>
        </w:rPr>
        <w:t>技术要求如下：</w:t>
      </w:r>
    </w:p>
    <w:p w14:paraId="23284B41">
      <w:pPr>
        <w:pStyle w:val="1058"/>
        <w:ind w:firstLine="480"/>
      </w:pPr>
      <w:r>
        <w:rPr>
          <w:rFonts w:ascii="Calibri" w:hAnsi="Calibri"/>
        </w:rPr>
        <w:t>a)</w:t>
      </w:r>
      <w:r>
        <w:rPr>
          <w:rFonts w:ascii="Calibri" w:hAnsi="Calibri"/>
        </w:rPr>
        <w:tab/>
      </w:r>
      <w:r>
        <w:rPr>
          <w:rFonts w:hint="eastAsia" w:ascii="宋体" w:hAnsi="宋体" w:cs="宋体"/>
          <w:szCs w:val="24"/>
        </w:rPr>
        <w:t>关系型数据库</w:t>
      </w:r>
      <w:r>
        <w:rPr>
          <w:rFonts w:ascii="宋体" w:hAnsi="宋体" w:cs="宋体"/>
          <w:szCs w:val="24"/>
        </w:rPr>
        <w:t>需通过安全可靠测评，其安全可靠测评等级不得低于I级，详情可从中国信息安全测评中心（www.itsec.gov.cn）和国家保密科技测评中心（www.nsstec.org.cn）网站查询。</w:t>
      </w:r>
    </w:p>
    <w:p w14:paraId="5BDBB765">
      <w:pPr>
        <w:pStyle w:val="243"/>
        <w:widowControl w:val="0"/>
        <w:tabs>
          <w:tab w:val="left" w:pos="567"/>
        </w:tabs>
        <w:spacing w:before="0"/>
        <w:ind w:firstLine="240"/>
        <w:rPr>
          <w:rFonts w:ascii="Calibri" w:hAnsi="Calibri"/>
        </w:rPr>
      </w:pPr>
      <w:r>
        <w:rPr>
          <w:rFonts w:hint="eastAsia" w:ascii="Calibri" w:hAnsi="Calibri"/>
        </w:rPr>
        <w:t>所采用的关系数据库软件应支持以双活集群+主备集群方式、双活集群方式、主备方式等三种模式部署，应配置相应的双活或主备集群软件并能与所选用的关系数据库软件良好配合，在其中一台服务器故障时，另一台服务器应能接管全部服务。</w:t>
      </w:r>
    </w:p>
    <w:p w14:paraId="1717776C">
      <w:pPr>
        <w:pStyle w:val="243"/>
        <w:widowControl w:val="0"/>
        <w:tabs>
          <w:tab w:val="left" w:pos="567"/>
        </w:tabs>
        <w:spacing w:before="0"/>
        <w:ind w:firstLine="240"/>
        <w:rPr>
          <w:rFonts w:ascii="Calibri" w:hAnsi="Calibri"/>
        </w:rPr>
      </w:pPr>
      <w:r>
        <w:rPr>
          <w:rFonts w:ascii="Calibri" w:hAnsi="Calibri"/>
        </w:rPr>
        <w:t>b)</w:t>
      </w:r>
      <w:r>
        <w:rPr>
          <w:rFonts w:ascii="Calibri" w:hAnsi="Calibri"/>
        </w:rPr>
        <w:tab/>
      </w:r>
      <w:r>
        <w:rPr>
          <w:rFonts w:hint="eastAsia" w:ascii="Calibri" w:hAnsi="Calibri"/>
        </w:rPr>
        <w:t>在</w:t>
      </w:r>
      <w:r>
        <w:rPr>
          <w:rFonts w:ascii="Calibri" w:hAnsi="Calibri"/>
        </w:rPr>
        <w:t>active-standby</w:t>
      </w:r>
      <w:r>
        <w:rPr>
          <w:rFonts w:hint="eastAsia" w:ascii="Calibri" w:hAnsi="Calibri"/>
        </w:rPr>
        <w:t>模式下，从发生故障到备用数据库服务器切换为主服务器的时间应不高于1分钟，且系统应保证服务切换期间的数据不丢失、不损坏。</w:t>
      </w:r>
    </w:p>
    <w:p w14:paraId="7A4D1E3B">
      <w:pPr>
        <w:pStyle w:val="243"/>
        <w:widowControl w:val="0"/>
        <w:tabs>
          <w:tab w:val="left" w:pos="567"/>
        </w:tabs>
        <w:spacing w:before="0"/>
        <w:ind w:firstLine="240"/>
        <w:rPr>
          <w:rFonts w:ascii="Calibri" w:hAnsi="Calibri"/>
        </w:rPr>
      </w:pPr>
      <w:r>
        <w:rPr>
          <w:rFonts w:ascii="Calibri" w:hAnsi="Calibri"/>
        </w:rPr>
        <w:t>c)</w:t>
      </w:r>
      <w:r>
        <w:rPr>
          <w:rFonts w:ascii="Calibri" w:hAnsi="Calibri"/>
        </w:rPr>
        <w:tab/>
      </w:r>
      <w:r>
        <w:rPr>
          <w:rFonts w:hint="eastAsia" w:ascii="Calibri" w:hAnsi="Calibri"/>
        </w:rPr>
        <w:t>商用数据库管理系统可用来保存电网模型数据、部分电网历史数据、应用软件数据或其它数据。</w:t>
      </w:r>
    </w:p>
    <w:p w14:paraId="7B8DBFE1">
      <w:pPr>
        <w:pStyle w:val="243"/>
        <w:widowControl w:val="0"/>
        <w:tabs>
          <w:tab w:val="left" w:pos="567"/>
        </w:tabs>
        <w:spacing w:before="0"/>
        <w:ind w:firstLine="240"/>
        <w:rPr>
          <w:rFonts w:ascii="Calibri" w:hAnsi="Calibri"/>
        </w:rPr>
      </w:pPr>
      <w:r>
        <w:rPr>
          <w:rFonts w:ascii="Calibri" w:hAnsi="Calibri"/>
        </w:rPr>
        <w:t>d)</w:t>
      </w:r>
      <w:r>
        <w:rPr>
          <w:rFonts w:ascii="Calibri" w:hAnsi="Calibri"/>
        </w:rPr>
        <w:tab/>
      </w:r>
      <w:r>
        <w:rPr>
          <w:rFonts w:hint="eastAsia" w:ascii="Calibri" w:hAnsi="Calibri"/>
        </w:rPr>
        <w:t>应具有高性能、高可靠性、高可用率、高效的可管理性和综合的可访问性，具有分布式处理、并行处理、数据完整性、性能优化等特性。</w:t>
      </w:r>
    </w:p>
    <w:p w14:paraId="08072416">
      <w:pPr>
        <w:pStyle w:val="243"/>
        <w:widowControl w:val="0"/>
        <w:tabs>
          <w:tab w:val="left" w:pos="567"/>
        </w:tabs>
        <w:spacing w:before="0"/>
        <w:ind w:firstLine="240"/>
        <w:rPr>
          <w:rFonts w:ascii="Calibri" w:hAnsi="Calibri"/>
        </w:rPr>
      </w:pPr>
      <w:r>
        <w:rPr>
          <w:rFonts w:ascii="Calibri" w:hAnsi="Calibri"/>
        </w:rPr>
        <w:t>e)</w:t>
      </w:r>
      <w:r>
        <w:rPr>
          <w:rFonts w:ascii="Calibri" w:hAnsi="Calibri"/>
        </w:rPr>
        <w:tab/>
      </w:r>
      <w:r>
        <w:rPr>
          <w:rFonts w:hint="eastAsia" w:ascii="Calibri" w:hAnsi="Calibri"/>
        </w:rPr>
        <w:t>应符合国际标准，例如</w:t>
      </w:r>
      <w:r>
        <w:rPr>
          <w:rFonts w:ascii="Calibri" w:hAnsi="Calibri"/>
        </w:rPr>
        <w:t>SQL-92</w:t>
      </w:r>
      <w:r>
        <w:rPr>
          <w:rFonts w:hint="eastAsia" w:ascii="Calibri" w:hAnsi="Calibri"/>
        </w:rPr>
        <w:t>等。</w:t>
      </w:r>
    </w:p>
    <w:p w14:paraId="15001186">
      <w:pPr>
        <w:pStyle w:val="243"/>
        <w:widowControl w:val="0"/>
        <w:tabs>
          <w:tab w:val="left" w:pos="567"/>
        </w:tabs>
        <w:spacing w:before="0"/>
        <w:ind w:firstLine="240"/>
        <w:rPr>
          <w:rFonts w:ascii="Calibri" w:hAnsi="Calibri"/>
        </w:rPr>
      </w:pPr>
      <w:r>
        <w:rPr>
          <w:rFonts w:ascii="Calibri" w:hAnsi="Calibri"/>
        </w:rPr>
        <w:t>f)</w:t>
      </w:r>
      <w:r>
        <w:rPr>
          <w:rFonts w:ascii="Calibri" w:hAnsi="Calibri"/>
        </w:rPr>
        <w:tab/>
      </w:r>
      <w:r>
        <w:rPr>
          <w:rFonts w:hint="eastAsia" w:ascii="Calibri" w:hAnsi="Calibri"/>
        </w:rPr>
        <w:t>应支持数据库的可扩展性。</w:t>
      </w:r>
    </w:p>
    <w:p w14:paraId="3EACF7A1">
      <w:pPr>
        <w:pStyle w:val="243"/>
        <w:widowControl w:val="0"/>
        <w:tabs>
          <w:tab w:val="left" w:pos="567"/>
        </w:tabs>
        <w:spacing w:before="0"/>
        <w:ind w:firstLine="240"/>
        <w:rPr>
          <w:rFonts w:ascii="Calibri" w:hAnsi="Calibri"/>
        </w:rPr>
      </w:pPr>
      <w:r>
        <w:rPr>
          <w:rFonts w:ascii="Calibri" w:hAnsi="Calibri"/>
        </w:rPr>
        <w:t>g)</w:t>
      </w:r>
      <w:r>
        <w:rPr>
          <w:rFonts w:ascii="Calibri" w:hAnsi="Calibri"/>
        </w:rPr>
        <w:tab/>
      </w:r>
      <w:r>
        <w:rPr>
          <w:rFonts w:hint="eastAsia" w:ascii="Calibri" w:hAnsi="Calibri"/>
        </w:rPr>
        <w:t>应支持所有的数据类型，包括基本的数据类型、声音和图形数据类型、以及用户定义数据类型等。</w:t>
      </w:r>
    </w:p>
    <w:p w14:paraId="0CA4ACF0">
      <w:pPr>
        <w:pStyle w:val="243"/>
        <w:widowControl w:val="0"/>
        <w:tabs>
          <w:tab w:val="left" w:pos="567"/>
        </w:tabs>
        <w:spacing w:before="0"/>
        <w:ind w:firstLine="240"/>
        <w:rPr>
          <w:rFonts w:ascii="Calibri" w:hAnsi="Calibri"/>
        </w:rPr>
      </w:pPr>
      <w:r>
        <w:rPr>
          <w:rFonts w:ascii="Calibri" w:hAnsi="Calibri"/>
        </w:rPr>
        <w:t>h)</w:t>
      </w:r>
      <w:r>
        <w:rPr>
          <w:rFonts w:ascii="Calibri" w:hAnsi="Calibri"/>
        </w:rPr>
        <w:tab/>
      </w:r>
      <w:r>
        <w:rPr>
          <w:rFonts w:hint="eastAsia" w:ascii="Calibri" w:hAnsi="Calibri"/>
        </w:rPr>
        <w:t>应提供系统管理工具和软件开发工具来进行维护、更新和扩充数据库的使用。</w:t>
      </w:r>
    </w:p>
    <w:p w14:paraId="248B37AD">
      <w:pPr>
        <w:pStyle w:val="243"/>
        <w:widowControl w:val="0"/>
        <w:tabs>
          <w:tab w:val="left" w:pos="567"/>
        </w:tabs>
        <w:spacing w:before="0"/>
        <w:ind w:firstLine="240"/>
        <w:rPr>
          <w:rFonts w:ascii="Calibri" w:hAnsi="Calibri"/>
          <w:szCs w:val="22"/>
        </w:rPr>
      </w:pPr>
      <w:r>
        <w:rPr>
          <w:rFonts w:ascii="Calibri" w:hAnsi="Calibri"/>
          <w:szCs w:val="22"/>
        </w:rPr>
        <w:t>i)</w:t>
      </w:r>
      <w:r>
        <w:rPr>
          <w:rFonts w:ascii="Calibri" w:hAnsi="Calibri"/>
          <w:szCs w:val="22"/>
        </w:rPr>
        <w:tab/>
      </w:r>
      <w:r>
        <w:rPr>
          <w:rFonts w:hint="eastAsia" w:ascii="Calibri" w:hAnsi="Calibri"/>
          <w:szCs w:val="22"/>
        </w:rPr>
        <w:t>系统需要多个数据库，某些主题库或数据表，同时存在于多个库中，系统应能自动保持它们的同步和数据一致性。</w:t>
      </w:r>
    </w:p>
    <w:p w14:paraId="0BE39C14">
      <w:pPr>
        <w:pStyle w:val="243"/>
        <w:widowControl w:val="0"/>
        <w:tabs>
          <w:tab w:val="left" w:pos="567"/>
        </w:tabs>
        <w:spacing w:before="0"/>
        <w:ind w:firstLine="240"/>
        <w:rPr>
          <w:rFonts w:ascii="Calibri" w:hAnsi="Calibri"/>
          <w:szCs w:val="22"/>
        </w:rPr>
      </w:pPr>
      <w:r>
        <w:rPr>
          <w:rFonts w:ascii="Calibri" w:hAnsi="Calibri"/>
          <w:szCs w:val="22"/>
        </w:rPr>
        <w:t>j)</w:t>
      </w:r>
      <w:r>
        <w:rPr>
          <w:rFonts w:ascii="Calibri" w:hAnsi="Calibri"/>
          <w:szCs w:val="22"/>
        </w:rPr>
        <w:tab/>
      </w:r>
      <w:r>
        <w:rPr>
          <w:rFonts w:hint="eastAsia" w:ascii="Calibri" w:hAnsi="Calibri"/>
          <w:szCs w:val="22"/>
        </w:rPr>
        <w:t>应支持关系数据库和时间序列数据库之间的模型自动同步，实现两者存储之间的统一。</w:t>
      </w:r>
    </w:p>
    <w:p w14:paraId="35E74F88">
      <w:pPr>
        <w:pStyle w:val="243"/>
        <w:widowControl w:val="0"/>
        <w:tabs>
          <w:tab w:val="left" w:pos="567"/>
        </w:tabs>
        <w:spacing w:before="0"/>
        <w:ind w:firstLine="240"/>
        <w:rPr>
          <w:rFonts w:ascii="Calibri" w:hAnsi="Calibri"/>
          <w:szCs w:val="22"/>
        </w:rPr>
      </w:pPr>
      <w:r>
        <w:rPr>
          <w:rFonts w:ascii="Calibri" w:hAnsi="Calibri"/>
          <w:szCs w:val="22"/>
        </w:rPr>
        <w:t>k)</w:t>
      </w:r>
      <w:r>
        <w:rPr>
          <w:rFonts w:ascii="Calibri" w:hAnsi="Calibri"/>
          <w:szCs w:val="22"/>
        </w:rPr>
        <w:tab/>
      </w:r>
      <w:r>
        <w:rPr>
          <w:rFonts w:hint="eastAsia" w:ascii="Calibri" w:hAnsi="Calibri"/>
          <w:szCs w:val="22"/>
        </w:rPr>
        <w:t>应能以标准方式（包括但不限于格式文件、</w:t>
      </w:r>
      <w:r>
        <w:rPr>
          <w:rFonts w:ascii="Calibri" w:hAnsi="Calibri"/>
          <w:szCs w:val="22"/>
        </w:rPr>
        <w:t>XML</w:t>
      </w:r>
      <w:r>
        <w:rPr>
          <w:rFonts w:hint="eastAsia" w:ascii="Calibri" w:hAnsi="Calibri"/>
          <w:szCs w:val="22"/>
        </w:rPr>
        <w:t>文件、</w:t>
      </w:r>
      <w:r>
        <w:rPr>
          <w:rFonts w:ascii="Calibri" w:hAnsi="Calibri"/>
          <w:szCs w:val="22"/>
        </w:rPr>
        <w:t>ODBC</w:t>
      </w:r>
      <w:r>
        <w:rPr>
          <w:rFonts w:hint="eastAsia" w:ascii="Calibri" w:hAnsi="Calibri"/>
          <w:szCs w:val="22"/>
        </w:rPr>
        <w:t>连接等）支持与其它常用关系数据库的数据交换，支持数据导入与导出。</w:t>
      </w:r>
    </w:p>
    <w:p w14:paraId="05E2EAF4">
      <w:pPr>
        <w:pStyle w:val="243"/>
        <w:widowControl w:val="0"/>
        <w:tabs>
          <w:tab w:val="left" w:pos="567"/>
        </w:tabs>
        <w:spacing w:before="0"/>
        <w:ind w:firstLine="240"/>
        <w:rPr>
          <w:rFonts w:ascii="Calibri" w:hAnsi="Calibri"/>
          <w:szCs w:val="22"/>
        </w:rPr>
      </w:pPr>
      <w:r>
        <w:rPr>
          <w:rFonts w:ascii="Calibri" w:hAnsi="Calibri"/>
          <w:szCs w:val="22"/>
        </w:rPr>
        <w:t>l)</w:t>
      </w:r>
      <w:r>
        <w:rPr>
          <w:rFonts w:ascii="Calibri" w:hAnsi="Calibri"/>
          <w:szCs w:val="22"/>
        </w:rPr>
        <w:tab/>
      </w:r>
      <w:r>
        <w:rPr>
          <w:rFonts w:hint="eastAsia" w:ascii="Calibri" w:hAnsi="Calibri"/>
          <w:szCs w:val="22"/>
        </w:rPr>
        <w:t>具有完善的数据备份、恢复机制，可通过计划任务及脚本等方式自动进行数据库的备份。支持使用磁盘、可刻录光盘、基于</w:t>
      </w:r>
      <w:r>
        <w:rPr>
          <w:rFonts w:ascii="Calibri" w:hAnsi="Calibri"/>
          <w:szCs w:val="22"/>
        </w:rPr>
        <w:t>SAN</w:t>
      </w:r>
      <w:r>
        <w:rPr>
          <w:rFonts w:hint="eastAsia" w:ascii="Calibri" w:hAnsi="Calibri"/>
          <w:szCs w:val="22"/>
        </w:rPr>
        <w:t>的备份磁盘阵列或磁带库（包括虚拟带库）等方式进行数据备份。</w:t>
      </w:r>
    </w:p>
    <w:p w14:paraId="6D5C3E3F">
      <w:pPr>
        <w:pStyle w:val="243"/>
        <w:widowControl w:val="0"/>
        <w:tabs>
          <w:tab w:val="left" w:pos="567"/>
        </w:tabs>
        <w:spacing w:before="0"/>
        <w:ind w:firstLine="240"/>
        <w:rPr>
          <w:rFonts w:ascii="Calibri" w:hAnsi="Calibri"/>
        </w:rPr>
      </w:pPr>
      <w:r>
        <w:rPr>
          <w:rFonts w:ascii="Calibri" w:hAnsi="Calibri"/>
        </w:rPr>
        <w:t>m)</w:t>
      </w:r>
      <w:r>
        <w:rPr>
          <w:rFonts w:ascii="Calibri" w:hAnsi="Calibri"/>
        </w:rPr>
        <w:tab/>
      </w:r>
      <w:r>
        <w:rPr>
          <w:rFonts w:hint="eastAsia" w:ascii="Calibri" w:hAnsi="Calibri"/>
        </w:rPr>
        <w:t>所选用（包括推荐的其它品牌）的关系数据库产品能满足系统对容量、可靠性、实时性、安全性、开放性、合法性、可维护性等方面的要求，所选用的数据库版本应为该产品的最新稳定运行版，系统应能与其良好匹配。</w:t>
      </w:r>
    </w:p>
    <w:p w14:paraId="06CCEC27">
      <w:pPr>
        <w:pStyle w:val="243"/>
        <w:widowControl w:val="0"/>
        <w:tabs>
          <w:tab w:val="left" w:pos="567"/>
        </w:tabs>
        <w:spacing w:before="0"/>
        <w:ind w:firstLine="240"/>
        <w:rPr>
          <w:rFonts w:ascii="Calibri" w:hAnsi="Calibri"/>
        </w:rPr>
      </w:pPr>
      <w:r>
        <w:rPr>
          <w:rFonts w:ascii="Calibri" w:hAnsi="Calibri"/>
        </w:rPr>
        <w:t>n)</w:t>
      </w:r>
      <w:r>
        <w:rPr>
          <w:rFonts w:ascii="Calibri" w:hAnsi="Calibri"/>
        </w:rPr>
        <w:tab/>
      </w:r>
      <w:r>
        <w:rPr>
          <w:rFonts w:hint="eastAsia" w:ascii="Calibri" w:hAnsi="Calibri"/>
        </w:rPr>
        <w:t>卖方必须取得所用产品的合法使用授权，并购买数量足够的使用许可（应满足系统生命周期内无需再追加购买使用许可），其最终授权用户须为最终用户。提供的产品及授权数应满足本工程建设需求。</w:t>
      </w:r>
    </w:p>
    <w:p w14:paraId="7E8C51FB">
      <w:pPr>
        <w:pStyle w:val="243"/>
        <w:widowControl w:val="0"/>
        <w:tabs>
          <w:tab w:val="left" w:pos="567"/>
        </w:tabs>
        <w:spacing w:before="0"/>
        <w:ind w:firstLine="240"/>
        <w:rPr>
          <w:rFonts w:ascii="Calibri" w:hAnsi="Calibri"/>
        </w:rPr>
      </w:pPr>
      <w:r>
        <w:rPr>
          <w:rFonts w:ascii="Calibri" w:hAnsi="Calibri"/>
        </w:rPr>
        <w:t>o)</w:t>
      </w:r>
      <w:r>
        <w:rPr>
          <w:rFonts w:ascii="Calibri" w:hAnsi="Calibri"/>
        </w:rPr>
        <w:tab/>
      </w:r>
      <w:r>
        <w:rPr>
          <w:rFonts w:hint="eastAsia" w:ascii="Calibri" w:hAnsi="Calibri"/>
        </w:rPr>
        <w:t>卖方须对所选用产品的可用性、合法性等负全部责任，在项目施工及运行期间，如果因为数据库原因导致系统容量、性能、可靠性、可用性、合法性等方面的问题，卖方需承担全部整改责任，必要时卖方需按照买方的要求更换数据库产品品牌或版本，或追加购买使用许可，并由卖方承担由此引起的一切损失。</w:t>
      </w:r>
    </w:p>
    <w:p w14:paraId="683204C4">
      <w:pPr>
        <w:pStyle w:val="243"/>
        <w:widowControl w:val="0"/>
        <w:tabs>
          <w:tab w:val="left" w:pos="567"/>
        </w:tabs>
        <w:spacing w:before="0"/>
        <w:ind w:firstLine="240"/>
        <w:rPr>
          <w:rFonts w:ascii="Calibri" w:hAnsi="Calibri"/>
        </w:rPr>
      </w:pPr>
      <w:r>
        <w:rPr>
          <w:rFonts w:ascii="Calibri" w:hAnsi="Calibri"/>
        </w:rPr>
        <w:t>p)</w:t>
      </w:r>
      <w:r>
        <w:rPr>
          <w:rFonts w:ascii="Calibri" w:hAnsi="Calibri"/>
        </w:rPr>
        <w:tab/>
      </w:r>
      <w:r>
        <w:rPr>
          <w:rFonts w:hint="eastAsia" w:ascii="Calibri" w:hAnsi="Calibri"/>
        </w:rPr>
        <w:t>关系数据库（一档）（省级、广深、大型地调使用）要求配置用户数不低于</w:t>
      </w:r>
      <w:r>
        <w:rPr>
          <w:rFonts w:ascii="Calibri" w:hAnsi="Calibri"/>
        </w:rPr>
        <w:t>100</w:t>
      </w:r>
      <w:r>
        <w:rPr>
          <w:rFonts w:hint="eastAsia" w:ascii="Calibri" w:hAnsi="Calibri"/>
        </w:rPr>
        <w:t>个。</w:t>
      </w:r>
    </w:p>
    <w:p w14:paraId="61EDB356">
      <w:pPr>
        <w:pStyle w:val="243"/>
        <w:widowControl w:val="0"/>
        <w:tabs>
          <w:tab w:val="left" w:pos="567"/>
        </w:tabs>
        <w:spacing w:before="0"/>
        <w:ind w:firstLine="240"/>
        <w:rPr>
          <w:rFonts w:ascii="Calibri" w:hAnsi="Calibri"/>
        </w:rPr>
      </w:pPr>
      <w:r>
        <w:rPr>
          <w:rFonts w:ascii="Calibri" w:hAnsi="Calibri"/>
        </w:rPr>
        <w:t>q)</w:t>
      </w:r>
      <w:r>
        <w:rPr>
          <w:rFonts w:ascii="Calibri" w:hAnsi="Calibri"/>
        </w:rPr>
        <w:tab/>
      </w:r>
      <w:r>
        <w:rPr>
          <w:rFonts w:hint="eastAsia" w:ascii="Calibri" w:hAnsi="Calibri"/>
        </w:rPr>
        <w:t>关系数据库（二档）（中型、小型地调使用）要求配置用户数不低于</w:t>
      </w:r>
      <w:r>
        <w:rPr>
          <w:rFonts w:ascii="Calibri" w:hAnsi="Calibri"/>
        </w:rPr>
        <w:t>50</w:t>
      </w:r>
      <w:r>
        <w:rPr>
          <w:rFonts w:hint="eastAsia" w:ascii="Calibri" w:hAnsi="Calibri"/>
        </w:rPr>
        <w:t>个。</w:t>
      </w:r>
    </w:p>
    <w:p w14:paraId="7705C5CD">
      <w:pPr>
        <w:pStyle w:val="7"/>
        <w:spacing w:before="0" w:after="0"/>
        <w:ind w:left="862" w:hanging="862"/>
      </w:pPr>
      <w:r>
        <w:rPr>
          <w:rFonts w:hint="eastAsia"/>
        </w:rPr>
        <w:t>时序数据库配置要求</w:t>
      </w:r>
    </w:p>
    <w:p w14:paraId="33824854">
      <w:pPr>
        <w:pStyle w:val="409"/>
        <w:snapToGrid/>
        <w:spacing w:before="120" w:after="120" w:line="360" w:lineRule="auto"/>
        <w:ind w:firstLine="480"/>
        <w:rPr>
          <w:rFonts w:hint="eastAsia"/>
          <w:sz w:val="24"/>
          <w:szCs w:val="22"/>
        </w:rPr>
      </w:pPr>
      <w:r>
        <w:rPr>
          <w:rFonts w:hint="eastAsia"/>
          <w:sz w:val="24"/>
          <w:szCs w:val="22"/>
        </w:rPr>
        <w:t>系统宜配置时间序列数据库存储各种带时标的运行数据。</w:t>
      </w:r>
    </w:p>
    <w:p w14:paraId="281D85ED">
      <w:pPr>
        <w:pStyle w:val="409"/>
        <w:snapToGrid/>
        <w:spacing w:before="120" w:after="120" w:line="360" w:lineRule="auto"/>
        <w:ind w:firstLine="480"/>
        <w:rPr>
          <w:rFonts w:hint="eastAsia"/>
          <w:sz w:val="24"/>
        </w:rPr>
      </w:pPr>
      <w:r>
        <w:rPr>
          <w:rFonts w:hint="eastAsia"/>
          <w:sz w:val="24"/>
        </w:rPr>
        <w:t>时间序列数据库应具备较高的数据压缩率，数据压缩比应大于</w:t>
      </w:r>
      <w:r>
        <w:rPr>
          <w:sz w:val="24"/>
        </w:rPr>
        <w:t>10</w:t>
      </w:r>
      <w:r>
        <w:rPr>
          <w:rFonts w:hint="eastAsia"/>
          <w:sz w:val="24"/>
        </w:rPr>
        <w:t>倍，同时支持有损及无损压缩算法并可根据需要配置。</w:t>
      </w:r>
    </w:p>
    <w:p w14:paraId="0FA78C8C">
      <w:pPr>
        <w:pStyle w:val="409"/>
        <w:snapToGrid/>
        <w:spacing w:before="120" w:after="120" w:line="360" w:lineRule="auto"/>
        <w:ind w:firstLine="480"/>
        <w:rPr>
          <w:rFonts w:hint="eastAsia"/>
          <w:sz w:val="24"/>
        </w:rPr>
      </w:pPr>
      <w:r>
        <w:rPr>
          <w:rFonts w:hint="eastAsia"/>
          <w:sz w:val="24"/>
        </w:rPr>
        <w:t>时间序列数据库应支持多服务器分布式结构，数据可以分布存放在不同的区域</w:t>
      </w:r>
      <w:r>
        <w:rPr>
          <w:sz w:val="24"/>
        </w:rPr>
        <w:t>(</w:t>
      </w:r>
      <w:r>
        <w:rPr>
          <w:rFonts w:hint="eastAsia"/>
          <w:sz w:val="24"/>
        </w:rPr>
        <w:t>磁盘</w:t>
      </w:r>
      <w:r>
        <w:rPr>
          <w:sz w:val="24"/>
        </w:rPr>
        <w:t>)</w:t>
      </w:r>
      <w:r>
        <w:rPr>
          <w:rFonts w:hint="eastAsia"/>
          <w:sz w:val="24"/>
        </w:rPr>
        <w:t>，支持冗余配置并具备负载均衡能力。</w:t>
      </w:r>
    </w:p>
    <w:p w14:paraId="29C79A39">
      <w:pPr>
        <w:pStyle w:val="409"/>
        <w:snapToGrid/>
        <w:spacing w:before="120" w:after="120" w:line="360" w:lineRule="auto"/>
        <w:ind w:firstLine="480"/>
        <w:rPr>
          <w:rFonts w:hint="eastAsia"/>
          <w:sz w:val="24"/>
        </w:rPr>
      </w:pPr>
      <w:r>
        <w:rPr>
          <w:rFonts w:hint="eastAsia"/>
          <w:sz w:val="24"/>
        </w:rPr>
        <w:t>宜在</w:t>
      </w:r>
      <w:r>
        <w:rPr>
          <w:sz w:val="24"/>
        </w:rPr>
        <w:t>II</w:t>
      </w:r>
      <w:r>
        <w:rPr>
          <w:rFonts w:hint="eastAsia"/>
          <w:sz w:val="24"/>
        </w:rPr>
        <w:t>区（同时支持</w:t>
      </w:r>
      <w:r>
        <w:rPr>
          <w:sz w:val="24"/>
        </w:rPr>
        <w:t>I</w:t>
      </w:r>
      <w:r>
        <w:rPr>
          <w:rFonts w:hint="eastAsia"/>
          <w:sz w:val="24"/>
        </w:rPr>
        <w:t>、</w:t>
      </w:r>
      <w:r>
        <w:rPr>
          <w:sz w:val="24"/>
        </w:rPr>
        <w:t>II</w:t>
      </w:r>
      <w:r>
        <w:rPr>
          <w:rFonts w:hint="eastAsia"/>
          <w:sz w:val="24"/>
        </w:rPr>
        <w:t>区）和</w:t>
      </w:r>
      <w:r>
        <w:rPr>
          <w:sz w:val="24"/>
        </w:rPr>
        <w:t>III</w:t>
      </w:r>
      <w:r>
        <w:rPr>
          <w:rFonts w:hint="eastAsia"/>
          <w:sz w:val="24"/>
        </w:rPr>
        <w:t>区配置公用的时间序列数据库。</w:t>
      </w:r>
    </w:p>
    <w:p w14:paraId="69743B7F">
      <w:pPr>
        <w:pStyle w:val="243"/>
        <w:spacing w:before="120"/>
        <w:ind w:firstLine="240"/>
        <w:rPr>
          <w:rFonts w:ascii="Calibri" w:hAnsi="Calibri"/>
        </w:rPr>
      </w:pPr>
      <w:r>
        <w:rPr>
          <w:rFonts w:hint="eastAsia" w:ascii="Calibri" w:hAnsi="Calibri"/>
        </w:rPr>
        <w:t>时间序列数据库应支持通过隔离装置将</w:t>
      </w:r>
      <w:r>
        <w:rPr>
          <w:rFonts w:ascii="Calibri" w:hAnsi="Calibri"/>
        </w:rPr>
        <w:t>I</w:t>
      </w:r>
      <w:r>
        <w:rPr>
          <w:rFonts w:hint="eastAsia" w:ascii="Calibri" w:hAnsi="Calibri"/>
        </w:rPr>
        <w:t>、</w:t>
      </w:r>
      <w:r>
        <w:rPr>
          <w:rFonts w:ascii="Calibri" w:hAnsi="Calibri"/>
        </w:rPr>
        <w:t>II</w:t>
      </w:r>
      <w:r>
        <w:rPr>
          <w:rFonts w:hint="eastAsia" w:ascii="Calibri" w:hAnsi="Calibri"/>
        </w:rPr>
        <w:t>区的数据镜像同步到</w:t>
      </w:r>
      <w:r>
        <w:rPr>
          <w:rFonts w:ascii="Calibri" w:hAnsi="Calibri"/>
        </w:rPr>
        <w:t>III</w:t>
      </w:r>
      <w:r>
        <w:rPr>
          <w:rFonts w:hint="eastAsia" w:ascii="Calibri" w:hAnsi="Calibri"/>
        </w:rPr>
        <w:t>区，</w:t>
      </w:r>
      <w:r>
        <w:rPr>
          <w:rFonts w:ascii="Calibri" w:hAnsi="Calibri"/>
        </w:rPr>
        <w:t>III</w:t>
      </w:r>
      <w:r>
        <w:rPr>
          <w:rFonts w:hint="eastAsia" w:ascii="Calibri" w:hAnsi="Calibri"/>
        </w:rPr>
        <w:t>区数据的同步延时小于</w:t>
      </w:r>
      <w:r>
        <w:rPr>
          <w:rFonts w:ascii="Calibri" w:hAnsi="Calibri"/>
        </w:rPr>
        <w:t>1</w:t>
      </w:r>
      <w:r>
        <w:rPr>
          <w:rFonts w:hint="eastAsia" w:ascii="Calibri" w:hAnsi="Calibri"/>
        </w:rPr>
        <w:t>分钟。</w:t>
      </w:r>
    </w:p>
    <w:p w14:paraId="2B1B5938">
      <w:pPr>
        <w:pStyle w:val="243"/>
        <w:widowControl w:val="0"/>
        <w:tabs>
          <w:tab w:val="left" w:pos="567"/>
        </w:tabs>
        <w:spacing w:before="0"/>
        <w:ind w:firstLine="240"/>
        <w:rPr>
          <w:rFonts w:ascii="Calibri" w:hAnsi="Calibri"/>
        </w:rPr>
      </w:pPr>
      <w:r>
        <w:rPr>
          <w:rFonts w:hint="eastAsia" w:ascii="Calibri" w:hAnsi="Calibri"/>
        </w:rPr>
        <w:t>对时序数据库的基本要求如下：</w:t>
      </w:r>
    </w:p>
    <w:p w14:paraId="533A8A44">
      <w:pPr>
        <w:pStyle w:val="243"/>
        <w:widowControl w:val="0"/>
        <w:tabs>
          <w:tab w:val="left" w:pos="567"/>
        </w:tabs>
        <w:spacing w:before="0"/>
        <w:ind w:firstLine="240"/>
        <w:rPr>
          <w:rFonts w:ascii="Calibri" w:hAnsi="Calibri"/>
        </w:rPr>
      </w:pPr>
      <w:r>
        <w:rPr>
          <w:rFonts w:ascii="Calibri" w:hAnsi="Calibri"/>
        </w:rPr>
        <w:t>a)</w:t>
      </w:r>
      <w:r>
        <w:rPr>
          <w:rFonts w:ascii="Calibri" w:hAnsi="Calibri"/>
        </w:rPr>
        <w:tab/>
      </w:r>
      <w:r>
        <w:rPr>
          <w:rFonts w:hint="eastAsia" w:ascii="Calibri" w:hAnsi="Calibri"/>
        </w:rPr>
        <w:t>所采用的时间序列数据库宜按集群方式配置运行，应配置相应的集群软件并能与所选用的时序数据库软件良好配合。</w:t>
      </w:r>
    </w:p>
    <w:p w14:paraId="07D73324">
      <w:pPr>
        <w:pStyle w:val="243"/>
        <w:widowControl w:val="0"/>
        <w:tabs>
          <w:tab w:val="left" w:pos="567"/>
        </w:tabs>
        <w:spacing w:before="0"/>
        <w:ind w:firstLine="240"/>
        <w:rPr>
          <w:rFonts w:ascii="Calibri" w:hAnsi="Calibri"/>
        </w:rPr>
      </w:pPr>
      <w:r>
        <w:rPr>
          <w:rFonts w:ascii="Calibri" w:hAnsi="Calibri"/>
        </w:rPr>
        <w:t>b)</w:t>
      </w:r>
      <w:r>
        <w:rPr>
          <w:rFonts w:ascii="Calibri" w:hAnsi="Calibri"/>
        </w:rPr>
        <w:tab/>
      </w:r>
      <w:r>
        <w:rPr>
          <w:rFonts w:hint="eastAsia" w:ascii="Calibri" w:hAnsi="Calibri"/>
        </w:rPr>
        <w:t>能够通过</w:t>
      </w:r>
      <w:r>
        <w:rPr>
          <w:rFonts w:ascii="Calibri" w:hAnsi="Calibri"/>
        </w:rPr>
        <w:t>CIM</w:t>
      </w:r>
      <w:r>
        <w:rPr>
          <w:rFonts w:hint="eastAsia" w:ascii="Calibri" w:hAnsi="Calibri"/>
        </w:rPr>
        <w:t>模型实现关系型数据库和时序数据库之间存储的自动对应。</w:t>
      </w:r>
    </w:p>
    <w:p w14:paraId="65D196C9">
      <w:pPr>
        <w:pStyle w:val="243"/>
        <w:widowControl w:val="0"/>
        <w:tabs>
          <w:tab w:val="left" w:pos="567"/>
        </w:tabs>
        <w:spacing w:before="0"/>
        <w:ind w:firstLine="240"/>
        <w:rPr>
          <w:rFonts w:ascii="Calibri" w:hAnsi="Calibri"/>
        </w:rPr>
      </w:pPr>
      <w:r>
        <w:rPr>
          <w:rFonts w:ascii="Calibri" w:hAnsi="Calibri"/>
        </w:rPr>
        <w:t>c)</w:t>
      </w:r>
      <w:r>
        <w:rPr>
          <w:rFonts w:ascii="Calibri" w:hAnsi="Calibri"/>
        </w:rPr>
        <w:tab/>
      </w:r>
      <w:r>
        <w:rPr>
          <w:rFonts w:hint="eastAsia" w:ascii="Calibri" w:hAnsi="Calibri"/>
        </w:rPr>
        <w:t>能够满足系统所有电网运行数据的实时保存、读取和查询的功能需要。</w:t>
      </w:r>
    </w:p>
    <w:p w14:paraId="34928B64">
      <w:pPr>
        <w:pStyle w:val="243"/>
        <w:widowControl w:val="0"/>
        <w:tabs>
          <w:tab w:val="left" w:pos="567"/>
        </w:tabs>
        <w:spacing w:before="0"/>
        <w:ind w:firstLine="240"/>
        <w:rPr>
          <w:rFonts w:ascii="Calibri" w:hAnsi="Calibri"/>
        </w:rPr>
      </w:pPr>
      <w:r>
        <w:rPr>
          <w:rFonts w:ascii="Calibri" w:hAnsi="Calibri"/>
        </w:rPr>
        <w:t>d)</w:t>
      </w:r>
      <w:r>
        <w:rPr>
          <w:rFonts w:ascii="Calibri" w:hAnsi="Calibri"/>
        </w:rPr>
        <w:tab/>
      </w:r>
      <w:r>
        <w:rPr>
          <w:rFonts w:hint="eastAsia" w:ascii="Calibri" w:hAnsi="Calibri"/>
        </w:rPr>
        <w:t>系统应支持多服务器、多客户端分布式结构，数据库的历史数据可以分布存放在不同的区域</w:t>
      </w:r>
      <w:r>
        <w:rPr>
          <w:rFonts w:ascii="Calibri" w:hAnsi="Calibri"/>
        </w:rPr>
        <w:t>(</w:t>
      </w:r>
      <w:r>
        <w:rPr>
          <w:rFonts w:hint="eastAsia" w:ascii="Calibri" w:hAnsi="Calibri"/>
        </w:rPr>
        <w:t>磁盘</w:t>
      </w:r>
      <w:r>
        <w:rPr>
          <w:rFonts w:ascii="Calibri" w:hAnsi="Calibri"/>
        </w:rPr>
        <w:t>)</w:t>
      </w:r>
      <w:r>
        <w:rPr>
          <w:rFonts w:hint="eastAsia" w:ascii="Calibri" w:hAnsi="Calibri"/>
        </w:rPr>
        <w:t>。</w:t>
      </w:r>
    </w:p>
    <w:p w14:paraId="74FA4428">
      <w:pPr>
        <w:pStyle w:val="243"/>
        <w:widowControl w:val="0"/>
        <w:tabs>
          <w:tab w:val="left" w:pos="567"/>
        </w:tabs>
        <w:spacing w:before="0"/>
        <w:ind w:firstLine="240"/>
        <w:rPr>
          <w:rFonts w:ascii="Calibri" w:hAnsi="Calibri"/>
        </w:rPr>
      </w:pPr>
      <w:r>
        <w:rPr>
          <w:rFonts w:ascii="Calibri" w:hAnsi="Calibri"/>
        </w:rPr>
        <w:t>e)</w:t>
      </w:r>
      <w:r>
        <w:rPr>
          <w:rFonts w:ascii="Calibri" w:hAnsi="Calibri"/>
        </w:rPr>
        <w:tab/>
      </w:r>
      <w:r>
        <w:rPr>
          <w:rFonts w:hint="eastAsia" w:ascii="Calibri" w:hAnsi="Calibri"/>
        </w:rPr>
        <w:t>当主站系统有新增数据接入时，只需增加数据库服务器的存储容量，而不需要进行任何软件方面的扩容。</w:t>
      </w:r>
    </w:p>
    <w:p w14:paraId="4015A1A6">
      <w:pPr>
        <w:pStyle w:val="243"/>
        <w:widowControl w:val="0"/>
        <w:tabs>
          <w:tab w:val="left" w:pos="567"/>
        </w:tabs>
        <w:spacing w:before="0"/>
        <w:ind w:firstLine="240"/>
        <w:rPr>
          <w:rFonts w:ascii="Calibri" w:hAnsi="Calibri"/>
        </w:rPr>
      </w:pPr>
      <w:r>
        <w:rPr>
          <w:rFonts w:ascii="Calibri" w:hAnsi="Calibri"/>
        </w:rPr>
        <w:t>f)</w:t>
      </w:r>
      <w:r>
        <w:rPr>
          <w:rFonts w:ascii="Calibri" w:hAnsi="Calibri"/>
        </w:rPr>
        <w:tab/>
      </w:r>
      <w:r>
        <w:rPr>
          <w:rFonts w:hint="eastAsia" w:ascii="Calibri" w:hAnsi="Calibri"/>
        </w:rPr>
        <w:t>时间序列数据库点数配置必须能够实现在线的灵活扩充，对数据库点数等的各种配置操作不能影响系统的实时在线运行。</w:t>
      </w:r>
    </w:p>
    <w:p w14:paraId="18E74588">
      <w:pPr>
        <w:pStyle w:val="243"/>
        <w:widowControl w:val="0"/>
        <w:tabs>
          <w:tab w:val="left" w:pos="567"/>
        </w:tabs>
        <w:spacing w:before="0"/>
        <w:ind w:firstLine="240"/>
        <w:rPr>
          <w:rFonts w:ascii="Calibri" w:hAnsi="Calibri"/>
        </w:rPr>
      </w:pPr>
      <w:r>
        <w:rPr>
          <w:rFonts w:ascii="Calibri" w:hAnsi="Calibri"/>
        </w:rPr>
        <w:t>g)</w:t>
      </w:r>
      <w:r>
        <w:rPr>
          <w:rFonts w:ascii="Calibri" w:hAnsi="Calibri"/>
        </w:rPr>
        <w:tab/>
      </w:r>
      <w:r>
        <w:rPr>
          <w:rFonts w:hint="eastAsia" w:ascii="Calibri" w:hAnsi="Calibri"/>
        </w:rPr>
        <w:t>数据库系统应具有良好的透明度和二次开发能力，各系统功能应用不能因此数据库的使用而受到限制，同时可方便地对数据库进行维护、开发和利用。</w:t>
      </w:r>
    </w:p>
    <w:p w14:paraId="7B633F48">
      <w:pPr>
        <w:pStyle w:val="243"/>
        <w:widowControl w:val="0"/>
        <w:tabs>
          <w:tab w:val="left" w:pos="567"/>
        </w:tabs>
        <w:spacing w:before="0"/>
        <w:ind w:firstLine="240"/>
        <w:rPr>
          <w:rFonts w:ascii="Calibri" w:hAnsi="Calibri"/>
        </w:rPr>
      </w:pPr>
      <w:r>
        <w:rPr>
          <w:rFonts w:ascii="Calibri" w:hAnsi="Calibri"/>
        </w:rPr>
        <w:t>h)</w:t>
      </w:r>
      <w:r>
        <w:rPr>
          <w:rFonts w:ascii="Calibri" w:hAnsi="Calibri"/>
        </w:rPr>
        <w:tab/>
      </w:r>
      <w:r>
        <w:rPr>
          <w:rFonts w:hint="eastAsia" w:ascii="Calibri" w:hAnsi="Calibri"/>
        </w:rPr>
        <w:t>数据库能够通过隔离装置将相应内容镜像到外网，内外网之间数据同步延时不高于</w:t>
      </w:r>
      <w:r>
        <w:rPr>
          <w:rFonts w:ascii="Calibri" w:hAnsi="Calibri"/>
        </w:rPr>
        <w:t>10</w:t>
      </w:r>
      <w:r>
        <w:rPr>
          <w:rFonts w:hint="eastAsia" w:ascii="Calibri" w:hAnsi="Calibri"/>
        </w:rPr>
        <w:t>秒并可根据需要进一步优化调整。</w:t>
      </w:r>
    </w:p>
    <w:p w14:paraId="297F94EF">
      <w:pPr>
        <w:pStyle w:val="243"/>
        <w:widowControl w:val="0"/>
        <w:tabs>
          <w:tab w:val="left" w:pos="567"/>
        </w:tabs>
        <w:spacing w:before="0"/>
        <w:ind w:firstLine="240"/>
        <w:rPr>
          <w:rFonts w:ascii="Calibri" w:hAnsi="Calibri"/>
        </w:rPr>
      </w:pPr>
      <w:r>
        <w:rPr>
          <w:rFonts w:ascii="Calibri" w:hAnsi="Calibri"/>
        </w:rPr>
        <w:t>i)</w:t>
      </w:r>
      <w:r>
        <w:rPr>
          <w:rFonts w:ascii="Calibri" w:hAnsi="Calibri"/>
        </w:rPr>
        <w:tab/>
      </w:r>
      <w:r>
        <w:rPr>
          <w:rFonts w:hint="eastAsia" w:ascii="Calibri" w:hAnsi="Calibri"/>
        </w:rPr>
        <w:t>数据库所有的实时数据处理模块、历史数据处理模块应具备数据镜像和数据复制功能。</w:t>
      </w:r>
    </w:p>
    <w:p w14:paraId="1E815E55">
      <w:pPr>
        <w:pStyle w:val="243"/>
        <w:widowControl w:val="0"/>
        <w:tabs>
          <w:tab w:val="left" w:pos="567"/>
        </w:tabs>
        <w:spacing w:before="0"/>
        <w:ind w:firstLine="240"/>
        <w:rPr>
          <w:rFonts w:ascii="Calibri" w:hAnsi="Calibri"/>
        </w:rPr>
      </w:pPr>
      <w:r>
        <w:rPr>
          <w:rFonts w:ascii="Calibri" w:hAnsi="Calibri"/>
        </w:rPr>
        <w:t>j)</w:t>
      </w:r>
      <w:r>
        <w:rPr>
          <w:rFonts w:ascii="Calibri" w:hAnsi="Calibri"/>
        </w:rPr>
        <w:tab/>
      </w:r>
      <w:r>
        <w:rPr>
          <w:rFonts w:hint="eastAsia" w:ascii="Calibri" w:hAnsi="Calibri"/>
        </w:rPr>
        <w:t>提供基于操作系统和实时数据库的双重用户的身份验证，确保实时数据库系统安全稳定可靠运行。</w:t>
      </w:r>
    </w:p>
    <w:p w14:paraId="640C9D9F">
      <w:pPr>
        <w:pStyle w:val="243"/>
        <w:widowControl w:val="0"/>
        <w:tabs>
          <w:tab w:val="left" w:pos="567"/>
        </w:tabs>
        <w:spacing w:before="0"/>
        <w:ind w:firstLine="240"/>
        <w:rPr>
          <w:rFonts w:ascii="Calibri" w:hAnsi="Calibri"/>
        </w:rPr>
      </w:pPr>
      <w:r>
        <w:rPr>
          <w:rFonts w:ascii="Calibri" w:hAnsi="Calibri"/>
        </w:rPr>
        <w:t>k)</w:t>
      </w:r>
      <w:r>
        <w:rPr>
          <w:rFonts w:ascii="Calibri" w:hAnsi="Calibri"/>
        </w:rPr>
        <w:tab/>
      </w:r>
      <w:r>
        <w:rPr>
          <w:rFonts w:hint="eastAsia" w:ascii="Calibri" w:hAnsi="Calibri"/>
        </w:rPr>
        <w:t>数据存储、查询、转发等处理能力应达到</w:t>
      </w:r>
      <w:r>
        <w:rPr>
          <w:rFonts w:ascii="Calibri" w:hAnsi="Calibri"/>
        </w:rPr>
        <w:t>1,000,000</w:t>
      </w:r>
      <w:r>
        <w:rPr>
          <w:rFonts w:hint="eastAsia" w:ascii="Calibri" w:hAnsi="Calibri"/>
        </w:rPr>
        <w:t>点</w:t>
      </w:r>
      <w:r>
        <w:rPr>
          <w:rFonts w:ascii="Calibri" w:hAnsi="Calibri"/>
        </w:rPr>
        <w:t>/</w:t>
      </w:r>
      <w:r>
        <w:rPr>
          <w:rFonts w:hint="eastAsia" w:ascii="Calibri" w:hAnsi="Calibri"/>
        </w:rPr>
        <w:t>秒。</w:t>
      </w:r>
    </w:p>
    <w:p w14:paraId="5307C62F">
      <w:pPr>
        <w:pStyle w:val="243"/>
        <w:widowControl w:val="0"/>
        <w:tabs>
          <w:tab w:val="left" w:pos="567"/>
        </w:tabs>
        <w:spacing w:before="0"/>
        <w:ind w:firstLine="240"/>
        <w:rPr>
          <w:rFonts w:ascii="Calibri" w:hAnsi="Calibri"/>
        </w:rPr>
      </w:pPr>
      <w:r>
        <w:rPr>
          <w:rFonts w:ascii="Calibri" w:hAnsi="Calibri"/>
        </w:rPr>
        <w:t>l)</w:t>
      </w:r>
      <w:r>
        <w:rPr>
          <w:rFonts w:ascii="Calibri" w:hAnsi="Calibri"/>
        </w:rPr>
        <w:tab/>
      </w:r>
      <w:r>
        <w:rPr>
          <w:rFonts w:hint="eastAsia" w:ascii="Calibri" w:hAnsi="Calibri"/>
        </w:rPr>
        <w:t>数据无损压缩比应大于</w:t>
      </w:r>
      <w:r>
        <w:rPr>
          <w:rFonts w:ascii="Calibri" w:hAnsi="Calibri"/>
        </w:rPr>
        <w:t>10</w:t>
      </w:r>
      <w:r>
        <w:rPr>
          <w:rFonts w:hint="eastAsia" w:ascii="Calibri" w:hAnsi="Calibri"/>
        </w:rPr>
        <w:t>倍。</w:t>
      </w:r>
    </w:p>
    <w:p w14:paraId="6C4AE8B7">
      <w:pPr>
        <w:pStyle w:val="243"/>
        <w:widowControl w:val="0"/>
        <w:tabs>
          <w:tab w:val="left" w:pos="567"/>
        </w:tabs>
        <w:spacing w:before="0"/>
        <w:ind w:firstLine="240"/>
        <w:rPr>
          <w:rFonts w:ascii="Calibri" w:hAnsi="Calibri"/>
        </w:rPr>
      </w:pPr>
      <w:r>
        <w:rPr>
          <w:rFonts w:ascii="Calibri" w:hAnsi="Calibri"/>
        </w:rPr>
        <w:t>m)</w:t>
      </w:r>
      <w:r>
        <w:rPr>
          <w:rFonts w:ascii="Calibri" w:hAnsi="Calibri"/>
        </w:rPr>
        <w:tab/>
      </w:r>
      <w:r>
        <w:rPr>
          <w:rFonts w:hint="eastAsia" w:ascii="Calibri" w:hAnsi="Calibri"/>
        </w:rPr>
        <w:t>数据库系统应能对其运行状况进行自诊断，并具备对故障的自动恢复能力。突然断电后，系统具备无需配置重新启动的功能。</w:t>
      </w:r>
    </w:p>
    <w:p w14:paraId="10CEA70D">
      <w:pPr>
        <w:pStyle w:val="243"/>
        <w:widowControl w:val="0"/>
        <w:tabs>
          <w:tab w:val="left" w:pos="567"/>
        </w:tabs>
        <w:spacing w:before="0"/>
        <w:ind w:firstLine="240"/>
        <w:rPr>
          <w:rFonts w:ascii="Calibri" w:hAnsi="Calibri"/>
        </w:rPr>
      </w:pPr>
      <w:r>
        <w:rPr>
          <w:rFonts w:ascii="Calibri" w:hAnsi="Calibri"/>
        </w:rPr>
        <w:t>n)</w:t>
      </w:r>
      <w:r>
        <w:rPr>
          <w:rFonts w:ascii="Calibri" w:hAnsi="Calibri"/>
        </w:rPr>
        <w:tab/>
      </w:r>
      <w:r>
        <w:rPr>
          <w:rFonts w:hint="eastAsia" w:ascii="Calibri" w:hAnsi="Calibri"/>
        </w:rPr>
        <w:t>数据库客户端应具备数据本地缓存功能，其缓存大小可配置，并只受限于本地可用磁盘容量限制。在因网络故障或服务器故障等情况导致时序数据库服务不可用时，应保证本地数据不丢失（在缓存范围内时），并能在服务端恢复正常时将缓存数据写回服务器。</w:t>
      </w:r>
    </w:p>
    <w:p w14:paraId="62EB46DB">
      <w:pPr>
        <w:pStyle w:val="243"/>
        <w:widowControl w:val="0"/>
        <w:tabs>
          <w:tab w:val="left" w:pos="567"/>
        </w:tabs>
        <w:spacing w:before="0"/>
        <w:ind w:firstLine="240"/>
        <w:rPr>
          <w:rFonts w:ascii="Calibri" w:hAnsi="Calibri"/>
        </w:rPr>
      </w:pPr>
      <w:r>
        <w:rPr>
          <w:rFonts w:ascii="Calibri" w:hAnsi="Calibri"/>
        </w:rPr>
        <w:t>o)</w:t>
      </w:r>
      <w:r>
        <w:rPr>
          <w:rFonts w:ascii="Calibri" w:hAnsi="Calibri"/>
        </w:rPr>
        <w:tab/>
      </w:r>
      <w:r>
        <w:rPr>
          <w:rFonts w:hint="eastAsia" w:ascii="Calibri" w:hAnsi="Calibri"/>
        </w:rPr>
        <w:t>数据库服务端在处理缓冲数据期间，应不影响其它客户端的正常访问。</w:t>
      </w:r>
    </w:p>
    <w:p w14:paraId="770A350B">
      <w:pPr>
        <w:pStyle w:val="243"/>
        <w:widowControl w:val="0"/>
        <w:tabs>
          <w:tab w:val="left" w:pos="567"/>
        </w:tabs>
        <w:spacing w:before="0"/>
        <w:ind w:firstLine="240"/>
        <w:rPr>
          <w:rFonts w:ascii="Calibri" w:hAnsi="Calibri"/>
        </w:rPr>
      </w:pPr>
      <w:r>
        <w:rPr>
          <w:rFonts w:ascii="Calibri" w:hAnsi="Calibri"/>
        </w:rPr>
        <w:t>p)</w:t>
      </w:r>
      <w:r>
        <w:rPr>
          <w:rFonts w:ascii="Calibri" w:hAnsi="Calibri"/>
        </w:rPr>
        <w:tab/>
      </w:r>
      <w:r>
        <w:rPr>
          <w:rFonts w:hint="eastAsia" w:ascii="Calibri" w:hAnsi="Calibri"/>
        </w:rPr>
        <w:t>数据库应具备方便完善的数据备份、恢复功能，且同时支持当地备份手段和网络备份手段。支持使用磁盘、可刻录光盘、基于</w:t>
      </w:r>
      <w:r>
        <w:rPr>
          <w:rFonts w:ascii="Calibri" w:hAnsi="Calibri"/>
        </w:rPr>
        <w:t>SAN</w:t>
      </w:r>
      <w:r>
        <w:rPr>
          <w:rFonts w:hint="eastAsia" w:ascii="Calibri" w:hAnsi="Calibri"/>
        </w:rPr>
        <w:t>的备份磁盘阵列或磁带库（包括虚拟带库）等方式进行数据备份。</w:t>
      </w:r>
    </w:p>
    <w:p w14:paraId="5DA1E001">
      <w:pPr>
        <w:pStyle w:val="243"/>
        <w:widowControl w:val="0"/>
        <w:tabs>
          <w:tab w:val="left" w:pos="567"/>
        </w:tabs>
        <w:spacing w:before="0"/>
        <w:ind w:firstLine="240"/>
        <w:rPr>
          <w:rFonts w:ascii="Calibri" w:hAnsi="Calibri"/>
        </w:rPr>
      </w:pPr>
      <w:r>
        <w:rPr>
          <w:rFonts w:ascii="Calibri" w:hAnsi="Calibri"/>
        </w:rPr>
        <w:t>q)</w:t>
      </w:r>
      <w:r>
        <w:rPr>
          <w:rFonts w:ascii="Calibri" w:hAnsi="Calibri"/>
        </w:rPr>
        <w:tab/>
      </w:r>
      <w:r>
        <w:rPr>
          <w:rFonts w:hint="eastAsia" w:ascii="Calibri" w:hAnsi="Calibri"/>
        </w:rPr>
        <w:t>配置相应的客户端软件，能实时浏览实时趋势曲线、历史曲线、系统报警等信息，并且能够通过客户端软件对系统进行相关的系统配置等。客户端软件用户数量不应有限制。</w:t>
      </w:r>
    </w:p>
    <w:p w14:paraId="261B6DB1">
      <w:pPr>
        <w:pStyle w:val="243"/>
        <w:widowControl w:val="0"/>
        <w:tabs>
          <w:tab w:val="left" w:pos="567"/>
        </w:tabs>
        <w:spacing w:before="0"/>
        <w:ind w:firstLine="240"/>
        <w:rPr>
          <w:rFonts w:ascii="Calibri" w:hAnsi="Calibri"/>
        </w:rPr>
      </w:pPr>
      <w:r>
        <w:rPr>
          <w:rFonts w:ascii="Calibri" w:hAnsi="Calibri"/>
        </w:rPr>
        <w:t>r)</w:t>
      </w:r>
      <w:r>
        <w:rPr>
          <w:rFonts w:ascii="Calibri" w:hAnsi="Calibri"/>
        </w:rPr>
        <w:tab/>
      </w:r>
      <w:r>
        <w:rPr>
          <w:rFonts w:hint="eastAsia" w:ascii="Calibri" w:hAnsi="Calibri"/>
        </w:rPr>
        <w:t>提供灵活多样、完全开放、使用方便的客户端应用程序开发接口（</w:t>
      </w:r>
      <w:r>
        <w:rPr>
          <w:rFonts w:ascii="Calibri" w:hAnsi="Calibri"/>
        </w:rPr>
        <w:t>API</w:t>
      </w:r>
      <w:r>
        <w:rPr>
          <w:rFonts w:hint="eastAsia" w:ascii="Calibri" w:hAnsi="Calibri"/>
        </w:rPr>
        <w:t>），接口方式应包括但不限于</w:t>
      </w:r>
      <w:r>
        <w:rPr>
          <w:rFonts w:ascii="Calibri" w:hAnsi="Calibri"/>
        </w:rPr>
        <w:t>C</w:t>
      </w:r>
      <w:r>
        <w:rPr>
          <w:rFonts w:hint="eastAsia" w:ascii="Calibri" w:hAnsi="Calibri"/>
        </w:rPr>
        <w:t>’</w:t>
      </w:r>
      <w:r>
        <w:rPr>
          <w:rFonts w:ascii="Calibri" w:hAnsi="Calibri"/>
        </w:rPr>
        <w:t>API</w:t>
      </w:r>
      <w:r>
        <w:rPr>
          <w:rFonts w:hint="eastAsia" w:ascii="Calibri" w:hAnsi="Calibri"/>
        </w:rPr>
        <w:t>、</w:t>
      </w:r>
      <w:r>
        <w:rPr>
          <w:rFonts w:ascii="Calibri" w:hAnsi="Calibri"/>
        </w:rPr>
        <w:t>C++ API</w:t>
      </w:r>
      <w:r>
        <w:rPr>
          <w:rFonts w:hint="eastAsia" w:ascii="Calibri" w:hAnsi="Calibri"/>
        </w:rPr>
        <w:t>、</w:t>
      </w:r>
      <w:r>
        <w:rPr>
          <w:rFonts w:ascii="Calibri" w:hAnsi="Calibri"/>
        </w:rPr>
        <w:t>Java</w:t>
      </w:r>
      <w:r>
        <w:rPr>
          <w:rFonts w:hint="eastAsia" w:ascii="Calibri" w:hAnsi="Calibri"/>
        </w:rPr>
        <w:t>等。</w:t>
      </w:r>
    </w:p>
    <w:p w14:paraId="054BE54A">
      <w:pPr>
        <w:pStyle w:val="243"/>
        <w:widowControl w:val="0"/>
        <w:tabs>
          <w:tab w:val="left" w:pos="567"/>
        </w:tabs>
        <w:spacing w:before="0"/>
        <w:ind w:firstLine="240"/>
        <w:rPr>
          <w:rFonts w:ascii="Calibri" w:hAnsi="Calibri"/>
        </w:rPr>
      </w:pPr>
      <w:r>
        <w:rPr>
          <w:rFonts w:ascii="Calibri" w:hAnsi="Calibri"/>
        </w:rPr>
        <w:t>s)</w:t>
      </w:r>
      <w:r>
        <w:rPr>
          <w:rFonts w:ascii="Calibri" w:hAnsi="Calibri"/>
        </w:rPr>
        <w:tab/>
      </w:r>
      <w:r>
        <w:rPr>
          <w:rFonts w:hint="eastAsia" w:ascii="Calibri" w:hAnsi="Calibri"/>
        </w:rPr>
        <w:t>时序数据库相关客户端接口应与国内主流调度自动化系统有过工程配合实施经验，系统能正常、可靠、高效运转。</w:t>
      </w:r>
    </w:p>
    <w:p w14:paraId="4BA7EE05">
      <w:pPr>
        <w:pStyle w:val="243"/>
        <w:widowControl w:val="0"/>
        <w:tabs>
          <w:tab w:val="left" w:pos="567"/>
        </w:tabs>
        <w:spacing w:before="0"/>
        <w:ind w:firstLine="240"/>
        <w:rPr>
          <w:rFonts w:ascii="Calibri" w:hAnsi="Calibri"/>
        </w:rPr>
      </w:pPr>
      <w:r>
        <w:rPr>
          <w:rFonts w:ascii="Calibri" w:hAnsi="Calibri"/>
        </w:rPr>
        <w:t>t)</w:t>
      </w:r>
      <w:r>
        <w:rPr>
          <w:rFonts w:ascii="Calibri" w:hAnsi="Calibri"/>
        </w:rPr>
        <w:tab/>
      </w:r>
      <w:r>
        <w:rPr>
          <w:rFonts w:hint="eastAsia" w:ascii="Calibri" w:hAnsi="Calibri"/>
        </w:rPr>
        <w:t>提供系统二次开发所需的各种工具和文档（包括</w:t>
      </w:r>
      <w:r>
        <w:rPr>
          <w:rFonts w:ascii="Calibri" w:hAnsi="Calibri"/>
        </w:rPr>
        <w:t>SDK</w:t>
      </w:r>
      <w:r>
        <w:rPr>
          <w:rFonts w:hint="eastAsia" w:ascii="Calibri" w:hAnsi="Calibri"/>
        </w:rPr>
        <w:t>、</w:t>
      </w:r>
      <w:r>
        <w:rPr>
          <w:rFonts w:ascii="Calibri" w:hAnsi="Calibri"/>
        </w:rPr>
        <w:t>API</w:t>
      </w:r>
      <w:r>
        <w:rPr>
          <w:rFonts w:hint="eastAsia" w:ascii="Calibri" w:hAnsi="Calibri"/>
        </w:rPr>
        <w:t>等软件包），以方便用户进行项目的后续开发。</w:t>
      </w:r>
    </w:p>
    <w:p w14:paraId="0463211E">
      <w:pPr>
        <w:pStyle w:val="243"/>
        <w:widowControl w:val="0"/>
        <w:tabs>
          <w:tab w:val="left" w:pos="567"/>
        </w:tabs>
        <w:spacing w:before="0"/>
        <w:ind w:firstLine="240"/>
        <w:rPr>
          <w:rFonts w:ascii="Calibri" w:hAnsi="Calibri"/>
        </w:rPr>
      </w:pPr>
      <w:r>
        <w:rPr>
          <w:rFonts w:ascii="Calibri" w:hAnsi="Calibri"/>
        </w:rPr>
        <w:t>u)</w:t>
      </w:r>
      <w:r>
        <w:rPr>
          <w:rFonts w:ascii="Calibri" w:hAnsi="Calibri"/>
        </w:rPr>
        <w:tab/>
      </w:r>
      <w:r>
        <w:rPr>
          <w:rFonts w:hint="eastAsia" w:ascii="Calibri" w:hAnsi="Calibri"/>
        </w:rPr>
        <w:t>允许用户方便的自定义各类报表，进行各类数理统计、分析以及计算等。对于存储在数据库中的所有数据，通过客户化的用户定制可以方便的实现报表的制作、保存、浏览以及打印等。</w:t>
      </w:r>
    </w:p>
    <w:p w14:paraId="69FA3391">
      <w:pPr>
        <w:pStyle w:val="243"/>
        <w:widowControl w:val="0"/>
        <w:tabs>
          <w:tab w:val="left" w:pos="567"/>
        </w:tabs>
        <w:spacing w:before="0"/>
        <w:ind w:firstLine="240"/>
        <w:rPr>
          <w:rFonts w:ascii="Calibri" w:hAnsi="Calibri"/>
        </w:rPr>
      </w:pPr>
      <w:r>
        <w:rPr>
          <w:rFonts w:ascii="Calibri" w:hAnsi="Calibri"/>
        </w:rPr>
        <w:t>v)</w:t>
      </w:r>
      <w:r>
        <w:rPr>
          <w:rFonts w:ascii="Calibri" w:hAnsi="Calibri"/>
        </w:rPr>
        <w:tab/>
      </w:r>
      <w:r>
        <w:rPr>
          <w:rFonts w:hint="eastAsia" w:ascii="Calibri" w:hAnsi="Calibri"/>
        </w:rPr>
        <w:t>投标方必须保证所选用的时序数据库产品能满足系统对容量、可靠性、实时性、安全性、开放性、合法性、可维护性等方面的要求，所选用的数据库版本应为该产品的最新稳定运行版，并与其它应用软件良好匹配。</w:t>
      </w:r>
    </w:p>
    <w:p w14:paraId="3E99404E">
      <w:pPr>
        <w:pStyle w:val="243"/>
        <w:widowControl w:val="0"/>
        <w:tabs>
          <w:tab w:val="left" w:pos="567"/>
        </w:tabs>
        <w:spacing w:before="0"/>
        <w:ind w:firstLine="240"/>
        <w:rPr>
          <w:rFonts w:ascii="Calibri" w:hAnsi="Calibri"/>
        </w:rPr>
      </w:pPr>
      <w:r>
        <w:rPr>
          <w:rFonts w:ascii="Calibri" w:hAnsi="Calibri"/>
        </w:rPr>
        <w:t>w)</w:t>
      </w:r>
      <w:r>
        <w:rPr>
          <w:rFonts w:ascii="Calibri" w:hAnsi="Calibri"/>
        </w:rPr>
        <w:tab/>
      </w:r>
      <w:r>
        <w:rPr>
          <w:rFonts w:hint="eastAsia" w:ascii="Calibri" w:hAnsi="Calibri"/>
        </w:rPr>
        <w:t>所选用的时序数据库产品应能支持各种主流的硬件架构及操作系统，包括但不限于基于各种硬件平台的主流Linux等，其应能支持相应硬件平台及操作系统的最新版本并至少兼容之前两年内发布的各种版本。</w:t>
      </w:r>
    </w:p>
    <w:p w14:paraId="1844C921">
      <w:pPr>
        <w:pStyle w:val="243"/>
        <w:widowControl w:val="0"/>
        <w:tabs>
          <w:tab w:val="left" w:pos="567"/>
        </w:tabs>
        <w:spacing w:before="0"/>
        <w:ind w:firstLine="240"/>
        <w:rPr>
          <w:rFonts w:ascii="Calibri" w:hAnsi="Calibri"/>
        </w:rPr>
      </w:pPr>
      <w:r>
        <w:rPr>
          <w:rFonts w:ascii="Calibri" w:hAnsi="Calibri"/>
        </w:rPr>
        <w:t>x)</w:t>
      </w:r>
      <w:r>
        <w:rPr>
          <w:rFonts w:ascii="Calibri" w:hAnsi="Calibri"/>
        </w:rPr>
        <w:tab/>
      </w:r>
      <w:r>
        <w:rPr>
          <w:rFonts w:hint="eastAsia" w:ascii="Calibri" w:hAnsi="Calibri"/>
        </w:rPr>
        <w:t>卖方必须取得所用产品的合法使用授权，并购买数量足够的使用许可，应满足本工程建设需求并应满足系统生命周期内无需再追加购买使用许可，其最终授权用户须为最终用户。</w:t>
      </w:r>
    </w:p>
    <w:p w14:paraId="21E4B3D5">
      <w:pPr>
        <w:pStyle w:val="243"/>
        <w:widowControl w:val="0"/>
        <w:tabs>
          <w:tab w:val="left" w:pos="567"/>
        </w:tabs>
        <w:spacing w:before="0"/>
        <w:ind w:firstLine="240"/>
        <w:rPr>
          <w:rFonts w:ascii="Calibri" w:hAnsi="Calibri"/>
        </w:rPr>
      </w:pPr>
      <w:r>
        <w:rPr>
          <w:rFonts w:ascii="Calibri" w:hAnsi="Calibri"/>
        </w:rPr>
        <w:t>y)</w:t>
      </w:r>
      <w:r>
        <w:rPr>
          <w:rFonts w:ascii="Calibri" w:hAnsi="Calibri"/>
        </w:rPr>
        <w:tab/>
      </w:r>
      <w:r>
        <w:rPr>
          <w:rFonts w:hint="eastAsia" w:ascii="Calibri" w:hAnsi="Calibri"/>
        </w:rPr>
        <w:t>卖方须对所选用产品的可用性、合法性等负全部责任，在项目施工及运行期间，如果因为数据库原因导致系统容量、性能、可靠性、可用性、合法性等方面的问题，卖方需承担全部整改责任，必要时卖方需按照买方的要求更换数据库产品品牌或版本，或追加购买使用许可，并由卖方承担由此引起的一切损失。</w:t>
      </w:r>
    </w:p>
    <w:p w14:paraId="5DD3B8BC">
      <w:pPr>
        <w:pStyle w:val="243"/>
        <w:widowControl w:val="0"/>
        <w:tabs>
          <w:tab w:val="left" w:pos="567"/>
        </w:tabs>
        <w:spacing w:before="0"/>
        <w:ind w:firstLine="240"/>
        <w:rPr>
          <w:rFonts w:ascii="Calibri" w:hAnsi="Calibri"/>
        </w:rPr>
      </w:pPr>
      <w:r>
        <w:rPr>
          <w:rFonts w:ascii="Calibri" w:hAnsi="Calibri"/>
        </w:rPr>
        <w:t>z)</w:t>
      </w:r>
      <w:r>
        <w:rPr>
          <w:rFonts w:ascii="Calibri" w:hAnsi="Calibri"/>
        </w:rPr>
        <w:tab/>
      </w:r>
      <w:r>
        <w:rPr>
          <w:rFonts w:hint="eastAsia" w:ascii="Calibri" w:hAnsi="Calibri"/>
        </w:rPr>
        <w:t>时序数据库（一档）应具备4</w:t>
      </w:r>
      <w:r>
        <w:rPr>
          <w:rFonts w:ascii="Calibri" w:hAnsi="Calibri"/>
        </w:rPr>
        <w:t>00</w:t>
      </w:r>
      <w:r>
        <w:rPr>
          <w:rFonts w:hint="eastAsia" w:ascii="Calibri" w:hAnsi="Calibri"/>
        </w:rPr>
        <w:t>万个数据点以上的数据处理能力。</w:t>
      </w:r>
    </w:p>
    <w:p w14:paraId="1E62F3A5">
      <w:pPr>
        <w:pStyle w:val="243"/>
        <w:widowControl w:val="0"/>
        <w:tabs>
          <w:tab w:val="left" w:pos="567"/>
        </w:tabs>
        <w:spacing w:before="0"/>
        <w:ind w:firstLine="240"/>
        <w:rPr>
          <w:rFonts w:ascii="Calibri" w:hAnsi="Calibri"/>
        </w:rPr>
      </w:pPr>
      <w:r>
        <w:rPr>
          <w:rFonts w:ascii="Calibri" w:hAnsi="Calibri"/>
        </w:rPr>
        <w:t>aa)</w:t>
      </w:r>
      <w:r>
        <w:rPr>
          <w:rFonts w:ascii="Calibri" w:hAnsi="Calibri"/>
        </w:rPr>
        <w:tab/>
      </w:r>
      <w:r>
        <w:rPr>
          <w:rFonts w:hint="eastAsia" w:ascii="Calibri" w:hAnsi="Calibri"/>
        </w:rPr>
        <w:t>时序数据库（二档）应具备2</w:t>
      </w:r>
      <w:r>
        <w:rPr>
          <w:rFonts w:ascii="Calibri" w:hAnsi="Calibri"/>
        </w:rPr>
        <w:t>00</w:t>
      </w:r>
      <w:r>
        <w:rPr>
          <w:rFonts w:hint="eastAsia" w:ascii="Calibri" w:hAnsi="Calibri"/>
        </w:rPr>
        <w:t>万个数据点以上的数据处理能力。</w:t>
      </w:r>
    </w:p>
    <w:p w14:paraId="5529B145">
      <w:pPr>
        <w:pStyle w:val="243"/>
        <w:widowControl w:val="0"/>
        <w:tabs>
          <w:tab w:val="left" w:pos="567"/>
        </w:tabs>
        <w:spacing w:before="0"/>
        <w:ind w:firstLine="240"/>
        <w:rPr>
          <w:rFonts w:ascii="Calibri" w:hAnsi="Calibri"/>
        </w:rPr>
      </w:pPr>
      <w:r>
        <w:rPr>
          <w:rFonts w:ascii="Calibri" w:hAnsi="Calibri"/>
        </w:rPr>
        <w:t>bb)</w:t>
      </w:r>
      <w:r>
        <w:rPr>
          <w:rFonts w:ascii="Calibri" w:hAnsi="Calibri"/>
        </w:rPr>
        <w:tab/>
      </w:r>
      <w:r>
        <w:rPr>
          <w:rFonts w:hint="eastAsia" w:ascii="Calibri" w:hAnsi="Calibri"/>
        </w:rPr>
        <w:t>时序数据库（三档）应具备10</w:t>
      </w:r>
      <w:r>
        <w:rPr>
          <w:rFonts w:ascii="Calibri" w:hAnsi="Calibri"/>
        </w:rPr>
        <w:t>0</w:t>
      </w:r>
      <w:r>
        <w:rPr>
          <w:rFonts w:hint="eastAsia" w:ascii="Calibri" w:hAnsi="Calibri"/>
        </w:rPr>
        <w:t>万个数据点以上的数据处理能力。</w:t>
      </w:r>
    </w:p>
    <w:p w14:paraId="3B8283FA">
      <w:pPr>
        <w:pStyle w:val="7"/>
        <w:spacing w:before="0" w:after="0"/>
        <w:ind w:left="862" w:hanging="862"/>
      </w:pPr>
      <w:r>
        <w:rPr>
          <w:rFonts w:hint="eastAsia"/>
        </w:rPr>
        <w:t>容器集群管理软件配置要求</w:t>
      </w:r>
    </w:p>
    <w:p w14:paraId="190DD47B">
      <w:pPr>
        <w:pStyle w:val="243"/>
        <w:numPr>
          <w:ilvl w:val="5"/>
          <w:numId w:val="8"/>
        </w:numPr>
        <w:tabs>
          <w:tab w:val="left" w:pos="567"/>
        </w:tabs>
        <w:spacing w:before="0"/>
        <w:ind w:left="567" w:firstLine="241"/>
        <w:rPr>
          <w:rFonts w:ascii="Calibri" w:hAnsi="Calibri"/>
          <w:b/>
          <w:bCs/>
        </w:rPr>
      </w:pPr>
      <w:r>
        <w:rPr>
          <w:rFonts w:ascii="Calibri" w:hAnsi="Calibri"/>
          <w:b/>
          <w:bCs/>
        </w:rPr>
        <w:t>集群管理</w:t>
      </w:r>
    </w:p>
    <w:p w14:paraId="429D312D">
      <w:pPr>
        <w:pStyle w:val="243"/>
        <w:numPr>
          <w:ilvl w:val="0"/>
          <w:numId w:val="9"/>
        </w:numPr>
        <w:tabs>
          <w:tab w:val="left" w:pos="567"/>
        </w:tabs>
        <w:ind w:firstLine="240"/>
        <w:rPr>
          <w:rFonts w:ascii="Calibri" w:hAnsi="Calibri"/>
        </w:rPr>
      </w:pPr>
      <w:r>
        <w:rPr>
          <w:rFonts w:ascii="Calibri" w:hAnsi="Calibri"/>
        </w:rPr>
        <w:t>支持容器的可视化管理。</w:t>
      </w:r>
    </w:p>
    <w:p w14:paraId="2374518F">
      <w:pPr>
        <w:pStyle w:val="243"/>
        <w:numPr>
          <w:ilvl w:val="0"/>
          <w:numId w:val="9"/>
        </w:numPr>
        <w:tabs>
          <w:tab w:val="left" w:pos="567"/>
        </w:tabs>
        <w:ind w:firstLine="240"/>
        <w:rPr>
          <w:rFonts w:ascii="Calibri" w:hAnsi="Calibri"/>
        </w:rPr>
      </w:pPr>
      <w:r>
        <w:rPr>
          <w:rFonts w:ascii="Calibri" w:hAnsi="Calibri"/>
        </w:rPr>
        <w:t>支持通过管理控制台或API创建、管理、删除容器集群。</w:t>
      </w:r>
    </w:p>
    <w:p w14:paraId="406995FE">
      <w:pPr>
        <w:pStyle w:val="243"/>
        <w:numPr>
          <w:ilvl w:val="0"/>
          <w:numId w:val="9"/>
        </w:numPr>
        <w:tabs>
          <w:tab w:val="left" w:pos="567"/>
        </w:tabs>
        <w:ind w:firstLine="240"/>
        <w:rPr>
          <w:rFonts w:ascii="Calibri" w:hAnsi="Calibri"/>
        </w:rPr>
      </w:pPr>
      <w:r>
        <w:rPr>
          <w:rFonts w:ascii="Calibri" w:hAnsi="Calibri"/>
        </w:rPr>
        <w:t>支持多集群管理，能够对集群的状态、资源使用情况进行有效监管，并具备在线检测和异常分析告警功能，支持对容器运行状态和资源的统计，实现对集群内的节点、服务、应用、容器、存储卷、配置项等各种资源的信息进行有效监管。</w:t>
      </w:r>
    </w:p>
    <w:p w14:paraId="2DAC1036">
      <w:pPr>
        <w:pStyle w:val="243"/>
        <w:numPr>
          <w:ilvl w:val="0"/>
          <w:numId w:val="9"/>
        </w:numPr>
        <w:tabs>
          <w:tab w:val="left" w:pos="567"/>
        </w:tabs>
        <w:ind w:firstLine="240"/>
        <w:rPr>
          <w:rFonts w:ascii="Calibri" w:hAnsi="Calibri"/>
        </w:rPr>
      </w:pPr>
      <w:r>
        <w:rPr>
          <w:rFonts w:ascii="Calibri" w:hAnsi="Calibri"/>
        </w:rPr>
        <w:t>提供完善的应用容器管理功能。支持应用容器的查询、编排、配置、生命周期的管理，支持应用模版的增加、删除、修改操作，支持选择应用模版快速部署应用。</w:t>
      </w:r>
    </w:p>
    <w:p w14:paraId="3CF6A06A">
      <w:pPr>
        <w:pStyle w:val="243"/>
        <w:numPr>
          <w:ilvl w:val="0"/>
          <w:numId w:val="9"/>
        </w:numPr>
        <w:tabs>
          <w:tab w:val="left" w:pos="567"/>
        </w:tabs>
        <w:ind w:firstLine="240"/>
        <w:rPr>
          <w:rFonts w:ascii="Calibri" w:hAnsi="Calibri"/>
        </w:rPr>
      </w:pPr>
      <w:r>
        <w:rPr>
          <w:rFonts w:ascii="Calibri" w:hAnsi="Calibri"/>
        </w:rPr>
        <w:t>支持应用容器编排引擎，支持根据应用需求动态调度容器，可选择多种维度的调度策略，比如资源维度、可用性要求维度、应用拓扑的亲和性维度等。</w:t>
      </w:r>
    </w:p>
    <w:p w14:paraId="5C74D035">
      <w:pPr>
        <w:pStyle w:val="243"/>
        <w:numPr>
          <w:ilvl w:val="5"/>
          <w:numId w:val="8"/>
        </w:numPr>
        <w:tabs>
          <w:tab w:val="left" w:pos="567"/>
        </w:tabs>
        <w:spacing w:before="0"/>
        <w:ind w:left="567" w:firstLine="241"/>
        <w:rPr>
          <w:rFonts w:ascii="Calibri" w:hAnsi="Calibri"/>
          <w:b/>
          <w:bCs/>
        </w:rPr>
      </w:pPr>
      <w:r>
        <w:rPr>
          <w:rFonts w:ascii="Calibri" w:hAnsi="Calibri"/>
          <w:b/>
          <w:bCs/>
        </w:rPr>
        <w:t>容器管理</w:t>
      </w:r>
    </w:p>
    <w:p w14:paraId="086468F5">
      <w:pPr>
        <w:pStyle w:val="243"/>
        <w:numPr>
          <w:ilvl w:val="0"/>
          <w:numId w:val="10"/>
        </w:numPr>
        <w:tabs>
          <w:tab w:val="left" w:pos="567"/>
        </w:tabs>
        <w:ind w:firstLine="240"/>
        <w:rPr>
          <w:rFonts w:ascii="Calibri" w:hAnsi="Calibri"/>
        </w:rPr>
      </w:pPr>
      <w:r>
        <w:rPr>
          <w:rFonts w:ascii="Calibri" w:hAnsi="Calibri"/>
        </w:rPr>
        <w:t>支持跨宿主机容器间互联，支持通过容器名称或为容器定义的域名进行互访。</w:t>
      </w:r>
    </w:p>
    <w:p w14:paraId="0F1B4178">
      <w:pPr>
        <w:pStyle w:val="243"/>
        <w:numPr>
          <w:ilvl w:val="0"/>
          <w:numId w:val="10"/>
        </w:numPr>
        <w:tabs>
          <w:tab w:val="left" w:pos="567"/>
        </w:tabs>
        <w:ind w:firstLine="240"/>
        <w:rPr>
          <w:rFonts w:ascii="Calibri" w:hAnsi="Calibri"/>
        </w:rPr>
      </w:pPr>
      <w:r>
        <w:rPr>
          <w:rFonts w:ascii="Calibri" w:hAnsi="Calibri"/>
        </w:rPr>
        <w:t>支持对容器运行日志的自动采集。</w:t>
      </w:r>
    </w:p>
    <w:p w14:paraId="23AB507E">
      <w:pPr>
        <w:pStyle w:val="243"/>
        <w:numPr>
          <w:ilvl w:val="0"/>
          <w:numId w:val="10"/>
        </w:numPr>
        <w:tabs>
          <w:tab w:val="left" w:pos="567"/>
        </w:tabs>
        <w:ind w:firstLine="240"/>
        <w:rPr>
          <w:rFonts w:ascii="Calibri" w:hAnsi="Calibri"/>
        </w:rPr>
      </w:pPr>
      <w:r>
        <w:rPr>
          <w:rFonts w:ascii="Calibri" w:hAnsi="Calibri"/>
        </w:rPr>
        <w:t>支持根据需求，对容器实例规模进行自动弹性伸缩。</w:t>
      </w:r>
    </w:p>
    <w:p w14:paraId="7E3BB894">
      <w:pPr>
        <w:pStyle w:val="243"/>
        <w:numPr>
          <w:ilvl w:val="0"/>
          <w:numId w:val="10"/>
        </w:numPr>
        <w:tabs>
          <w:tab w:val="left" w:pos="567"/>
        </w:tabs>
        <w:ind w:firstLine="240"/>
        <w:rPr>
          <w:rFonts w:ascii="Calibri" w:hAnsi="Calibri"/>
        </w:rPr>
      </w:pPr>
      <w:r>
        <w:rPr>
          <w:rFonts w:ascii="Calibri" w:hAnsi="Calibri"/>
        </w:rPr>
        <w:t>支持对容器应用和容器宿主机的运行状态监控。</w:t>
      </w:r>
    </w:p>
    <w:p w14:paraId="5424F88E">
      <w:pPr>
        <w:pStyle w:val="243"/>
        <w:numPr>
          <w:ilvl w:val="0"/>
          <w:numId w:val="10"/>
        </w:numPr>
        <w:tabs>
          <w:tab w:val="left" w:pos="567"/>
        </w:tabs>
        <w:ind w:firstLine="240"/>
        <w:rPr>
          <w:rFonts w:ascii="Calibri" w:hAnsi="Calibri"/>
        </w:rPr>
      </w:pPr>
      <w:r>
        <w:rPr>
          <w:rFonts w:ascii="Calibri" w:hAnsi="Calibri"/>
        </w:rPr>
        <w:t>容器宿主物理机发生异常，可自动将异常节点上的容器迁移到正常的运行环境上。</w:t>
      </w:r>
    </w:p>
    <w:p w14:paraId="296043EB">
      <w:pPr>
        <w:pStyle w:val="243"/>
        <w:numPr>
          <w:ilvl w:val="0"/>
          <w:numId w:val="10"/>
        </w:numPr>
        <w:tabs>
          <w:tab w:val="left" w:pos="567"/>
        </w:tabs>
        <w:ind w:firstLine="240"/>
        <w:rPr>
          <w:rFonts w:ascii="Calibri" w:hAnsi="Calibri"/>
        </w:rPr>
      </w:pPr>
      <w:r>
        <w:rPr>
          <w:rFonts w:ascii="Calibri" w:hAnsi="Calibri"/>
        </w:rPr>
        <w:t>支持对容器端的4层和7层的网络请求转发和后端绑定。</w:t>
      </w:r>
    </w:p>
    <w:p w14:paraId="6D1A4A29">
      <w:pPr>
        <w:pStyle w:val="243"/>
        <w:numPr>
          <w:ilvl w:val="0"/>
          <w:numId w:val="10"/>
        </w:numPr>
        <w:tabs>
          <w:tab w:val="left" w:pos="567"/>
        </w:tabs>
        <w:ind w:firstLine="240"/>
        <w:rPr>
          <w:rFonts w:ascii="Calibri" w:hAnsi="Calibri"/>
        </w:rPr>
      </w:pPr>
      <w:r>
        <w:rPr>
          <w:rFonts w:ascii="Calibri" w:hAnsi="Calibri"/>
        </w:rPr>
        <w:t>支持对容器集群级别访问控制授权管理。</w:t>
      </w:r>
    </w:p>
    <w:p w14:paraId="249C0527">
      <w:pPr>
        <w:pStyle w:val="243"/>
        <w:numPr>
          <w:ilvl w:val="0"/>
          <w:numId w:val="10"/>
        </w:numPr>
        <w:tabs>
          <w:tab w:val="left" w:pos="567"/>
        </w:tabs>
        <w:ind w:firstLine="240"/>
        <w:rPr>
          <w:rFonts w:ascii="Calibri" w:hAnsi="Calibri"/>
        </w:rPr>
      </w:pPr>
      <w:r>
        <w:rPr>
          <w:rFonts w:ascii="Calibri" w:hAnsi="Calibri"/>
        </w:rPr>
        <w:t>支持容器和对应宿主机网络互联互通。</w:t>
      </w:r>
    </w:p>
    <w:p w14:paraId="107E5F32">
      <w:pPr>
        <w:pStyle w:val="243"/>
        <w:numPr>
          <w:ilvl w:val="0"/>
          <w:numId w:val="10"/>
        </w:numPr>
        <w:tabs>
          <w:tab w:val="left" w:pos="567"/>
        </w:tabs>
        <w:ind w:firstLine="240"/>
        <w:rPr>
          <w:rFonts w:ascii="Calibri" w:hAnsi="Calibri"/>
        </w:rPr>
      </w:pPr>
      <w:r>
        <w:rPr>
          <w:rFonts w:ascii="Calibri" w:hAnsi="Calibri"/>
        </w:rPr>
        <w:t>支持容器挂载块存储、对象存储等。</w:t>
      </w:r>
    </w:p>
    <w:p w14:paraId="5B16B337">
      <w:pPr>
        <w:pStyle w:val="243"/>
        <w:numPr>
          <w:ilvl w:val="5"/>
          <w:numId w:val="8"/>
        </w:numPr>
        <w:tabs>
          <w:tab w:val="left" w:pos="567"/>
        </w:tabs>
        <w:spacing w:before="0"/>
        <w:ind w:left="567" w:firstLine="241"/>
        <w:rPr>
          <w:rFonts w:ascii="Calibri" w:hAnsi="Calibri"/>
          <w:b/>
          <w:bCs/>
        </w:rPr>
      </w:pPr>
      <w:r>
        <w:rPr>
          <w:rFonts w:ascii="Calibri" w:hAnsi="Calibri"/>
          <w:b/>
          <w:bCs/>
        </w:rPr>
        <w:t>兼容性</w:t>
      </w:r>
    </w:p>
    <w:p w14:paraId="10E62BB6">
      <w:pPr>
        <w:pStyle w:val="243"/>
        <w:numPr>
          <w:ilvl w:val="0"/>
          <w:numId w:val="11"/>
        </w:numPr>
        <w:tabs>
          <w:tab w:val="left" w:pos="567"/>
        </w:tabs>
        <w:ind w:firstLine="240"/>
        <w:rPr>
          <w:rFonts w:ascii="Calibri" w:hAnsi="Calibri"/>
        </w:rPr>
      </w:pPr>
      <w:r>
        <w:rPr>
          <w:rFonts w:ascii="Calibri" w:hAnsi="Calibri"/>
        </w:rPr>
        <w:t>安全</w:t>
      </w:r>
      <w:r>
        <w:rPr>
          <w:rFonts w:hint="eastAsia" w:ascii="宋体" w:hAnsi="宋体" w:cs="宋体"/>
        </w:rPr>
        <w:t>Ⅱ</w:t>
      </w:r>
      <w:r>
        <w:rPr>
          <w:rFonts w:ascii="Calibri" w:hAnsi="Calibri"/>
        </w:rPr>
        <w:t>区、</w:t>
      </w:r>
      <w:r>
        <w:rPr>
          <w:rFonts w:hint="eastAsia" w:ascii="宋体" w:hAnsi="宋体" w:cs="宋体"/>
        </w:rPr>
        <w:t>Ⅲ</w:t>
      </w:r>
      <w:r>
        <w:rPr>
          <w:rFonts w:ascii="Calibri" w:hAnsi="Calibri"/>
        </w:rPr>
        <w:t>区兼容</w:t>
      </w:r>
      <w:r>
        <w:rPr>
          <w:rFonts w:hint="eastAsia" w:ascii="Calibri" w:hAnsi="Calibri"/>
        </w:rPr>
        <w:t>docker等主流容器封装技术路线</w:t>
      </w:r>
      <w:r>
        <w:rPr>
          <w:rFonts w:ascii="Calibri" w:hAnsi="Calibri"/>
        </w:rPr>
        <w:t>。</w:t>
      </w:r>
    </w:p>
    <w:p w14:paraId="692799B7">
      <w:pPr>
        <w:pStyle w:val="243"/>
        <w:numPr>
          <w:ilvl w:val="0"/>
          <w:numId w:val="11"/>
        </w:numPr>
        <w:tabs>
          <w:tab w:val="left" w:pos="567"/>
        </w:tabs>
        <w:ind w:firstLine="240"/>
        <w:rPr>
          <w:rFonts w:ascii="Calibri" w:hAnsi="Calibri"/>
        </w:rPr>
      </w:pPr>
      <w:r>
        <w:rPr>
          <w:rFonts w:ascii="Calibri" w:hAnsi="Calibri"/>
        </w:rPr>
        <w:t>支持在x86和ARM硬件上部署。</w:t>
      </w:r>
    </w:p>
    <w:p w14:paraId="2F40EEF4">
      <w:pPr>
        <w:pStyle w:val="243"/>
        <w:numPr>
          <w:ilvl w:val="0"/>
          <w:numId w:val="11"/>
        </w:numPr>
        <w:tabs>
          <w:tab w:val="left" w:pos="567"/>
        </w:tabs>
        <w:ind w:firstLine="240"/>
        <w:rPr>
          <w:rFonts w:ascii="Calibri" w:hAnsi="Calibri"/>
        </w:rPr>
      </w:pPr>
      <w:r>
        <w:rPr>
          <w:rFonts w:ascii="Calibri" w:hAnsi="Calibri"/>
        </w:rPr>
        <w:t>支持整合第三方网络、存储等插件，支持整合第三方容器日志、监控和安全监控功能模块。</w:t>
      </w:r>
    </w:p>
    <w:p w14:paraId="691BC893">
      <w:pPr>
        <w:pStyle w:val="243"/>
        <w:numPr>
          <w:ilvl w:val="5"/>
          <w:numId w:val="8"/>
        </w:numPr>
        <w:tabs>
          <w:tab w:val="left" w:pos="567"/>
        </w:tabs>
        <w:spacing w:before="0"/>
        <w:ind w:left="567" w:firstLine="241"/>
        <w:rPr>
          <w:rFonts w:ascii="Calibri" w:hAnsi="Calibri"/>
          <w:b/>
          <w:bCs/>
        </w:rPr>
      </w:pPr>
      <w:r>
        <w:rPr>
          <w:rFonts w:ascii="Calibri" w:hAnsi="Calibri"/>
          <w:b/>
          <w:bCs/>
        </w:rPr>
        <w:t>安全性</w:t>
      </w:r>
    </w:p>
    <w:p w14:paraId="69EAA99C">
      <w:pPr>
        <w:pStyle w:val="243"/>
        <w:numPr>
          <w:ilvl w:val="0"/>
          <w:numId w:val="12"/>
        </w:numPr>
        <w:tabs>
          <w:tab w:val="left" w:pos="567"/>
        </w:tabs>
        <w:ind w:firstLine="240"/>
        <w:rPr>
          <w:rFonts w:ascii="Calibri" w:hAnsi="Calibri"/>
        </w:rPr>
      </w:pPr>
      <w:r>
        <w:rPr>
          <w:rFonts w:ascii="Calibri" w:hAnsi="Calibri"/>
        </w:rPr>
        <w:t>容器集群服务应严格遵循《电力监控系统安全防护规定》（发改委</w:t>
      </w:r>
      <w:r>
        <w:rPr>
          <w:rFonts w:hint="eastAsia" w:ascii="Calibri" w:hAnsi="Calibri"/>
        </w:rPr>
        <w:t>2024年</w:t>
      </w:r>
      <w:r>
        <w:rPr>
          <w:rFonts w:ascii="Calibri" w:hAnsi="Calibri"/>
        </w:rPr>
        <w:t>第</w:t>
      </w:r>
      <w:r>
        <w:rPr>
          <w:rFonts w:hint="eastAsia" w:ascii="Calibri" w:hAnsi="Calibri"/>
        </w:rPr>
        <w:t>27</w:t>
      </w:r>
      <w:r>
        <w:rPr>
          <w:rFonts w:ascii="Calibri" w:hAnsi="Calibri"/>
        </w:rPr>
        <w:t>号令）和《中国南方电网电力监控系统网络安全技术规范》要求；</w:t>
      </w:r>
    </w:p>
    <w:p w14:paraId="6A79A953">
      <w:pPr>
        <w:pStyle w:val="243"/>
        <w:numPr>
          <w:ilvl w:val="0"/>
          <w:numId w:val="12"/>
        </w:numPr>
        <w:tabs>
          <w:tab w:val="left" w:pos="567"/>
        </w:tabs>
        <w:ind w:firstLine="240"/>
        <w:rPr>
          <w:rFonts w:ascii="Calibri" w:hAnsi="Calibri"/>
        </w:rPr>
      </w:pPr>
      <w:r>
        <w:rPr>
          <w:rFonts w:ascii="Calibri" w:hAnsi="Calibri"/>
        </w:rPr>
        <w:t>生产控制大区</w:t>
      </w:r>
      <w:r>
        <w:rPr>
          <w:rFonts w:hint="eastAsia" w:ascii="Calibri" w:hAnsi="Calibri"/>
        </w:rPr>
        <w:t>内</w:t>
      </w:r>
      <w:r>
        <w:rPr>
          <w:rFonts w:ascii="Calibri" w:hAnsi="Calibri"/>
        </w:rPr>
        <w:t>禁止容器集群服务采用安全风险高的通用网络服务（HTTP、FTP、SMTP、POP3、Telnet等）；</w:t>
      </w:r>
    </w:p>
    <w:p w14:paraId="5861C552">
      <w:pPr>
        <w:pStyle w:val="243"/>
        <w:numPr>
          <w:ilvl w:val="0"/>
          <w:numId w:val="12"/>
        </w:numPr>
        <w:tabs>
          <w:tab w:val="left" w:pos="567"/>
        </w:tabs>
        <w:ind w:firstLine="240"/>
        <w:rPr>
          <w:rFonts w:ascii="Calibri" w:hAnsi="Calibri"/>
        </w:rPr>
      </w:pPr>
      <w:r>
        <w:rPr>
          <w:rFonts w:ascii="Calibri" w:hAnsi="Calibri"/>
        </w:rPr>
        <w:t>禁止控制区内容器集群服务使用通用的WEB服务；</w:t>
      </w:r>
    </w:p>
    <w:p w14:paraId="39DBB168">
      <w:pPr>
        <w:pStyle w:val="243"/>
        <w:numPr>
          <w:ilvl w:val="0"/>
          <w:numId w:val="12"/>
        </w:numPr>
        <w:tabs>
          <w:tab w:val="left" w:pos="567"/>
        </w:tabs>
        <w:ind w:firstLine="240"/>
        <w:rPr>
          <w:rFonts w:ascii="Calibri" w:hAnsi="Calibri"/>
        </w:rPr>
      </w:pPr>
      <w:r>
        <w:rPr>
          <w:rFonts w:ascii="Calibri" w:hAnsi="Calibri"/>
        </w:rPr>
        <w:t>非控制区内部容器集群服务若采用安全WEB服务应优先采用专用协议和专用浏览器的图形浏览技术，也可以采用经过安全加固且支持HTTPS的安全WEB服务。</w:t>
      </w:r>
    </w:p>
    <w:p w14:paraId="3C31BBB9">
      <w:pPr>
        <w:pStyle w:val="7"/>
        <w:spacing w:before="0" w:after="0"/>
        <w:ind w:left="862" w:hanging="862"/>
      </w:pPr>
      <w:r>
        <w:rPr>
          <w:rFonts w:hint="eastAsia"/>
        </w:rPr>
        <w:t xml:space="preserve">中间件配置要求 </w:t>
      </w:r>
    </w:p>
    <w:p w14:paraId="5AFB72FC">
      <w:pPr>
        <w:numPr>
          <w:ilvl w:val="0"/>
          <w:numId w:val="13"/>
        </w:numPr>
        <w:spacing w:before="120" w:after="120"/>
        <w:ind w:firstLine="480"/>
      </w:pPr>
      <w:r>
        <w:rPr>
          <w:rFonts w:hint="eastAsia"/>
        </w:rPr>
        <w:t>国产主流自主知识产权产品.</w:t>
      </w:r>
    </w:p>
    <w:p w14:paraId="7B771206">
      <w:pPr>
        <w:numPr>
          <w:ilvl w:val="0"/>
          <w:numId w:val="13"/>
        </w:numPr>
        <w:spacing w:before="120" w:after="120"/>
        <w:ind w:firstLine="480"/>
      </w:pPr>
      <w:r>
        <w:rPr>
          <w:rFonts w:hint="eastAsia"/>
        </w:rPr>
        <w:t>支持Linux等主流操作系统；</w:t>
      </w:r>
    </w:p>
    <w:p w14:paraId="21FB6046">
      <w:pPr>
        <w:spacing w:before="120" w:after="120"/>
        <w:ind w:firstLine="480"/>
      </w:pPr>
      <w:r>
        <w:rPr>
          <w:rFonts w:hint="eastAsia"/>
        </w:rPr>
        <w:t>b).支持达梦、金仓、通用等主流数据库系统；</w:t>
      </w:r>
    </w:p>
    <w:p w14:paraId="43A92D14">
      <w:pPr>
        <w:spacing w:before="120" w:after="120"/>
        <w:ind w:firstLine="480"/>
      </w:pPr>
      <w:r>
        <w:rPr>
          <w:rFonts w:hint="eastAsia"/>
        </w:rPr>
        <w:t>c).支持 Java SE 7、Java EE 6及以上；</w:t>
      </w:r>
    </w:p>
    <w:p w14:paraId="4C333553">
      <w:pPr>
        <w:spacing w:before="120" w:after="120"/>
        <w:ind w:firstLine="480"/>
      </w:pPr>
      <w:r>
        <w:rPr>
          <w:rFonts w:hint="eastAsia"/>
        </w:rPr>
        <w:t>d).支持Spring1.5，2.x,实现Store-and-forward (SAF) 的JMS技术；</w:t>
      </w:r>
    </w:p>
    <w:p w14:paraId="6391A1EB">
      <w:pPr>
        <w:spacing w:before="120" w:after="120"/>
        <w:ind w:firstLine="480"/>
      </w:pPr>
      <w:r>
        <w:rPr>
          <w:rFonts w:hint="eastAsia"/>
        </w:rPr>
        <w:t>e).支持主流的 Application Development Framework 开发框架；</w:t>
      </w:r>
    </w:p>
    <w:p w14:paraId="64FD9C5F">
      <w:pPr>
        <w:spacing w:before="120" w:after="120"/>
        <w:ind w:firstLine="480"/>
      </w:pPr>
      <w:r>
        <w:rPr>
          <w:rFonts w:hint="eastAsia"/>
        </w:rPr>
        <w:t>f).支持Unit of Order (UOO) 的JMS技术实现；</w:t>
      </w:r>
    </w:p>
    <w:p w14:paraId="7064C6D8">
      <w:pPr>
        <w:spacing w:before="120" w:after="120"/>
        <w:ind w:firstLine="480"/>
      </w:pPr>
      <w:r>
        <w:rPr>
          <w:rFonts w:hint="eastAsia"/>
        </w:rPr>
        <w:t>g).实现对基于JCA适配器的JMS Messaging桥的支持；</w:t>
      </w:r>
    </w:p>
    <w:p w14:paraId="652D409B">
      <w:pPr>
        <w:spacing w:before="120" w:after="120"/>
        <w:ind w:firstLine="480"/>
      </w:pPr>
      <w:r>
        <w:rPr>
          <w:rFonts w:hint="eastAsia"/>
        </w:rPr>
        <w:t>h).支持集群内垂直扩充和水平扩充，支持不同的异构操作系统之间的多机集群实现；</w:t>
      </w:r>
    </w:p>
    <w:p w14:paraId="14146921">
      <w:pPr>
        <w:spacing w:before="120" w:after="120"/>
        <w:ind w:firstLine="480"/>
      </w:pPr>
      <w:r>
        <w:rPr>
          <w:rFonts w:hint="eastAsia"/>
        </w:rPr>
        <w:t>i).提供多种负载平衡的算法，支持负载的分配，支持循环往复、权重、随机选取、外部亲和的均衡算法；</w:t>
      </w:r>
    </w:p>
    <w:p w14:paraId="6E11E343">
      <w:pPr>
        <w:spacing w:before="120" w:after="120"/>
        <w:ind w:firstLine="480"/>
      </w:pPr>
      <w:r>
        <w:rPr>
          <w:rFonts w:hint="eastAsia"/>
        </w:rPr>
        <w:t>j).实现基于城域网集群技术，实现城域网内部负载均衡、容错；</w:t>
      </w:r>
    </w:p>
    <w:p w14:paraId="3F487E19">
      <w:pPr>
        <w:spacing w:before="120" w:after="120"/>
        <w:ind w:firstLine="480"/>
      </w:pPr>
      <w:r>
        <w:rPr>
          <w:rFonts w:hint="eastAsia"/>
        </w:rPr>
        <w:t>k).实现跨广域网的集群服务支持，实现异地应用级容灾；</w:t>
      </w:r>
    </w:p>
    <w:p w14:paraId="5B1A4931">
      <w:pPr>
        <w:spacing w:before="120" w:after="120"/>
        <w:ind w:firstLine="480"/>
      </w:pPr>
      <w:r>
        <w:rPr>
          <w:rFonts w:hint="eastAsia"/>
        </w:rPr>
        <w:t>l).可以同后端的数据库实现关联，甚至实现会话关联、事务关联以及快速连接故障切换；</w:t>
      </w:r>
    </w:p>
    <w:p w14:paraId="1A76BAEA">
      <w:pPr>
        <w:spacing w:before="120" w:after="120"/>
        <w:ind w:firstLine="480"/>
      </w:pPr>
      <w:r>
        <w:rPr>
          <w:rFonts w:hint="eastAsia"/>
        </w:rPr>
        <w:t>m).内置的支持同非Java中间件如交易中间件的双向调用集成；</w:t>
      </w:r>
    </w:p>
    <w:p w14:paraId="57ED5BE1">
      <w:pPr>
        <w:spacing w:before="120" w:after="120"/>
        <w:ind w:firstLine="480"/>
      </w:pPr>
      <w:r>
        <w:rPr>
          <w:rFonts w:hint="eastAsia"/>
        </w:rPr>
        <w:t>n).支持J2CA1.5，1.0标准访问打包应用和遗留应用；</w:t>
      </w:r>
    </w:p>
    <w:p w14:paraId="47EA9B68">
      <w:pPr>
        <w:spacing w:before="120" w:after="120"/>
        <w:ind w:firstLine="480"/>
      </w:pPr>
      <w:r>
        <w:rPr>
          <w:rFonts w:hint="eastAsia"/>
        </w:rPr>
        <w:t>o).对主流商用数据库如达梦、金仓、通用等，提供的数据库连接池(Multi-Pool)技术；支持两阶段事务部署技术；</w:t>
      </w:r>
    </w:p>
    <w:p w14:paraId="0E58C85D">
      <w:pPr>
        <w:spacing w:before="120" w:after="120"/>
        <w:ind w:firstLine="480"/>
      </w:pPr>
      <w:r>
        <w:rPr>
          <w:rFonts w:hint="eastAsia"/>
        </w:rPr>
        <w:t>p).支持应用的不停顿升级，同一个应用可以发布多个版本；</w:t>
      </w:r>
    </w:p>
    <w:p w14:paraId="7F0B5A9E">
      <w:pPr>
        <w:spacing w:before="120" w:after="120"/>
        <w:ind w:firstLine="480"/>
      </w:pPr>
      <w:r>
        <w:rPr>
          <w:rFonts w:hint="eastAsia"/>
        </w:rPr>
        <w:t>q).支持实现线程池的自动调度功能；</w:t>
      </w:r>
    </w:p>
    <w:p w14:paraId="71A0607F">
      <w:pPr>
        <w:spacing w:before="120" w:after="120"/>
        <w:ind w:firstLine="480"/>
      </w:pPr>
      <w:r>
        <w:rPr>
          <w:rFonts w:hint="eastAsia"/>
        </w:rPr>
        <w:t>r).支持基于Jython等的脚本语言，实现可客户化的命令行管理；</w:t>
      </w:r>
    </w:p>
    <w:p w14:paraId="30A2E724">
      <w:pPr>
        <w:spacing w:before="120" w:after="120"/>
        <w:ind w:firstLine="480"/>
      </w:pPr>
      <w:r>
        <w:rPr>
          <w:rFonts w:hint="eastAsia"/>
        </w:rPr>
        <w:t>s).通过安全服务提供商接口(SSPI)实现安全基础架构并支持PNEGO、SAML、Certificate Path安全提供商、RDBMS认证提供商等的支持；</w:t>
      </w:r>
    </w:p>
    <w:p w14:paraId="748A256B">
      <w:pPr>
        <w:spacing w:before="120" w:after="120"/>
        <w:ind w:firstLine="480"/>
      </w:pPr>
      <w:r>
        <w:rPr>
          <w:rFonts w:hint="eastAsia"/>
        </w:rPr>
        <w:t>t).故障情况下，支持自动和手动的集群切换；</w:t>
      </w:r>
    </w:p>
    <w:p w14:paraId="72CA75CD">
      <w:pPr>
        <w:spacing w:before="120" w:after="120"/>
        <w:ind w:firstLine="480"/>
      </w:pPr>
      <w:r>
        <w:rPr>
          <w:rFonts w:hint="eastAsia"/>
        </w:rPr>
        <w:t>u).支持管理模式把对应用程序的访问限制到配置的管理通道，支持sanity检查机制而不干扰客户端；</w:t>
      </w:r>
    </w:p>
    <w:p w14:paraId="5C162418">
      <w:pPr>
        <w:spacing w:before="120" w:after="120"/>
        <w:ind w:firstLine="480"/>
      </w:pPr>
      <w:r>
        <w:rPr>
          <w:rFonts w:hint="eastAsia"/>
        </w:rPr>
        <w:t>v).提供过载功能，保护服务器免于出现内存耗尽(out-of-memory，OOM)的异常；</w:t>
      </w:r>
    </w:p>
    <w:p w14:paraId="587398D7">
      <w:pPr>
        <w:spacing w:before="120" w:after="120"/>
        <w:ind w:firstLine="480"/>
      </w:pPr>
      <w:r>
        <w:rPr>
          <w:rFonts w:hint="eastAsia"/>
        </w:rPr>
        <w:t>w).支持SNMP3.0；</w:t>
      </w:r>
    </w:p>
    <w:p w14:paraId="65BB4E10">
      <w:pPr>
        <w:spacing w:before="120" w:after="120"/>
        <w:ind w:firstLine="480"/>
      </w:pPr>
      <w:r>
        <w:rPr>
          <w:rFonts w:hint="eastAsia"/>
        </w:rPr>
        <w:t>x).提供对JVM的监控和深度诊断能力，且进行JVM监控诊断时不得影响业务正常运行，对CPU的开销应非常微小，低于1%；</w:t>
      </w:r>
    </w:p>
    <w:p w14:paraId="5DAEB379">
      <w:pPr>
        <w:spacing w:before="120" w:after="120"/>
        <w:ind w:firstLine="480"/>
      </w:pPr>
      <w:r>
        <w:rPr>
          <w:rFonts w:hint="eastAsia"/>
        </w:rPr>
        <w:t>y).提供基于Web形式的多视角监控，提供跨平台多服务器的综合展现</w:t>
      </w:r>
    </w:p>
    <w:p w14:paraId="122805DF">
      <w:pPr>
        <w:spacing w:before="120" w:after="120"/>
        <w:ind w:firstLine="480"/>
      </w:pPr>
      <w:r>
        <w:rPr>
          <w:rFonts w:hint="eastAsia"/>
        </w:rPr>
        <w:t>z).可实现端到端的应用监控和跟踪；可对应用交易的情况实时监测并提供综合展现，其中包括监控业务交易的过程数据；</w:t>
      </w:r>
    </w:p>
    <w:p w14:paraId="2475F87B">
      <w:pPr>
        <w:spacing w:before="120" w:after="120"/>
        <w:ind w:firstLine="480"/>
      </w:pPr>
      <w:r>
        <w:rPr>
          <w:rFonts w:hint="eastAsia"/>
        </w:rPr>
        <w:t>aa).业务交易的诊断分析；可提供应用的实时告警与监测，对于交易失败和其他意外事件可提供层级钻取定位；</w:t>
      </w:r>
    </w:p>
    <w:p w14:paraId="5CCA5090">
      <w:pPr>
        <w:spacing w:before="120" w:after="120"/>
        <w:ind w:firstLine="480"/>
      </w:pPr>
      <w:r>
        <w:rPr>
          <w:rFonts w:hint="eastAsia"/>
        </w:rPr>
        <w:t>ab).中间件综合诊断；提供组件间的依赖关系分析，提供配置、性能指标的历史及实时的综合呈现。可通过依赖关系分析和性能数据，方便地查看</w:t>
      </w:r>
      <w:r>
        <w:t>JSP</w:t>
      </w:r>
      <w:r>
        <w:rPr>
          <w:rFonts w:hint="eastAsia"/>
        </w:rPr>
        <w:t>、</w:t>
      </w:r>
      <w:r>
        <w:t>Servlet</w:t>
      </w:r>
      <w:r>
        <w:rPr>
          <w:rFonts w:hint="eastAsia"/>
        </w:rPr>
        <w:t>、</w:t>
      </w:r>
      <w:r>
        <w:t>portlet</w:t>
      </w:r>
      <w:r>
        <w:rPr>
          <w:rFonts w:hint="eastAsia"/>
        </w:rPr>
        <w:t>、</w:t>
      </w:r>
      <w:r>
        <w:t>Web</w:t>
      </w:r>
      <w:r>
        <w:rPr>
          <w:rFonts w:hint="eastAsia"/>
        </w:rPr>
        <w:t>服务与底层</w:t>
      </w:r>
      <w:r>
        <w:t>Java EE</w:t>
      </w:r>
      <w:r>
        <w:rPr>
          <w:rFonts w:hint="eastAsia"/>
        </w:rPr>
        <w:t>组件</w:t>
      </w:r>
      <w:r>
        <w:t>EJB/JDBC</w:t>
      </w:r>
      <w:r>
        <w:rPr>
          <w:rFonts w:hint="eastAsia"/>
        </w:rPr>
        <w:t>的依赖关系；</w:t>
      </w:r>
    </w:p>
    <w:p w14:paraId="588181E6">
      <w:pPr>
        <w:spacing w:before="120" w:after="120"/>
        <w:ind w:firstLine="480"/>
      </w:pPr>
      <w:r>
        <w:rPr>
          <w:rFonts w:hint="eastAsia"/>
        </w:rPr>
        <w:t>ac).跨层的诊断分析处理；通过对</w:t>
      </w:r>
      <w:r>
        <w:t>Java</w:t>
      </w:r>
      <w:r>
        <w:rPr>
          <w:rFonts w:hint="eastAsia"/>
        </w:rPr>
        <w:t>线程与数据库会话所建立的相互关联，可以实现从应用业务到数据库服务的跨层诊断。</w:t>
      </w:r>
    </w:p>
    <w:p w14:paraId="7B61295F">
      <w:pPr>
        <w:pStyle w:val="7"/>
        <w:spacing w:before="0" w:after="0"/>
        <w:ind w:left="862" w:hanging="862"/>
      </w:pPr>
      <w:r>
        <w:rPr>
          <w:rFonts w:hint="eastAsia"/>
        </w:rPr>
        <w:t xml:space="preserve">安全加固软件配置要求 </w:t>
      </w:r>
    </w:p>
    <w:p w14:paraId="597D1307">
      <w:pPr>
        <w:spacing w:before="120" w:after="120"/>
        <w:ind w:firstLine="480"/>
      </w:pPr>
      <w:r>
        <w:rPr>
          <w:rFonts w:hint="eastAsia"/>
        </w:rPr>
        <w:t>系统应配置安全加固软件，具体要求以网络安全相关文件为准。</w:t>
      </w:r>
    </w:p>
    <w:p w14:paraId="2E4FD494">
      <w:pPr>
        <w:pStyle w:val="7"/>
        <w:spacing w:before="0" w:after="0"/>
        <w:ind w:left="862" w:hanging="862"/>
      </w:pPr>
      <w:r>
        <w:rPr>
          <w:rFonts w:hint="eastAsia"/>
        </w:rPr>
        <w:t>多路径软件</w:t>
      </w:r>
    </w:p>
    <w:p w14:paraId="479AEDDC">
      <w:pPr>
        <w:pStyle w:val="243"/>
        <w:spacing w:before="120"/>
        <w:ind w:firstLine="240"/>
        <w:rPr>
          <w:rFonts w:ascii="Calibri" w:hAnsi="Calibri"/>
        </w:rPr>
      </w:pPr>
      <w:r>
        <w:rPr>
          <w:rFonts w:hint="eastAsia" w:ascii="Calibri" w:hAnsi="Calibri"/>
        </w:rPr>
        <w:t>多路径软件控制应用服务器访问存储设备，能够管理服务器和存储设备间的多条路径，提供给客户一个安全、易用、成熟的多路径解决方案。</w:t>
      </w:r>
    </w:p>
    <w:p w14:paraId="1DA3DE53">
      <w:pPr>
        <w:pStyle w:val="243"/>
        <w:spacing w:before="120"/>
        <w:ind w:firstLine="240"/>
        <w:rPr>
          <w:rFonts w:ascii="Calibri" w:hAnsi="Calibri"/>
        </w:rPr>
      </w:pPr>
      <w:r>
        <w:rPr>
          <w:rFonts w:hint="eastAsia" w:ascii="Calibri" w:hAnsi="Calibri"/>
        </w:rPr>
        <w:t>多路径软件将服务器与存储设备间的多条路径整合成一个单一的逻辑路径，应用通过整合后的单一逻辑路径访问存储设备，即可实现对后台存储设备的访问，就像访问单一路径的设备一样。多路径软件可对多路径进行管理，包括路径增加和删除、</w:t>
      </w:r>
      <w:r>
        <w:rPr>
          <w:rFonts w:ascii="Calibri" w:hAnsi="Calibri"/>
        </w:rPr>
        <w:t xml:space="preserve"> IO</w:t>
      </w:r>
      <w:r>
        <w:rPr>
          <w:rFonts w:hint="eastAsia" w:ascii="Calibri" w:hAnsi="Calibri"/>
        </w:rPr>
        <w:t>路径的选择和调度、</w:t>
      </w:r>
      <w:r>
        <w:rPr>
          <w:rFonts w:ascii="Calibri" w:hAnsi="Calibri"/>
        </w:rPr>
        <w:t xml:space="preserve"> IO</w:t>
      </w:r>
      <w:r>
        <w:rPr>
          <w:rFonts w:hint="eastAsia" w:ascii="Calibri" w:hAnsi="Calibri"/>
        </w:rPr>
        <w:t>负载均衡、</w:t>
      </w:r>
      <w:r>
        <w:rPr>
          <w:rFonts w:ascii="Calibri" w:hAnsi="Calibri"/>
        </w:rPr>
        <w:t xml:space="preserve"> </w:t>
      </w:r>
      <w:r>
        <w:rPr>
          <w:rFonts w:hint="eastAsia" w:ascii="Calibri" w:hAnsi="Calibri"/>
        </w:rPr>
        <w:t>路径故障处理和故障恢复等。</w:t>
      </w:r>
    </w:p>
    <w:p w14:paraId="3294E1FB">
      <w:pPr>
        <w:pStyle w:val="243"/>
        <w:spacing w:before="120"/>
        <w:ind w:firstLine="240"/>
        <w:rPr>
          <w:rFonts w:ascii="Calibri" w:hAnsi="Calibri"/>
        </w:rPr>
      </w:pPr>
      <w:r>
        <w:rPr>
          <w:rFonts w:hint="eastAsia" w:ascii="Calibri" w:hAnsi="Calibri"/>
        </w:rPr>
        <w:t>多路径软件应至少具备</w:t>
      </w:r>
      <w:r>
        <w:rPr>
          <w:rFonts w:ascii="Calibri" w:hAnsi="Calibri"/>
        </w:rPr>
        <w:t>以下功能</w:t>
      </w:r>
      <w:r>
        <w:rPr>
          <w:rFonts w:hint="eastAsia" w:ascii="Calibri" w:hAnsi="Calibri"/>
        </w:rPr>
        <w:t>：</w:t>
      </w:r>
    </w:p>
    <w:p w14:paraId="14AE2D22">
      <w:pPr>
        <w:pStyle w:val="243"/>
        <w:spacing w:before="120"/>
        <w:ind w:firstLine="240"/>
        <w:rPr>
          <w:rFonts w:ascii="Calibri" w:hAnsi="Calibri"/>
        </w:rPr>
      </w:pPr>
      <w:r>
        <w:rPr>
          <w:rFonts w:hint="eastAsia" w:ascii="Calibri" w:hAnsi="Calibri"/>
        </w:rPr>
        <w:t>多路径管理：多路径软件将应用服务器和存储系统之间的多条路径通过内核模块和多路径应用服务模块虚拟一个设备，为系统和上层应用屏蔽多条路径的细节，解决多条路径引起的数据读写间的冲突和错误，提高了数据读写的安全性和可靠性。</w:t>
      </w:r>
    </w:p>
    <w:p w14:paraId="790627BF">
      <w:pPr>
        <w:pStyle w:val="243"/>
        <w:spacing w:before="120"/>
        <w:ind w:firstLine="240"/>
        <w:rPr>
          <w:rFonts w:ascii="Calibri" w:hAnsi="Calibri"/>
        </w:rPr>
      </w:pPr>
      <w:r>
        <w:rPr>
          <w:rFonts w:hint="eastAsia" w:ascii="Calibri" w:hAnsi="Calibri"/>
        </w:rPr>
        <w:t>故障切换：多路径软件自动检测路径故障，并将有故障的路径甄别出来，选择其他正常的路径继续进行数据读写，避免了路径故障引起的业务服务的中断。</w:t>
      </w:r>
    </w:p>
    <w:p w14:paraId="7C2FC5A4">
      <w:pPr>
        <w:pStyle w:val="243"/>
        <w:spacing w:before="120"/>
        <w:ind w:firstLine="240"/>
        <w:rPr>
          <w:rFonts w:ascii="Calibri" w:hAnsi="Calibri"/>
        </w:rPr>
      </w:pPr>
      <w:r>
        <w:rPr>
          <w:rFonts w:hint="eastAsia" w:ascii="Calibri" w:hAnsi="Calibri"/>
        </w:rPr>
        <w:t>路径恢复：</w:t>
      </w:r>
      <w:r>
        <w:rPr>
          <w:rFonts w:ascii="Calibri" w:hAnsi="Calibri"/>
        </w:rPr>
        <w:t xml:space="preserve"> </w:t>
      </w:r>
      <w:r>
        <w:rPr>
          <w:rFonts w:hint="eastAsia" w:ascii="Calibri" w:hAnsi="Calibri"/>
        </w:rPr>
        <w:t>路径故障恢复后，该路径可以立即重新加入到路径调度中，正常进行数据</w:t>
      </w:r>
      <w:r>
        <w:rPr>
          <w:rFonts w:ascii="Calibri" w:hAnsi="Calibri"/>
        </w:rPr>
        <w:t>I/O</w:t>
      </w:r>
      <w:r>
        <w:rPr>
          <w:rFonts w:hint="eastAsia" w:ascii="Calibri" w:hAnsi="Calibri"/>
        </w:rPr>
        <w:t>。</w:t>
      </w:r>
    </w:p>
    <w:p w14:paraId="4FBE1D23">
      <w:pPr>
        <w:pStyle w:val="243"/>
        <w:spacing w:before="120"/>
        <w:ind w:firstLine="240"/>
        <w:rPr>
          <w:rFonts w:ascii="Calibri" w:hAnsi="Calibri"/>
        </w:rPr>
      </w:pPr>
      <w:r>
        <w:rPr>
          <w:rFonts w:hint="eastAsia" w:ascii="Calibri" w:hAnsi="Calibri"/>
        </w:rPr>
        <w:t>I/O负载均衡：多路径软件在多个路径中的数据传输均衡分布进行，可根据配置策略进行数据</w:t>
      </w:r>
      <w:r>
        <w:rPr>
          <w:rFonts w:ascii="Calibri" w:hAnsi="Calibri"/>
        </w:rPr>
        <w:t>I/O</w:t>
      </w:r>
      <w:r>
        <w:rPr>
          <w:rFonts w:hint="eastAsia" w:ascii="Calibri" w:hAnsi="Calibri"/>
        </w:rPr>
        <w:t>的调度。</w:t>
      </w:r>
    </w:p>
    <w:p w14:paraId="4B70AB98">
      <w:pPr>
        <w:pStyle w:val="243"/>
        <w:spacing w:before="120"/>
        <w:ind w:firstLine="240"/>
        <w:rPr>
          <w:rFonts w:ascii="Calibri" w:hAnsi="Calibri"/>
        </w:rPr>
      </w:pPr>
      <w:r>
        <w:rPr>
          <w:rFonts w:hint="eastAsia" w:ascii="Calibri" w:hAnsi="Calibri"/>
        </w:rPr>
        <w:t>可配置：</w:t>
      </w:r>
      <w:r>
        <w:rPr>
          <w:rFonts w:ascii="Calibri" w:hAnsi="Calibri"/>
        </w:rPr>
        <w:t xml:space="preserve"> </w:t>
      </w:r>
      <w:r>
        <w:rPr>
          <w:rFonts w:hint="eastAsia" w:ascii="Calibri" w:hAnsi="Calibri"/>
        </w:rPr>
        <w:t>多路径软件提供配置能力，可配置设备，可配置路径，适应不同的存储环境及应用需求。</w:t>
      </w:r>
    </w:p>
    <w:p w14:paraId="3C73C4EE">
      <w:pPr>
        <w:pStyle w:val="243"/>
        <w:spacing w:before="120"/>
        <w:ind w:firstLine="240"/>
      </w:pPr>
      <w:r>
        <w:rPr>
          <w:rFonts w:hint="eastAsia" w:ascii="Calibri" w:hAnsi="Calibri"/>
        </w:rPr>
        <w:t>兼容性：要求</w:t>
      </w:r>
      <w:r>
        <w:rPr>
          <w:rFonts w:hint="eastAsia"/>
        </w:rPr>
        <w:t>与项目所采用的操作系统、服务器、存储等软硬件设备配合良好。且</w:t>
      </w:r>
      <w:r>
        <w:rPr>
          <w:rFonts w:hint="eastAsia" w:ascii="Calibri" w:hAnsi="Calibri"/>
        </w:rPr>
        <w:t>支持主流的存储阵列、服务器以及操作系统，并经过充分兼容性测试，具备二次开发和一体化部署运维的能力，不因存储阵列、服务器以及操作系统的差异影响最终存储访问效率或效果。</w:t>
      </w:r>
    </w:p>
    <w:p w14:paraId="4056A8B7">
      <w:pPr>
        <w:pStyle w:val="7"/>
        <w:spacing w:before="0" w:after="0"/>
        <w:ind w:left="862" w:hanging="862"/>
      </w:pPr>
      <w:r>
        <w:rPr>
          <w:rFonts w:hint="eastAsia"/>
        </w:rPr>
        <w:t>集群软件配置要求</w:t>
      </w:r>
    </w:p>
    <w:p w14:paraId="57934E8B">
      <w:r>
        <w:rPr>
          <w:rFonts w:hint="eastAsia" w:ascii="Calibri" w:hAnsi="Calibri"/>
        </w:rPr>
        <w:t>应具备高可靠性和高稳定性，</w:t>
      </w:r>
      <w:r>
        <w:rPr>
          <w:rFonts w:ascii="Calibri" w:hAnsi="Calibri"/>
        </w:rPr>
        <w:t>最大限度的保证业务和数据的连续性</w:t>
      </w:r>
    </w:p>
    <w:p w14:paraId="49391113">
      <w:r>
        <w:rPr>
          <w:rFonts w:hint="eastAsia"/>
        </w:rPr>
        <w:t>与项目投标所采用的数据库软件、操作系统、服务器、存储等软硬件设备配合良好，可采用操作系统配套的高可用集群软件,也可采用与所用操作系统高度兼容的第三方高可用集群软件。</w:t>
      </w:r>
    </w:p>
    <w:p w14:paraId="2D50D2EE">
      <w:r>
        <w:rPr>
          <w:rFonts w:hint="eastAsia" w:ascii="Calibri" w:hAnsi="Calibri"/>
        </w:rPr>
        <w:t>应</w:t>
      </w:r>
      <w:r>
        <w:rPr>
          <w:rFonts w:ascii="Calibri" w:hAnsi="Calibri"/>
        </w:rPr>
        <w:t>支持</w:t>
      </w:r>
      <w:r>
        <w:rPr>
          <w:rFonts w:hint="eastAsia" w:ascii="Calibri" w:hAnsi="Calibri"/>
        </w:rPr>
        <w:t>多种</w:t>
      </w:r>
      <w:r>
        <w:rPr>
          <w:rFonts w:ascii="Calibri" w:hAnsi="Calibri"/>
        </w:rPr>
        <w:t>集群模式</w:t>
      </w:r>
      <w:r>
        <w:rPr>
          <w:rFonts w:hint="eastAsia" w:ascii="Calibri" w:hAnsi="Calibri"/>
        </w:rPr>
        <w:t>，</w:t>
      </w:r>
      <w:r>
        <w:rPr>
          <w:rFonts w:ascii="Calibri" w:hAnsi="Calibri"/>
        </w:rPr>
        <w:t>可根据实际环境</w:t>
      </w:r>
      <w:r>
        <w:rPr>
          <w:rFonts w:hint="eastAsia" w:ascii="Calibri" w:hAnsi="Calibri"/>
        </w:rPr>
        <w:t>及</w:t>
      </w:r>
      <w:r>
        <w:rPr>
          <w:rFonts w:ascii="Calibri" w:hAnsi="Calibri"/>
        </w:rPr>
        <w:t>应用的要求</w:t>
      </w:r>
      <w:r>
        <w:rPr>
          <w:rFonts w:hint="eastAsia" w:ascii="Calibri" w:hAnsi="Calibri"/>
        </w:rPr>
        <w:t>灵活定义</w:t>
      </w:r>
      <w:r>
        <w:rPr>
          <w:rFonts w:ascii="Calibri" w:hAnsi="Calibri"/>
        </w:rPr>
        <w:t>主机角色，</w:t>
      </w:r>
      <w:r>
        <w:rPr>
          <w:rFonts w:hint="eastAsia" w:ascii="Calibri" w:hAnsi="Calibri"/>
        </w:rPr>
        <w:t>支持</w:t>
      </w:r>
      <w:r>
        <w:rPr>
          <w:rFonts w:ascii="Calibri" w:hAnsi="Calibri"/>
        </w:rPr>
        <w:t>双机</w:t>
      </w:r>
      <w:r>
        <w:rPr>
          <w:rFonts w:hint="eastAsia" w:ascii="Calibri" w:hAnsi="Calibri"/>
        </w:rPr>
        <w:t>和</w:t>
      </w:r>
      <w:r>
        <w:rPr>
          <w:rFonts w:ascii="Calibri" w:hAnsi="Calibri"/>
        </w:rPr>
        <w:t>多机集群的形式</w:t>
      </w:r>
      <w:r>
        <w:rPr>
          <w:rFonts w:hint="eastAsia" w:ascii="Calibri" w:hAnsi="Calibri"/>
        </w:rPr>
        <w:t>，支持</w:t>
      </w:r>
      <w:r>
        <w:rPr>
          <w:rFonts w:ascii="Calibri" w:hAnsi="Calibri"/>
        </w:rPr>
        <w:t>Active/Passive模式</w:t>
      </w:r>
      <w:r>
        <w:rPr>
          <w:rFonts w:hint="eastAsia" w:ascii="Calibri" w:hAnsi="Calibri"/>
        </w:rPr>
        <w:t>以及</w:t>
      </w:r>
      <w:r>
        <w:rPr>
          <w:rFonts w:ascii="Calibri" w:hAnsi="Calibri"/>
        </w:rPr>
        <w:t>Active/Active模式</w:t>
      </w:r>
      <w:r>
        <w:rPr>
          <w:rFonts w:hint="eastAsia" w:ascii="Calibri" w:hAnsi="Calibri"/>
        </w:rPr>
        <w:t>；</w:t>
      </w:r>
      <w:r>
        <w:rPr>
          <w:rFonts w:hint="eastAsia"/>
        </w:rPr>
        <w:t>支持双机热备、双机互备、N+1备份、N机互备等。当本地两台服务器一台出现死机，断电其它的意外故障时，可以将该服务器的全部功能切到另一台服务器。</w:t>
      </w:r>
    </w:p>
    <w:p w14:paraId="10B8C3D0">
      <w:r>
        <w:rPr>
          <w:rFonts w:hint="eastAsia"/>
        </w:rPr>
        <w:t>支持非共享磁盘集群模式。</w:t>
      </w:r>
    </w:p>
    <w:p w14:paraId="1B3CC3C1">
      <w:r>
        <w:rPr>
          <w:rFonts w:hint="eastAsia" w:ascii="Calibri" w:hAnsi="Calibri"/>
        </w:rPr>
        <w:t>应</w:t>
      </w:r>
      <w:r>
        <w:rPr>
          <w:rFonts w:ascii="Calibri" w:hAnsi="Calibri"/>
        </w:rPr>
        <w:t>具有成熟可靠的底层心跳通信机制；稳定快速并且可配置的上层资源管理程序；简单、直观和易于使用的图形配置管理程序；</w:t>
      </w:r>
      <w:r>
        <w:rPr>
          <w:rFonts w:hint="eastAsia" w:ascii="Calibri" w:hAnsi="Calibri"/>
        </w:rPr>
        <w:t>兼容主流</w:t>
      </w:r>
      <w:r>
        <w:rPr>
          <w:rFonts w:ascii="Calibri" w:hAnsi="Calibri"/>
        </w:rPr>
        <w:t>操作系统</w:t>
      </w:r>
      <w:r>
        <w:rPr>
          <w:rFonts w:hint="eastAsia" w:ascii="Calibri" w:hAnsi="Calibri"/>
        </w:rPr>
        <w:t>并</w:t>
      </w:r>
      <w:r>
        <w:rPr>
          <w:rFonts w:ascii="Calibri" w:hAnsi="Calibri"/>
        </w:rPr>
        <w:t>与</w:t>
      </w:r>
      <w:r>
        <w:rPr>
          <w:rFonts w:hint="eastAsia" w:ascii="Calibri" w:hAnsi="Calibri"/>
        </w:rPr>
        <w:t>操作系统的</w:t>
      </w:r>
      <w:r>
        <w:rPr>
          <w:rFonts w:ascii="Calibri" w:hAnsi="Calibri"/>
        </w:rPr>
        <w:t>安全机制紧密配合。</w:t>
      </w:r>
      <w:r>
        <w:rPr>
          <w:rFonts w:hint="eastAsia"/>
        </w:rPr>
        <w:t>支持网卡(公网/私网)、COM(RS-232C)、磁盘心跳3种检测网络心跳探测，探测不受系统负荷影响。</w:t>
      </w:r>
    </w:p>
    <w:p w14:paraId="052E77A4">
      <w:pPr>
        <w:pStyle w:val="243"/>
        <w:spacing w:before="120"/>
        <w:ind w:firstLine="240"/>
      </w:pPr>
      <w:r>
        <w:rPr>
          <w:rFonts w:hint="eastAsia" w:ascii="Calibri" w:hAnsi="Calibri"/>
        </w:rPr>
        <w:t>应</w:t>
      </w:r>
      <w:r>
        <w:rPr>
          <w:rFonts w:ascii="Calibri" w:hAnsi="Calibri"/>
        </w:rPr>
        <w:t>同时支持</w:t>
      </w:r>
      <w:r>
        <w:rPr>
          <w:rFonts w:hint="eastAsia" w:ascii="Calibri" w:hAnsi="Calibri"/>
        </w:rPr>
        <w:t>应用集群</w:t>
      </w:r>
      <w:r>
        <w:rPr>
          <w:rFonts w:ascii="Calibri" w:hAnsi="Calibri"/>
        </w:rPr>
        <w:t>及数据库集群</w:t>
      </w:r>
      <w:r>
        <w:rPr>
          <w:rFonts w:hint="eastAsia" w:ascii="Calibri" w:hAnsi="Calibri"/>
        </w:rPr>
        <w:t>（支持</w:t>
      </w:r>
      <w:r>
        <w:rPr>
          <w:rFonts w:ascii="Calibri" w:hAnsi="Calibri"/>
        </w:rPr>
        <w:t>主流数据库及集群</w:t>
      </w:r>
      <w:r>
        <w:rPr>
          <w:rFonts w:hint="eastAsia" w:ascii="Calibri" w:hAnsi="Calibri"/>
        </w:rPr>
        <w:t>运行模</w:t>
      </w:r>
      <w:r>
        <w:rPr>
          <w:rFonts w:hint="eastAsia" w:ascii="华文宋体" w:hAnsi="华文宋体" w:eastAsia="华文宋体"/>
        </w:rPr>
        <w:t>式</w:t>
      </w:r>
      <w:r>
        <w:rPr>
          <w:rFonts w:ascii="华文宋体" w:hAnsi="华文宋体" w:eastAsia="华文宋体"/>
        </w:rPr>
        <w:t>）</w:t>
      </w:r>
      <w:r>
        <w:rPr>
          <w:rFonts w:hint="eastAsia" w:ascii="华文宋体" w:hAnsi="华文宋体" w:eastAsia="华文宋体"/>
        </w:rPr>
        <w:t>。</w:t>
      </w:r>
      <w:r>
        <w:rPr>
          <w:rFonts w:hint="eastAsia"/>
        </w:rPr>
        <w:t>支持对金仓、达梦、通用等主流关系数据库和</w:t>
      </w:r>
      <w:r>
        <w:t>时序数据库</w:t>
      </w:r>
      <w:r>
        <w:rPr>
          <w:rFonts w:hint="eastAsia"/>
        </w:rPr>
        <w:t>进行热备。并对此数据库及应用进行检测；支持DB僵死状态监视，深度保护数据库服务；可以通过编辑脚本，实现特有应用程序的切换 ；能够提供操作简便的Script Wizard来配置脚本。</w:t>
      </w:r>
    </w:p>
    <w:p w14:paraId="62B08EB7">
      <w:pPr>
        <w:rPr>
          <w:rFonts w:ascii="Calibri" w:hAnsi="Calibri"/>
        </w:rPr>
      </w:pPr>
      <w:r>
        <w:rPr>
          <w:rFonts w:hint="eastAsia"/>
        </w:rPr>
        <w:t>支持对本地磁盘，共享存储，网络环境，操作系统，以及应用程序的服务和进程的进行实时监控。并对集群软件自身的服务状态进行监视。.</w:t>
      </w:r>
      <w:r>
        <w:rPr>
          <w:rFonts w:hint="eastAsia" w:ascii="Calibri" w:hAnsi="Calibri"/>
        </w:rPr>
        <w:t>应具备</w:t>
      </w:r>
      <w:r>
        <w:rPr>
          <w:rFonts w:ascii="Calibri" w:hAnsi="Calibri"/>
        </w:rPr>
        <w:t>管理多种集群资源的能力，包括</w:t>
      </w:r>
      <w:r>
        <w:rPr>
          <w:rFonts w:hint="eastAsia" w:ascii="Calibri" w:hAnsi="Calibri"/>
        </w:rPr>
        <w:t>原始资源</w:t>
      </w:r>
      <w:r>
        <w:rPr>
          <w:rFonts w:ascii="Calibri" w:hAnsi="Calibri"/>
        </w:rPr>
        <w:t>、</w:t>
      </w:r>
      <w:r>
        <w:rPr>
          <w:rFonts w:hint="eastAsia" w:ascii="Calibri" w:hAnsi="Calibri"/>
        </w:rPr>
        <w:t>资源组</w:t>
      </w:r>
      <w:r>
        <w:rPr>
          <w:rFonts w:ascii="Calibri" w:hAnsi="Calibri"/>
        </w:rPr>
        <w:t>、</w:t>
      </w:r>
      <w:r>
        <w:rPr>
          <w:rFonts w:hint="eastAsia" w:ascii="Calibri" w:hAnsi="Calibri"/>
        </w:rPr>
        <w:t>克隆资源</w:t>
      </w:r>
      <w:r>
        <w:rPr>
          <w:rFonts w:ascii="Calibri" w:hAnsi="Calibri"/>
        </w:rPr>
        <w:t>等</w:t>
      </w:r>
      <w:r>
        <w:rPr>
          <w:rFonts w:hint="eastAsia" w:ascii="Calibri" w:hAnsi="Calibri"/>
        </w:rPr>
        <w:t>，并对</w:t>
      </w:r>
      <w:r>
        <w:rPr>
          <w:rFonts w:ascii="Calibri" w:hAnsi="Calibri"/>
        </w:rPr>
        <w:t>资源的运行状态实现</w:t>
      </w:r>
      <w:r>
        <w:rPr>
          <w:rFonts w:hint="eastAsia" w:ascii="Calibri" w:hAnsi="Calibri"/>
        </w:rPr>
        <w:t>实时监视</w:t>
      </w:r>
      <w:r>
        <w:rPr>
          <w:rFonts w:ascii="Calibri" w:hAnsi="Calibri"/>
        </w:rPr>
        <w:t>。</w:t>
      </w:r>
    </w:p>
    <w:p w14:paraId="2A5FEEE7">
      <w:pPr>
        <w:pStyle w:val="7"/>
        <w:spacing w:before="0" w:after="0"/>
        <w:ind w:left="862" w:hanging="862"/>
      </w:pPr>
      <w:r>
        <w:rPr>
          <w:rFonts w:hint="eastAsia"/>
        </w:rPr>
        <w:t>硬件运维软件配置要求</w:t>
      </w:r>
    </w:p>
    <w:p w14:paraId="3D5CE763">
      <w:pPr>
        <w:pStyle w:val="2"/>
        <w:numPr>
          <w:ilvl w:val="0"/>
          <w:numId w:val="14"/>
        </w:numPr>
        <w:ind w:left="567"/>
      </w:pPr>
      <w:r>
        <w:rPr>
          <w:rFonts w:hint="eastAsia"/>
        </w:rPr>
        <w:t>支持多种协议数据的协议采集发现，包含：SMTP</w:t>
      </w:r>
      <w:r>
        <w:t xml:space="preserve">, </w:t>
      </w:r>
      <w:r>
        <w:rPr>
          <w:rFonts w:hint="eastAsia"/>
        </w:rPr>
        <w:t>IMAP</w:t>
      </w:r>
      <w:r>
        <w:t>, DNS, FTP, RPC, RIP, ARP, ICMP, NFS, TFTP, POP3, Telnet</w:t>
      </w:r>
      <w:r>
        <w:rPr>
          <w:rFonts w:hint="eastAsia"/>
        </w:rPr>
        <w:t>等常用协议，支持网络组件的在线状态实时监控。</w:t>
      </w:r>
    </w:p>
    <w:p w14:paraId="3025A824">
      <w:pPr>
        <w:pStyle w:val="2"/>
        <w:numPr>
          <w:ilvl w:val="0"/>
          <w:numId w:val="14"/>
        </w:numPr>
        <w:ind w:left="567"/>
      </w:pPr>
      <w:r>
        <w:rPr>
          <w:rFonts w:hint="eastAsia"/>
        </w:rPr>
        <w:t>支持对识别流量的存储能力，为日后追踪溯源提供可靠证据，存储范围支持按需与全流量存储。</w:t>
      </w:r>
    </w:p>
    <w:p w14:paraId="2FB04B7D">
      <w:pPr>
        <w:pStyle w:val="2"/>
        <w:numPr>
          <w:ilvl w:val="0"/>
          <w:numId w:val="14"/>
        </w:numPr>
        <w:ind w:left="567"/>
      </w:pPr>
      <w:r>
        <w:rPr>
          <w:rFonts w:hint="eastAsia"/>
        </w:rPr>
        <w:t>支持在对生产运行无影响的基础上，提供面向BMC接口的专属采集方式。</w:t>
      </w:r>
    </w:p>
    <w:p w14:paraId="194CCF28">
      <w:pPr>
        <w:pStyle w:val="2"/>
        <w:numPr>
          <w:ilvl w:val="0"/>
          <w:numId w:val="14"/>
        </w:numPr>
        <w:ind w:left="567"/>
      </w:pPr>
      <w:r>
        <w:rPr>
          <w:rFonts w:hint="eastAsia"/>
        </w:rPr>
        <w:t>支持设备基础信息的自动识别与采集，包括BMC固件版本、BMC网络配置、主板型号、主板序列号、FRU关键资源等。</w:t>
      </w:r>
    </w:p>
    <w:p w14:paraId="32B3F5B8">
      <w:pPr>
        <w:pStyle w:val="2"/>
        <w:numPr>
          <w:ilvl w:val="0"/>
          <w:numId w:val="14"/>
        </w:numPr>
        <w:ind w:left="567"/>
      </w:pPr>
      <w:r>
        <w:rPr>
          <w:rFonts w:hint="eastAsia"/>
        </w:rPr>
        <w:t>支持采集设备实时健康状态数据，包括温度（CPU、主板、内存、硬盘等）、电压、电源轨读数、风扇转速、风扇状态、电源模块健康状态、功率消耗（实时/平均）等。</w:t>
      </w:r>
    </w:p>
    <w:p w14:paraId="3CE6528F">
      <w:pPr>
        <w:pStyle w:val="2"/>
        <w:numPr>
          <w:ilvl w:val="0"/>
          <w:numId w:val="14"/>
        </w:numPr>
        <w:ind w:left="567"/>
      </w:pPr>
      <w:r>
        <w:rPr>
          <w:rFonts w:hint="eastAsia"/>
        </w:rPr>
        <w:t>支持对BMC系统日志、硬件事件日志、BMC告警信息的全量采集，包括温度告警、电源/风扇故障、硬盘异常、关机等事件，并支持告警级别分类。</w:t>
      </w:r>
    </w:p>
    <w:p w14:paraId="6AFA130F">
      <w:pPr>
        <w:pStyle w:val="2"/>
        <w:numPr>
          <w:ilvl w:val="0"/>
          <w:numId w:val="14"/>
        </w:numPr>
        <w:ind w:left="567"/>
      </w:pPr>
      <w:r>
        <w:rPr>
          <w:rFonts w:hint="eastAsia"/>
        </w:rPr>
        <w:t>支持对主流交换机、路由器设备的信息采集，支持监控网络设备接口启停从而发现非法接入行为。</w:t>
      </w:r>
    </w:p>
    <w:p w14:paraId="16BA21DC">
      <w:pPr>
        <w:pStyle w:val="2"/>
        <w:numPr>
          <w:ilvl w:val="0"/>
          <w:numId w:val="14"/>
        </w:numPr>
        <w:ind w:left="567"/>
      </w:pPr>
      <w:r>
        <w:rPr>
          <w:rFonts w:hint="eastAsia"/>
        </w:rPr>
        <w:t>支持各类网络设备状态监控，能够通过SNMP监控并处理设备状态信息。</w:t>
      </w:r>
    </w:p>
    <w:p w14:paraId="7DB1AEB0">
      <w:pPr>
        <w:pStyle w:val="2"/>
        <w:numPr>
          <w:ilvl w:val="0"/>
          <w:numId w:val="14"/>
        </w:numPr>
        <w:ind w:left="567"/>
      </w:pPr>
      <w:r>
        <w:rPr>
          <w:rFonts w:hint="eastAsia"/>
        </w:rPr>
        <w:t>支持对主流网络安全设备的信息采集。</w:t>
      </w:r>
    </w:p>
    <w:p w14:paraId="248797DD">
      <w:pPr>
        <w:pStyle w:val="2"/>
        <w:numPr>
          <w:ilvl w:val="0"/>
          <w:numId w:val="14"/>
        </w:numPr>
        <w:ind w:left="567"/>
      </w:pPr>
      <w:r>
        <w:rPr>
          <w:rFonts w:hint="eastAsia"/>
        </w:rPr>
        <w:t>支持对syslog日志服务的分析，以及对IDS\IPS主机防护、数据库、WEB服务相关的告警日志进行提取。</w:t>
      </w:r>
    </w:p>
    <w:p w14:paraId="00D9D1EE">
      <w:pPr>
        <w:pStyle w:val="2"/>
        <w:numPr>
          <w:ilvl w:val="0"/>
          <w:numId w:val="14"/>
        </w:numPr>
        <w:ind w:left="567"/>
      </w:pPr>
      <w:r>
        <w:rPr>
          <w:rFonts w:hint="eastAsia"/>
        </w:rPr>
        <w:t>支持包括告警日志、设备运行状态、CPU利用率、内存利用率、主板温度、CPU温度、设备故障日志等指标的信息采集。</w:t>
      </w:r>
    </w:p>
    <w:p w14:paraId="3F57465E">
      <w:pPr>
        <w:pStyle w:val="2"/>
        <w:numPr>
          <w:ilvl w:val="0"/>
          <w:numId w:val="14"/>
        </w:numPr>
        <w:ind w:left="567"/>
      </w:pPr>
      <w:r>
        <w:rPr>
          <w:rFonts w:hint="eastAsia"/>
        </w:rPr>
        <w:t>支持资产相关详细信息的展现，包含指标：资产IP、资产名称、资产类型、硬件分类、所在区域、操作系统、重要性等信息。</w:t>
      </w:r>
    </w:p>
    <w:p w14:paraId="123352C1">
      <w:pPr>
        <w:pStyle w:val="2"/>
        <w:numPr>
          <w:ilvl w:val="0"/>
          <w:numId w:val="14"/>
        </w:numPr>
        <w:ind w:left="567"/>
      </w:pPr>
      <w:r>
        <w:rPr>
          <w:rFonts w:hint="eastAsia"/>
        </w:rPr>
        <w:t>支持对新增资产增加至资产台账、可配置资产列表删除、查询。</w:t>
      </w:r>
    </w:p>
    <w:p w14:paraId="55FA6372">
      <w:pPr>
        <w:pStyle w:val="2"/>
        <w:numPr>
          <w:ilvl w:val="0"/>
          <w:numId w:val="14"/>
        </w:numPr>
        <w:ind w:left="567"/>
      </w:pPr>
      <w:r>
        <w:rPr>
          <w:rFonts w:hint="eastAsia"/>
        </w:rPr>
        <w:t>支持列表查看资产详细配置信息包括资产名称、IP、区域、资产类型、设备厂商、硬件分类、重要性、操作系统、在线状态等。</w:t>
      </w:r>
    </w:p>
    <w:p w14:paraId="01C5E223">
      <w:pPr>
        <w:pStyle w:val="2"/>
        <w:numPr>
          <w:ilvl w:val="0"/>
          <w:numId w:val="14"/>
        </w:numPr>
        <w:ind w:left="567"/>
      </w:pPr>
      <w:r>
        <w:rPr>
          <w:rFonts w:hint="eastAsia"/>
        </w:rPr>
        <w:t>支持查看资产总数、在线总数、离线总数、信息变更总数，支持资产管理列表导入、导出。</w:t>
      </w:r>
    </w:p>
    <w:p w14:paraId="1F810466">
      <w:pPr>
        <w:pStyle w:val="2"/>
        <w:numPr>
          <w:ilvl w:val="0"/>
          <w:numId w:val="14"/>
        </w:numPr>
        <w:ind w:left="567"/>
      </w:pPr>
      <w:r>
        <w:rPr>
          <w:rFonts w:hint="eastAsia"/>
        </w:rPr>
        <w:t>支持对设备网络状态，生产状态，安全状态实时监控。</w:t>
      </w:r>
    </w:p>
    <w:p w14:paraId="339292ED">
      <w:pPr>
        <w:pStyle w:val="2"/>
        <w:numPr>
          <w:ilvl w:val="0"/>
          <w:numId w:val="14"/>
        </w:numPr>
        <w:ind w:left="567"/>
      </w:pPr>
      <w:r>
        <w:rPr>
          <w:rFonts w:hint="eastAsia"/>
        </w:rPr>
        <w:t>支持查看主机，服务器的基础配置属性信息总览，包括资产IP、资产名称、在线状态、资产型号、主板序列号，其中CPU温度、内存温度、电源温度、电源功率、风扇告警等趋势信息支持按天、周、月展示分析。</w:t>
      </w:r>
    </w:p>
    <w:p w14:paraId="191B5EB9">
      <w:pPr>
        <w:pStyle w:val="2"/>
        <w:numPr>
          <w:ilvl w:val="0"/>
          <w:numId w:val="14"/>
        </w:numPr>
        <w:ind w:left="567"/>
      </w:pPr>
      <w:r>
        <w:rPr>
          <w:rFonts w:hint="eastAsia"/>
        </w:rPr>
        <w:t>支持查看主机，服务器五大基本硬件状态详细信息，包括CPU（健康状态、温度、是否在位）、内存（健康状态、温度是否在位）、硬盘（健康状态、部分型号可查看磨损水平）、电源（功率、健康状态、温度）、风扇（转速、是否在位、当前读数、占空比）。</w:t>
      </w:r>
    </w:p>
    <w:p w14:paraId="4A0DA3C4">
      <w:pPr>
        <w:pStyle w:val="2"/>
        <w:numPr>
          <w:ilvl w:val="0"/>
          <w:numId w:val="14"/>
        </w:numPr>
        <w:ind w:left="567"/>
      </w:pPr>
      <w:r>
        <w:rPr>
          <w:rFonts w:hint="eastAsia"/>
        </w:rPr>
        <w:t>支持检索当前主机，服务器BMC原始日志数据。</w:t>
      </w:r>
    </w:p>
    <w:p w14:paraId="085077C3">
      <w:pPr>
        <w:pStyle w:val="2"/>
        <w:numPr>
          <w:ilvl w:val="0"/>
          <w:numId w:val="14"/>
        </w:numPr>
        <w:ind w:left="567"/>
      </w:pPr>
      <w:r>
        <w:rPr>
          <w:rFonts w:hint="eastAsia"/>
        </w:rPr>
        <w:t>支持检索当前主机，服务器BMC告警数据。</w:t>
      </w:r>
    </w:p>
    <w:p w14:paraId="120F3A5A">
      <w:pPr>
        <w:pStyle w:val="2"/>
        <w:numPr>
          <w:ilvl w:val="0"/>
          <w:numId w:val="14"/>
        </w:numPr>
        <w:ind w:left="567"/>
      </w:pPr>
      <w:r>
        <w:rPr>
          <w:rFonts w:hint="eastAsia"/>
        </w:rPr>
        <w:t>支持展示当前主机，服务器的所有传感器信息总览。</w:t>
      </w:r>
    </w:p>
    <w:p w14:paraId="6D3E3F3F">
      <w:pPr>
        <w:pStyle w:val="2"/>
        <w:numPr>
          <w:ilvl w:val="0"/>
          <w:numId w:val="14"/>
        </w:numPr>
        <w:ind w:left="567"/>
      </w:pPr>
      <w:r>
        <w:rPr>
          <w:rFonts w:hint="eastAsia"/>
        </w:rPr>
        <w:t>支持对告警进行的严重程度分级统计展示。</w:t>
      </w:r>
    </w:p>
    <w:p w14:paraId="080D48B4">
      <w:pPr>
        <w:pStyle w:val="2"/>
        <w:numPr>
          <w:ilvl w:val="0"/>
          <w:numId w:val="14"/>
        </w:numPr>
        <w:ind w:left="567"/>
      </w:pPr>
      <w:r>
        <w:rPr>
          <w:rFonts w:hint="eastAsia"/>
        </w:rPr>
        <w:t>支持实时告警时间，告警设备，IP，严重程度，状态，时间戳，事件描述建议数据监控。</w:t>
      </w:r>
    </w:p>
    <w:p w14:paraId="00AADBC4">
      <w:pPr>
        <w:pStyle w:val="2"/>
        <w:numPr>
          <w:ilvl w:val="0"/>
          <w:numId w:val="14"/>
        </w:numPr>
        <w:ind w:left="567"/>
      </w:pPr>
      <w:r>
        <w:rPr>
          <w:rFonts w:hint="eastAsia"/>
        </w:rPr>
        <w:t>支持管理员分权管理，支持三权分立，包括系统管理员，安全管理员，审计管理员；支持自定义权限模板，为管理员分配管理权限；支持分级管理，将用户组、资源、角色按照组织架构进行分级管理，可以为各级别管理员分别创建管理员，并可逐级授权。</w:t>
      </w:r>
    </w:p>
    <w:p w14:paraId="35BD8E6C">
      <w:pPr>
        <w:pStyle w:val="2"/>
        <w:numPr>
          <w:ilvl w:val="0"/>
          <w:numId w:val="14"/>
        </w:numPr>
        <w:ind w:left="567"/>
      </w:pPr>
      <w:r>
        <w:rPr>
          <w:rFonts w:hint="eastAsia"/>
        </w:rPr>
        <w:t>支持实时查询系统状态，支持网卡配置。</w:t>
      </w:r>
    </w:p>
    <w:p w14:paraId="440DA31F">
      <w:pPr>
        <w:pStyle w:val="2"/>
        <w:numPr>
          <w:ilvl w:val="0"/>
          <w:numId w:val="14"/>
        </w:numPr>
        <w:ind w:left="567"/>
      </w:pPr>
      <w:r>
        <w:rPr>
          <w:rFonts w:hint="eastAsia"/>
        </w:rPr>
        <w:t>支持告警参数策略自定义配置。</w:t>
      </w:r>
    </w:p>
    <w:p w14:paraId="5A37B20E">
      <w:pPr>
        <w:pStyle w:val="2"/>
        <w:numPr>
          <w:ilvl w:val="0"/>
          <w:numId w:val="14"/>
        </w:numPr>
        <w:ind w:left="567"/>
      </w:pPr>
      <w:r>
        <w:rPr>
          <w:rFonts w:hint="eastAsia"/>
        </w:rPr>
        <w:t>支持记录系统用户操作。</w:t>
      </w:r>
    </w:p>
    <w:p w14:paraId="25B69C1A">
      <w:pPr>
        <w:pStyle w:val="2"/>
        <w:numPr>
          <w:ilvl w:val="0"/>
          <w:numId w:val="14"/>
        </w:numPr>
        <w:ind w:left="567"/>
      </w:pPr>
      <w:r>
        <w:rPr>
          <w:rFonts w:hint="eastAsia"/>
        </w:rPr>
        <w:t>支持Web界面对系统进行版本管理。</w:t>
      </w:r>
    </w:p>
    <w:p w14:paraId="698F6331">
      <w:pPr>
        <w:pStyle w:val="2"/>
        <w:numPr>
          <w:ilvl w:val="0"/>
          <w:numId w:val="14"/>
        </w:numPr>
        <w:ind w:left="567"/>
      </w:pPr>
      <w:r>
        <w:rPr>
          <w:rFonts w:hint="eastAsia"/>
        </w:rPr>
        <w:t>支持通过消息队列，Syslog，HTTPS进行数据转发。</w:t>
      </w:r>
    </w:p>
    <w:p w14:paraId="3CDD2F29">
      <w:pPr>
        <w:pStyle w:val="2"/>
        <w:numPr>
          <w:ilvl w:val="0"/>
          <w:numId w:val="14"/>
        </w:numPr>
        <w:ind w:left="567"/>
      </w:pPr>
      <w:r>
        <w:rPr>
          <w:rFonts w:hint="eastAsia"/>
        </w:rPr>
        <w:t>支持转发数据策略配置。</w:t>
      </w:r>
    </w:p>
    <w:p w14:paraId="0C670201">
      <w:pPr>
        <w:pStyle w:val="7"/>
        <w:spacing w:before="0" w:after="0"/>
        <w:ind w:left="862" w:hanging="862"/>
      </w:pPr>
      <w:r>
        <w:rPr>
          <w:rFonts w:hint="eastAsia"/>
        </w:rPr>
        <w:t>分布式存储软件配置要求</w:t>
      </w:r>
    </w:p>
    <w:p w14:paraId="66C48620">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基于分布式的PC服务器，构建存储集群，集群内节点可添加和删除，并且可支持添加删除硬盘并实现硬盘在线/离线扩容、更换功能，并能实现磁盘的批量扩容，新增磁盘或者节点后，系统可自动实现数据均衡，保障资源的平衡利用，随着磁盘及节点的扩展，存储性能可实现线性增长。</w:t>
      </w:r>
    </w:p>
    <w:p w14:paraId="1C5A6872">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支持部署在X86或ARM服务器内，将本地硬盘转化为共享存储。</w:t>
      </w:r>
    </w:p>
    <w:p w14:paraId="5365A9B1">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支持同时提供块存储、文件存储服务，</w:t>
      </w:r>
      <w:r>
        <w:rPr>
          <w:rFonts w:hint="eastAsia" w:ascii="Times New Roman" w:hAnsi="Times New Roman" w:cs="Times New Roman"/>
          <w:color w:val="000000" w:themeColor="text1"/>
          <w:lang w:bidi="ar"/>
          <w14:textFill>
            <w14:solidFill>
              <w14:schemeClr w14:val="tx1"/>
            </w14:solidFill>
          </w14:textFill>
        </w:rPr>
        <w:t>并</w:t>
      </w:r>
      <w:r>
        <w:rPr>
          <w:rFonts w:ascii="Times New Roman" w:hAnsi="Times New Roman" w:cs="Times New Roman"/>
          <w:color w:val="000000" w:themeColor="text1"/>
          <w:lang w:bidi="ar"/>
          <w14:textFill>
            <w14:solidFill>
              <w14:schemeClr w14:val="tx1"/>
            </w14:solidFill>
          </w14:textFill>
        </w:rPr>
        <w:t>为</w:t>
      </w:r>
      <w:r>
        <w:rPr>
          <w:rFonts w:hint="eastAsia" w:ascii="Times New Roman" w:hAnsi="Times New Roman" w:cs="Times New Roman"/>
          <w:color w:val="000000" w:themeColor="text1"/>
          <w:lang w:bidi="ar"/>
          <w14:textFill>
            <w14:solidFill>
              <w14:schemeClr w14:val="tx1"/>
            </w14:solidFill>
          </w14:textFill>
        </w:rPr>
        <w:t>边端OCS2.0</w:t>
      </w:r>
      <w:r>
        <w:rPr>
          <w:rFonts w:ascii="Times New Roman" w:hAnsi="Times New Roman" w:cs="Times New Roman"/>
          <w:color w:val="000000" w:themeColor="text1"/>
          <w:lang w:bidi="ar"/>
          <w14:textFill>
            <w14:solidFill>
              <w14:schemeClr w14:val="tx1"/>
            </w14:solidFill>
          </w14:textFill>
        </w:rPr>
        <w:t>技术平台建设的文件</w:t>
      </w:r>
      <w:r>
        <w:rPr>
          <w:rFonts w:hint="eastAsia" w:ascii="Times New Roman" w:hAnsi="Times New Roman" w:cs="Times New Roman"/>
          <w:color w:val="000000" w:themeColor="text1"/>
          <w:lang w:bidi="ar"/>
          <w14:textFill>
            <w14:solidFill>
              <w14:schemeClr w14:val="tx1"/>
            </w14:solidFill>
          </w14:textFill>
        </w:rPr>
        <w:t>服务、对象存储服务等PaaS层</w:t>
      </w:r>
      <w:r>
        <w:rPr>
          <w:rFonts w:ascii="Times New Roman" w:hAnsi="Times New Roman" w:cs="Times New Roman"/>
          <w:color w:val="000000" w:themeColor="text1"/>
          <w:lang w:bidi="ar"/>
          <w14:textFill>
            <w14:solidFill>
              <w14:schemeClr w14:val="tx1"/>
            </w14:solidFill>
          </w14:textFill>
        </w:rPr>
        <w:t>功能提供底层支撑；</w:t>
      </w:r>
    </w:p>
    <w:p w14:paraId="7E2BC1B1">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支持基于卷/RBD的部署并实现块存储卷（RBD）的在线/离线扩容功能</w:t>
      </w:r>
    </w:p>
    <w:p w14:paraId="6FB28DB2">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可通过部署多个对象网关实现文件管理访问的负载均衡。</w:t>
      </w:r>
    </w:p>
    <w:p w14:paraId="2FF2E32C">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可采用多副本机制保证数据可靠性，同一数据的多个副本能够分散到不同的磁盘/节点存储，各副本间保证数据的强一致性，支持多个副本的容错机制，副本数量可基于存储池灵活设置，</w:t>
      </w:r>
      <w:r>
        <w:rPr>
          <w:rFonts w:hint="eastAsia" w:ascii="Times New Roman" w:hAnsi="Times New Roman" w:cs="Times New Roman"/>
          <w:color w:val="000000" w:themeColor="text1"/>
          <w:lang w:bidi="ar"/>
          <w14:textFill>
            <w14:solidFill>
              <w14:schemeClr w14:val="tx1"/>
            </w14:solidFill>
          </w14:textFill>
        </w:rPr>
        <w:t>至少支持两副本和三副本模式，</w:t>
      </w:r>
      <w:r>
        <w:rPr>
          <w:rFonts w:ascii="Times New Roman" w:hAnsi="Times New Roman" w:cs="Times New Roman"/>
          <w:color w:val="000000" w:themeColor="text1"/>
          <w:lang w:bidi="ar"/>
          <w14:textFill>
            <w14:solidFill>
              <w14:schemeClr w14:val="tx1"/>
            </w14:solidFill>
          </w14:textFill>
        </w:rPr>
        <w:t>支持分级的数据保护模式。</w:t>
      </w:r>
    </w:p>
    <w:p w14:paraId="1401CC0E">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可采用纠删码方式保证数据的可靠性。</w:t>
      </w:r>
    </w:p>
    <w:p w14:paraId="23FDE9FD">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存储服务的管理后台应实现高可用部署，分布在不同的物理机上同步运行。管理后台所在的任意一个物理机宕机，不影响存储服务的运行。</w:t>
      </w:r>
    </w:p>
    <w:p w14:paraId="5F064B87">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支持集群节点或者硬盘故障后的数据重构，在集群中算法保障有一定数量节点或者硬盘故障时，系统可正常使用，数据不丢失。</w:t>
      </w:r>
    </w:p>
    <w:p w14:paraId="0F8C51DD">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支持基于块存储的快照和克隆。</w:t>
      </w:r>
    </w:p>
    <w:p w14:paraId="152D3A45">
      <w:pPr>
        <w:pStyle w:val="42"/>
        <w:numPr>
          <w:ilvl w:val="0"/>
          <w:numId w:val="15"/>
        </w:numPr>
        <w:tabs>
          <w:tab w:val="left" w:pos="993"/>
          <w:tab w:val="left" w:pos="1276"/>
        </w:tabs>
        <w:spacing w:before="0" w:after="0" w:line="360" w:lineRule="auto"/>
        <w:rPr>
          <w:rFonts w:ascii="Times New Roman" w:hAnsi="Times New Roman" w:cs="Times New Roman"/>
          <w:color w:val="000000" w:themeColor="text1"/>
          <w:lang w:bidi="ar"/>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块存储支持块存储空间的动态调整。</w:t>
      </w:r>
    </w:p>
    <w:p w14:paraId="03211846">
      <w:pPr>
        <w:pStyle w:val="42"/>
        <w:numPr>
          <w:ilvl w:val="0"/>
          <w:numId w:val="15"/>
        </w:numPr>
        <w:tabs>
          <w:tab w:val="left" w:pos="993"/>
          <w:tab w:val="left" w:pos="1276"/>
        </w:tabs>
        <w:spacing w:before="0" w:after="0" w:line="360" w:lineRule="auto"/>
        <w:rPr>
          <w:rFonts w:ascii="Times New Roman" w:hAnsi="Times New Roman" w:cs="Times New Roman"/>
          <w:color w:val="000000" w:themeColor="text1"/>
          <w:lang w:bidi="ar"/>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块存储支持以系统盘或数据盘的方式挂载到</w:t>
      </w:r>
      <w:r>
        <w:rPr>
          <w:rFonts w:hint="eastAsia" w:ascii="Times New Roman" w:hAnsi="Times New Roman" w:cs="Times New Roman"/>
          <w:color w:val="000000" w:themeColor="text1"/>
          <w:lang w:bidi="ar"/>
          <w14:textFill>
            <w14:solidFill>
              <w14:schemeClr w14:val="tx1"/>
            </w14:solidFill>
          </w14:textFill>
        </w:rPr>
        <w:t>容器</w:t>
      </w:r>
      <w:r>
        <w:rPr>
          <w:rFonts w:ascii="Times New Roman" w:hAnsi="Times New Roman" w:cs="Times New Roman"/>
          <w:color w:val="000000" w:themeColor="text1"/>
          <w:lang w:bidi="ar"/>
          <w14:textFill>
            <w14:solidFill>
              <w14:schemeClr w14:val="tx1"/>
            </w14:solidFill>
          </w14:textFill>
        </w:rPr>
        <w:t>实例中。</w:t>
      </w:r>
    </w:p>
    <w:p w14:paraId="27ACF98B">
      <w:pPr>
        <w:pStyle w:val="42"/>
        <w:numPr>
          <w:ilvl w:val="0"/>
          <w:numId w:val="15"/>
        </w:numPr>
        <w:tabs>
          <w:tab w:val="left" w:pos="993"/>
          <w:tab w:val="left" w:pos="1276"/>
        </w:tabs>
        <w:spacing w:before="0" w:after="0" w:line="360" w:lineRule="auto"/>
        <w:rPr>
          <w:rFonts w:ascii="Times New Roman" w:hAnsi="Times New Roman" w:cs="Times New Roman"/>
          <w:color w:val="000000" w:themeColor="text1"/>
          <w:lang w:bidi="ar"/>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块存储支持共享型存储，可将同一个块存储实例挂载到同一网络中的块存储多个</w:t>
      </w:r>
      <w:r>
        <w:rPr>
          <w:rFonts w:hint="eastAsia" w:ascii="Times New Roman" w:hAnsi="Times New Roman" w:cs="Times New Roman"/>
          <w:color w:val="000000" w:themeColor="text1"/>
          <w:lang w:bidi="ar"/>
          <w14:textFill>
            <w14:solidFill>
              <w14:schemeClr w14:val="tx1"/>
            </w14:solidFill>
          </w14:textFill>
        </w:rPr>
        <w:t>容器</w:t>
      </w:r>
      <w:r>
        <w:rPr>
          <w:rFonts w:ascii="Times New Roman" w:hAnsi="Times New Roman" w:cs="Times New Roman"/>
          <w:color w:val="000000" w:themeColor="text1"/>
          <w:lang w:bidi="ar"/>
          <w14:textFill>
            <w14:solidFill>
              <w14:schemeClr w14:val="tx1"/>
            </w14:solidFill>
          </w14:textFill>
        </w:rPr>
        <w:t>实例中。</w:t>
      </w:r>
    </w:p>
    <w:p w14:paraId="31EE013F">
      <w:pPr>
        <w:pStyle w:val="42"/>
        <w:numPr>
          <w:ilvl w:val="0"/>
          <w:numId w:val="15"/>
        </w:numPr>
        <w:tabs>
          <w:tab w:val="left" w:pos="993"/>
          <w:tab w:val="left" w:pos="1276"/>
        </w:tabs>
        <w:spacing w:before="0" w:after="0" w:line="360" w:lineRule="auto"/>
        <w:rPr>
          <w:rFonts w:ascii="Times New Roman" w:hAnsi="Times New Roman" w:cs="Times New Roman"/>
          <w:color w:val="000000" w:themeColor="text1"/>
          <w:lang w:bidi="ar"/>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块存储支持存储数据快速格式化。</w:t>
      </w:r>
    </w:p>
    <w:p w14:paraId="12B29DC3">
      <w:pPr>
        <w:pStyle w:val="42"/>
        <w:numPr>
          <w:ilvl w:val="0"/>
          <w:numId w:val="15"/>
        </w:numPr>
        <w:tabs>
          <w:tab w:val="left" w:pos="993"/>
          <w:tab w:val="left" w:pos="1276"/>
        </w:tabs>
        <w:spacing w:before="0" w:after="0" w:line="360" w:lineRule="auto"/>
        <w:rPr>
          <w:rFonts w:ascii="Times New Roman" w:hAnsi="Times New Roman" w:cs="Times New Roman"/>
          <w:color w:val="000000" w:themeColor="text1"/>
          <w:lang w:bidi="ar"/>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块存储支持多数据副本或者冗余提高数据高可靠，消除单点故障。</w:t>
      </w:r>
    </w:p>
    <w:p w14:paraId="695B0D71">
      <w:pPr>
        <w:pStyle w:val="42"/>
        <w:numPr>
          <w:ilvl w:val="0"/>
          <w:numId w:val="15"/>
        </w:numPr>
        <w:tabs>
          <w:tab w:val="left" w:pos="993"/>
          <w:tab w:val="left" w:pos="1276"/>
        </w:tabs>
        <w:spacing w:before="0" w:after="0" w:line="360" w:lineRule="auto"/>
        <w:rPr>
          <w:rFonts w:ascii="Times New Roman" w:hAnsi="Times New Roman" w:cs="Times New Roman"/>
          <w:color w:val="000000" w:themeColor="text1"/>
          <w:lang w:bidi="ar"/>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块存储支持某个时间点的快照功能，并可根据快照回滚到某个时间点状态。</w:t>
      </w:r>
    </w:p>
    <w:p w14:paraId="651F8C74">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支持存储网络的多链路负载均衡，集群内节点故障重启，不影响业务正常使用，并能再次恢复集群的高可用。</w:t>
      </w:r>
    </w:p>
    <w:p w14:paraId="065C2745">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支持SSD+HDD分级存储功能，IO读写支持通过SSD实现读写缓存，提升存储性能。</w:t>
      </w:r>
    </w:p>
    <w:p w14:paraId="185B2F7A">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具备平滑扩容功能，新增存储节点服务器时不影响现有节点运行。</w:t>
      </w:r>
    </w:p>
    <w:p w14:paraId="7D3911A4">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支持通过密码机、商用密码服务平台提供的接口对存储的数据进行加密，保障数据存储过程的机密性。</w:t>
      </w:r>
    </w:p>
    <w:p w14:paraId="1166B4DF">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支持存储容量的水平扩展。</w:t>
      </w:r>
    </w:p>
    <w:p w14:paraId="2C357EE4">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管理维护简单易用，能够对存储基础架构进行集中的配置，如存储资源池、集群、集群节点、磁盘等资源进行合理的划分和配置，通过配置向导功能，保障存储配置的简易性和准确性。</w:t>
      </w:r>
    </w:p>
    <w:p w14:paraId="1B51CD4B">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提供存储集群管理工具，对各个存储节点服务器进行统一的监视和管理。同时支持CLI命令行工具，最大化管理效率。</w:t>
      </w:r>
    </w:p>
    <w:p w14:paraId="2C3D6F45">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资源告警：容量超阈值告警，系统内节点、磁盘故障告警。</w:t>
      </w:r>
    </w:p>
    <w:p w14:paraId="4BE2664F">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主机维护模式，可实现账户的添加删除，容量分配以及用户信息的导入导出。</w:t>
      </w:r>
    </w:p>
    <w:p w14:paraId="477BC009">
      <w:pPr>
        <w:pStyle w:val="42"/>
        <w:numPr>
          <w:ilvl w:val="0"/>
          <w:numId w:val="15"/>
        </w:numPr>
        <w:tabs>
          <w:tab w:val="left" w:pos="993"/>
          <w:tab w:val="left" w:pos="1276"/>
        </w:tabs>
        <w:spacing w:before="0"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bidi="ar"/>
          <w14:textFill>
            <w14:solidFill>
              <w14:schemeClr w14:val="tx1"/>
            </w14:solidFill>
          </w14:textFill>
        </w:rPr>
        <w:t>兼容业界主流服务器主机，兼容主流硬盘类型，RAID卡类型。</w:t>
      </w:r>
    </w:p>
    <w:p w14:paraId="71830337">
      <w:pPr>
        <w:pStyle w:val="7"/>
        <w:spacing w:before="0" w:after="0"/>
        <w:ind w:left="862" w:hanging="862"/>
      </w:pPr>
      <w:r>
        <w:rPr>
          <w:rFonts w:hint="eastAsia"/>
        </w:rPr>
        <w:t>双因子认证证书系统配置要求</w:t>
      </w:r>
    </w:p>
    <w:p w14:paraId="4A1F4F0A">
      <w:pPr>
        <w:pStyle w:val="1059"/>
        <w:spacing w:line="360" w:lineRule="auto"/>
        <w:ind w:firstLine="480"/>
        <w:jc w:val="left"/>
        <w:rPr>
          <w:sz w:val="24"/>
          <w:szCs w:val="24"/>
        </w:rPr>
      </w:pPr>
      <w:r>
        <w:rPr>
          <w:rFonts w:hint="eastAsia"/>
          <w:sz w:val="24"/>
          <w:szCs w:val="24"/>
        </w:rPr>
        <w:t>系统应配置双因子认证证书系统，满足商用密码使用等基本要求，具体以网络安全相关文件为准。</w:t>
      </w:r>
    </w:p>
    <w:p w14:paraId="2E28086D">
      <w:pPr>
        <w:pStyle w:val="7"/>
        <w:spacing w:before="0" w:after="0"/>
        <w:ind w:left="862" w:hanging="862"/>
      </w:pPr>
      <w:r>
        <w:rPr>
          <w:rFonts w:hint="eastAsia"/>
        </w:rPr>
        <w:t>虚拟桌面平台系统配置要求</w:t>
      </w:r>
    </w:p>
    <w:p w14:paraId="50D8169D">
      <w:pPr>
        <w:pStyle w:val="1060"/>
        <w:numPr>
          <w:ilvl w:val="2"/>
          <w:numId w:val="16"/>
        </w:numPr>
        <w:adjustRightInd w:val="0"/>
        <w:snapToGrid w:val="0"/>
        <w:spacing w:line="360" w:lineRule="auto"/>
        <w:ind w:left="0" w:firstLine="426" w:firstLineChars="0"/>
        <w:jc w:val="left"/>
        <w:rPr>
          <w:rFonts w:hint="eastAsia" w:ascii="宋体" w:hAnsi="宋体" w:eastAsia="宋体" w:cs="宋体"/>
          <w:b/>
          <w:bCs/>
          <w:color w:val="000000"/>
        </w:rPr>
      </w:pPr>
      <w:r>
        <w:rPr>
          <w:rFonts w:hint="eastAsia" w:ascii="宋体" w:hAnsi="宋体" w:eastAsia="宋体" w:cs="宋体"/>
          <w:b/>
          <w:bCs/>
          <w:color w:val="000000"/>
        </w:rPr>
        <w:t>基本功能要求</w:t>
      </w:r>
    </w:p>
    <w:p w14:paraId="0CE856C9">
      <w:pPr>
        <w:pStyle w:val="1060"/>
        <w:numPr>
          <w:ilvl w:val="0"/>
          <w:numId w:val="17"/>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系统能够同时提供桌面虚拟化（同时支持VDI、IDV架构）、应用虚拟化、服务器虚拟化功能，满足电网各种应用场景下的系统应用需求。</w:t>
      </w:r>
    </w:p>
    <w:p w14:paraId="48561704">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虚拟桌面平台系统基于超融合架构设计，当某台桌面服务器故障后，这台服务器上的虚拟桌面能够自动迁移到其他正常运行的桌面服务器上去，确保桌面服务的连续性。</w:t>
      </w:r>
    </w:p>
    <w:p w14:paraId="29BDBE8F">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虚拟桌面平台系统提供外设重定向功能，包括U盘、Ukey、摄像头、指纹仪、扫描仪、打印机、麦克风、音响等常见外设。</w:t>
      </w:r>
    </w:p>
    <w:p w14:paraId="6F444013">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虚拟桌面可细粒度控制Ukey、扫描仪、摄像头、打印机、U盘等外设设备的接入，可根据设备的VID、PID进行USB访问属性设置，包括允许、自动重定向、只读等属性，并能根据特定用户和用户组来设置重定向指定的USB设备。</w:t>
      </w:r>
    </w:p>
    <w:p w14:paraId="285B07B9">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系统提供统一的图形化客户端管理程序，管理员具备用户账号管理、虚拟机配置管理、镜像模版管理、网络管理等功能。能够实现计算资源、存储资源、网络资源等资源的集中管理。管理员通过管理界面可实现操作系统、调度系统人机程序以及其它应用软件的统一安装、发布、更新。同时还具备监控功能，包括服务器运行状态监控、用户桌面会话行为监控、虚拟机运行状态监控等。</w:t>
      </w:r>
    </w:p>
    <w:p w14:paraId="4744108F">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能够实现计算资源、存储资源、网络资源等资源的集中池化管理，在资源池中支撑运行若干数量的虚拟机，虚拟机被动态负载均衡到集群服务器上运行。</w:t>
      </w:r>
    </w:p>
    <w:p w14:paraId="193C1B50">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资源动态扩展，支持计算、存储、网络资源的动态扩展，支持在线虚拟机资源的定制化配置。</w:t>
      </w:r>
    </w:p>
    <w:p w14:paraId="31F08BFA">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提供超融合分布式存储功能，可以将计算节点及分布式存储节点同时部署在同一主机上，采用分布式存储系统的多副本存储策略，对虚拟桌面平台系统的虚拟机文件进行备份存储，避免数据丢失。</w:t>
      </w:r>
    </w:p>
    <w:p w14:paraId="7436CD55">
      <w:pPr>
        <w:numPr>
          <w:ilvl w:val="0"/>
          <w:numId w:val="17"/>
        </w:numPr>
        <w:adjustRightInd w:val="0"/>
        <w:snapToGrid w:val="0"/>
        <w:ind w:right="48" w:rightChars="20" w:firstLine="480" w:firstLineChars="200"/>
        <w:rPr>
          <w:rFonts w:hint="eastAsia" w:ascii="宋体" w:hAnsi="宋体" w:cs="宋体"/>
          <w:color w:val="000000"/>
          <w:szCs w:val="21"/>
        </w:rPr>
      </w:pPr>
      <w:r>
        <w:rPr>
          <w:rFonts w:hint="eastAsia" w:ascii="宋体" w:hAnsi="宋体" w:cs="宋体"/>
          <w:color w:val="000000"/>
          <w:szCs w:val="21"/>
        </w:rPr>
        <w:t>支持集群部署模式、支持双机主备冗余或双机复制部署模式，由两台或多台服务器同时提供桌面虚拟化服务。任一服务器故障后，虚拟主机会自动迁移到其他服务器上运行。</w:t>
      </w:r>
    </w:p>
    <w:p w14:paraId="75703C13">
      <w:pPr>
        <w:pStyle w:val="1060"/>
        <w:numPr>
          <w:ilvl w:val="2"/>
          <w:numId w:val="16"/>
        </w:numPr>
        <w:adjustRightInd w:val="0"/>
        <w:snapToGrid w:val="0"/>
        <w:spacing w:line="360" w:lineRule="auto"/>
        <w:ind w:left="0" w:firstLine="426" w:firstLineChars="0"/>
        <w:jc w:val="left"/>
        <w:rPr>
          <w:rFonts w:hint="eastAsia" w:ascii="宋体" w:hAnsi="宋体" w:eastAsia="宋体" w:cs="宋体"/>
          <w:b/>
          <w:bCs/>
          <w:color w:val="000000"/>
          <w:szCs w:val="21"/>
        </w:rPr>
      </w:pPr>
      <w:r>
        <w:rPr>
          <w:rFonts w:hint="eastAsia" w:ascii="宋体" w:hAnsi="宋体" w:eastAsia="宋体" w:cs="宋体"/>
          <w:b/>
          <w:bCs/>
          <w:color w:val="000000"/>
        </w:rPr>
        <w:t>安全功能要求</w:t>
      </w:r>
    </w:p>
    <w:p w14:paraId="6DBD8B07">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虚拟桌面平台系统支持录屏功能，将用户登录系统后所有操作过程通过录屏的方式记录下来，便于后续的审计工作。录屏设置可以设定录屏的码率、录屏文件保存时长等参数，管理员可以在线浏览录屏记录，录屏记录也支持导出。</w:t>
      </w:r>
    </w:p>
    <w:p w14:paraId="1B8B7B90">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为避免管理员在维护时将桌面误删除，安全可靠虚拟桌面平台系统支持回收站机制，删除桌面后，先将桌面移至回收站，管理员可选择恢复桌面或者彻底删除虚拟桌面。</w:t>
      </w:r>
    </w:p>
    <w:p w14:paraId="51100C11">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为防止桌面数据被拍照或截屏泄露的风险，桌面支持安全水印，能自定义水印内容，可配置字体颜色、反色调显示、透明度、字体大小、倾斜度、当前登录的用户和桌面IP地址，并支持在水印配置界面中预览实际水印效果。</w:t>
      </w:r>
    </w:p>
    <w:p w14:paraId="6FABD053">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系统管理员采用三权分立设计，包括系统日常管理员、安全管理员、审计管理员，而不存在单一超级角色管理。</w:t>
      </w:r>
    </w:p>
    <w:p w14:paraId="2D63EC6D">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安全审计，虚拟桌面基础平台应支持完善的日志及审计功能，针对虚拟机的日常启动，关闭，登录使用等行为，以及管理员的创建，删除虚拟机等操作进行日志记录及审计。</w:t>
      </w:r>
    </w:p>
    <w:p w14:paraId="6D71D734">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系统支持对虚拟机进行虚拟机分组隔离，基于TCP、UDP、ICMP协议对虚拟机添加访问限制策略，限制虚拟机与虚拟机之间的相互访问，以及支持对虚拟机的上下行网络带宽进行控制。</w:t>
      </w:r>
    </w:p>
    <w:p w14:paraId="4359DC47">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支持在管理组件中内置应用管控技术，实现全方位管控，在禁止名单中可以通过配置规则禁止指定应用或进程在安全桌面中运行；在允许名单中通过配置规则只允许规则中的应用或进程在安全桌面中运行。应用控制规则需支持应用特征码、产品名称、发布者名称等多个维度；可选择自定义的规则库，也可以选择已经存在的应用规则库。</w:t>
      </w:r>
    </w:p>
    <w:p w14:paraId="69646954">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支持个人数据盘加密：安全桌面数据集中管理，需支持个人盘加密技术，对安全桌面个人磁盘进行加密处理，保障个人隐私安全。</w:t>
      </w:r>
    </w:p>
    <w:p w14:paraId="4C29BE0A">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虚拟桌面平台系统支持配置终端和用户绑定，只有绑定的终端才能连接对应用户的桌面；支持配置用户是否可以通过外网连接桌面；支持配置指定终端型号、操作系统、IP和时间才能登录桌面</w:t>
      </w:r>
    </w:p>
    <w:p w14:paraId="786C6F81">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虚拟桌面平台系统支持任意账号可以通过任意安全云终端进行登录访问。为了进一步加强安全管控，支持账号与云终端进行绑定，管理员开启该安全管控功能后，某个云终端只有绑定的账号才能使用该云终端进行登录到云平台。支持一绑多、多绑多</w:t>
      </w:r>
    </w:p>
    <w:p w14:paraId="72FE9AF3">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虚拟桌面平台系统支持在云终端和桌面服务器之间进行双向鉴权控制，杜绝非法的云终端接入虚拟桌面平台系统，同时杜绝云终端接入到非法的虚拟桌面平台系统造成泄密</w:t>
      </w:r>
    </w:p>
    <w:p w14:paraId="2C8B5C7B">
      <w:pPr>
        <w:pStyle w:val="1060"/>
        <w:numPr>
          <w:ilvl w:val="0"/>
          <w:numId w:val="18"/>
        </w:numPr>
        <w:adjustRightInd w:val="0"/>
        <w:snapToGrid w:val="0"/>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虚拟桌面平台系统支持管理员在后端控制台统一升级云终端固件。</w:t>
      </w:r>
    </w:p>
    <w:p w14:paraId="576F11A8">
      <w:pPr>
        <w:pStyle w:val="7"/>
        <w:spacing w:before="0" w:after="0"/>
        <w:ind w:left="862" w:hanging="862"/>
      </w:pPr>
      <w:bookmarkStart w:id="63" w:name="_Toc353230966"/>
      <w:bookmarkEnd w:id="63"/>
      <w:bookmarkStart w:id="64" w:name="_Toc55461075"/>
      <w:bookmarkStart w:id="65" w:name="_Toc441590907"/>
      <w:bookmarkStart w:id="66" w:name="_Toc447281456"/>
      <w:bookmarkStart w:id="67" w:name="_Toc485656017"/>
      <w:bookmarkStart w:id="68" w:name="_Toc493319852"/>
      <w:bookmarkStart w:id="69" w:name="_Toc412813765"/>
      <w:bookmarkStart w:id="70" w:name="_Toc364582319"/>
      <w:r>
        <w:rPr>
          <w:rFonts w:hint="eastAsia"/>
        </w:rPr>
        <w:t>数据库同步软件要求</w:t>
      </w:r>
      <w:bookmarkEnd w:id="64"/>
    </w:p>
    <w:p w14:paraId="5B0543C1">
      <w:pPr>
        <w:pStyle w:val="1054"/>
        <w:numPr>
          <w:ilvl w:val="255"/>
          <w:numId w:val="0"/>
        </w:numPr>
        <w:spacing w:before="120" w:after="120"/>
        <w:ind w:left="147" w:firstLine="241" w:firstLineChars="100"/>
        <w:rPr>
          <w:rFonts w:ascii="Calibri" w:hAnsi="Calibri"/>
          <w:b/>
          <w:bCs/>
        </w:rPr>
      </w:pPr>
      <w:bookmarkStart w:id="71" w:name="_Toc52186578"/>
      <w:r>
        <w:rPr>
          <w:rFonts w:hint="eastAsia" w:ascii="Calibri" w:hAnsi="Calibri"/>
          <w:b/>
          <w:bCs/>
        </w:rPr>
        <w:t>基本要求</w:t>
      </w:r>
      <w:bookmarkEnd w:id="71"/>
      <w:r>
        <w:rPr>
          <w:rFonts w:hint="eastAsia" w:ascii="Calibri" w:hAnsi="Calibri"/>
          <w:b/>
          <w:bCs/>
        </w:rPr>
        <w:t>：</w:t>
      </w:r>
    </w:p>
    <w:p w14:paraId="74052843">
      <w:pPr>
        <w:pStyle w:val="243"/>
        <w:numPr>
          <w:ilvl w:val="0"/>
          <w:numId w:val="19"/>
        </w:numPr>
        <w:tabs>
          <w:tab w:val="left" w:pos="567"/>
        </w:tabs>
        <w:spacing w:before="0" w:after="0"/>
        <w:ind w:left="0" w:firstLine="240"/>
      </w:pPr>
      <w:r>
        <w:rPr>
          <w:rFonts w:hint="eastAsia"/>
        </w:rPr>
        <w:t>数据库复制软件需具备良好的平台支持性，能够支持国内主流</w:t>
      </w:r>
      <w:r>
        <w:rPr>
          <w:rFonts w:hint="eastAsia"/>
          <w:lang w:val="en-US" w:eastAsia="zh-CN"/>
        </w:rPr>
        <w:t>安全可控</w:t>
      </w:r>
      <w:r>
        <w:rPr>
          <w:rFonts w:hint="eastAsia"/>
        </w:rPr>
        <w:t>操作系统，支持x86、ARM等CPU硬件架构以及虚拟化部署方式。</w:t>
      </w:r>
    </w:p>
    <w:p w14:paraId="04E69ACA">
      <w:pPr>
        <w:pStyle w:val="243"/>
        <w:numPr>
          <w:ilvl w:val="0"/>
          <w:numId w:val="19"/>
        </w:numPr>
        <w:tabs>
          <w:tab w:val="left" w:pos="567"/>
        </w:tabs>
        <w:spacing w:before="0" w:after="0"/>
        <w:ind w:left="0" w:firstLine="240"/>
      </w:pPr>
      <w:r>
        <w:rPr>
          <w:rFonts w:hint="eastAsia"/>
        </w:rPr>
        <w:t>可支持达梦、金仓等多种类型的源数据库。</w:t>
      </w:r>
    </w:p>
    <w:p w14:paraId="1DCCE205">
      <w:pPr>
        <w:pStyle w:val="243"/>
        <w:numPr>
          <w:ilvl w:val="0"/>
          <w:numId w:val="19"/>
        </w:numPr>
        <w:tabs>
          <w:tab w:val="left" w:pos="567"/>
        </w:tabs>
        <w:spacing w:before="0" w:after="0"/>
        <w:ind w:left="0" w:firstLine="240"/>
      </w:pPr>
      <w:r>
        <w:rPr>
          <w:rFonts w:hint="eastAsia"/>
        </w:rPr>
        <w:t>以源数据库的事务为单位，严格按照主机业务系统事务顺序实施数据同步，保障备机数据库与主机数据库的事务级完整性和一致性，确保备机数据库符合主机业务系统事务逻辑。</w:t>
      </w:r>
    </w:p>
    <w:p w14:paraId="58079ADA">
      <w:pPr>
        <w:pStyle w:val="243"/>
        <w:numPr>
          <w:ilvl w:val="0"/>
          <w:numId w:val="19"/>
        </w:numPr>
        <w:tabs>
          <w:tab w:val="left" w:pos="567"/>
        </w:tabs>
        <w:spacing w:before="0" w:after="0"/>
        <w:ind w:left="0" w:firstLine="240"/>
      </w:pPr>
      <w:r>
        <w:rPr>
          <w:rFonts w:hint="eastAsia"/>
        </w:rPr>
        <w:t>支持同步数据可筛选、数据过滤和自定义数据修改，可以自定义基于表和行的过滤规则；可以对实时数据执行灵活映射和变换。</w:t>
      </w:r>
    </w:p>
    <w:p w14:paraId="36CC9083">
      <w:pPr>
        <w:pStyle w:val="243"/>
        <w:numPr>
          <w:ilvl w:val="0"/>
          <w:numId w:val="19"/>
        </w:numPr>
        <w:tabs>
          <w:tab w:val="left" w:pos="567"/>
        </w:tabs>
        <w:spacing w:before="0" w:after="0"/>
        <w:ind w:left="0" w:firstLine="240"/>
      </w:pPr>
      <w:r>
        <w:rPr>
          <w:rFonts w:hint="eastAsia"/>
        </w:rPr>
        <w:t>采用并行处理体系，能实时捕获数据变化，实现大批量的数据同步。</w:t>
      </w:r>
    </w:p>
    <w:p w14:paraId="60D0B9F8">
      <w:pPr>
        <w:pStyle w:val="243"/>
        <w:numPr>
          <w:ilvl w:val="0"/>
          <w:numId w:val="19"/>
        </w:numPr>
        <w:tabs>
          <w:tab w:val="left" w:pos="567"/>
        </w:tabs>
        <w:spacing w:before="0" w:after="0"/>
        <w:ind w:left="0" w:firstLine="240"/>
      </w:pPr>
      <w:r>
        <w:rPr>
          <w:rFonts w:hint="eastAsia"/>
        </w:rPr>
        <w:t>支持断点续传机制，在数据传输过程中遇到网络故障而导致传输中断，可以记录断点待网络恢复后从断点开始继续同步。</w:t>
      </w:r>
    </w:p>
    <w:p w14:paraId="427B4AC4">
      <w:pPr>
        <w:pStyle w:val="243"/>
        <w:numPr>
          <w:ilvl w:val="0"/>
          <w:numId w:val="19"/>
        </w:numPr>
        <w:tabs>
          <w:tab w:val="left" w:pos="567"/>
        </w:tabs>
        <w:spacing w:before="0" w:after="0"/>
        <w:ind w:left="0" w:firstLine="240"/>
      </w:pPr>
      <w:r>
        <w:rPr>
          <w:rFonts w:hint="eastAsia"/>
        </w:rPr>
        <w:t>支持捕获源端数据库的所有</w:t>
      </w:r>
      <w:r>
        <w:t>DML</w:t>
      </w:r>
      <w:r>
        <w:rPr>
          <w:rFonts w:hint="eastAsia"/>
        </w:rPr>
        <w:t>操作，支持同步表的各种数据类型，包括数值类型、字符类型、时间类型、</w:t>
      </w:r>
      <w:r>
        <w:t>BLOB</w:t>
      </w:r>
      <w:r>
        <w:rPr>
          <w:rFonts w:hint="eastAsia"/>
        </w:rPr>
        <w:t>、</w:t>
      </w:r>
      <w:r>
        <w:t>CLOB</w:t>
      </w:r>
      <w:r>
        <w:rPr>
          <w:rFonts w:hint="eastAsia"/>
        </w:rPr>
        <w:t>和用户定义类型；支持普通表、分区表、</w:t>
      </w:r>
      <w:r>
        <w:t>HUGE</w:t>
      </w:r>
      <w:r>
        <w:rPr>
          <w:rFonts w:hint="eastAsia"/>
        </w:rPr>
        <w:t>表、堆表的抽取和复制。</w:t>
      </w:r>
    </w:p>
    <w:p w14:paraId="0EF01BB8">
      <w:pPr>
        <w:pStyle w:val="243"/>
        <w:numPr>
          <w:ilvl w:val="0"/>
          <w:numId w:val="19"/>
        </w:numPr>
        <w:tabs>
          <w:tab w:val="left" w:pos="567"/>
        </w:tabs>
        <w:spacing w:before="0" w:after="0"/>
        <w:ind w:left="0" w:firstLine="240"/>
      </w:pPr>
      <w:r>
        <w:rPr>
          <w:rFonts w:hint="eastAsia"/>
        </w:rPr>
        <w:t>支持包括存储过程、函数、包、索引、视图等数据对象的同步；源数据库对目标库进行指定表、分区、</w:t>
      </w:r>
      <w:r>
        <w:t>schema</w:t>
      </w:r>
      <w:r>
        <w:rPr>
          <w:rFonts w:hint="eastAsia"/>
        </w:rPr>
        <w:t>同步时，源数据库在线新增或删除表、分区，在不重启应用情况下自动对目标库进行新增或删除表、分区数据同步。</w:t>
      </w:r>
    </w:p>
    <w:p w14:paraId="2C642581">
      <w:pPr>
        <w:pStyle w:val="243"/>
        <w:numPr>
          <w:ilvl w:val="0"/>
          <w:numId w:val="19"/>
        </w:numPr>
        <w:tabs>
          <w:tab w:val="left" w:pos="567"/>
        </w:tabs>
        <w:spacing w:before="0" w:after="0"/>
        <w:ind w:left="0" w:firstLine="240"/>
      </w:pPr>
      <w:r>
        <w:rPr>
          <w:rFonts w:hint="eastAsia"/>
        </w:rPr>
        <w:t>提供</w:t>
      </w:r>
      <w:r>
        <w:t>Java</w:t>
      </w:r>
      <w:r>
        <w:rPr>
          <w:rFonts w:hint="eastAsia"/>
        </w:rPr>
        <w:t>语言和</w:t>
      </w:r>
      <w:r>
        <w:t>C</w:t>
      </w:r>
      <w:r>
        <w:rPr>
          <w:rFonts w:hint="eastAsia"/>
        </w:rPr>
        <w:t>语言的</w:t>
      </w:r>
      <w:r>
        <w:t>API</w:t>
      </w:r>
      <w:r>
        <w:rPr>
          <w:rFonts w:hint="eastAsia"/>
        </w:rPr>
        <w:t>接口。</w:t>
      </w:r>
    </w:p>
    <w:p w14:paraId="18FFA087">
      <w:pPr>
        <w:pStyle w:val="243"/>
        <w:numPr>
          <w:ilvl w:val="0"/>
          <w:numId w:val="19"/>
        </w:numPr>
        <w:tabs>
          <w:tab w:val="left" w:pos="567"/>
        </w:tabs>
        <w:spacing w:before="0" w:after="0"/>
        <w:ind w:left="0" w:firstLine="240"/>
      </w:pPr>
      <w:r>
        <w:t>支持</w:t>
      </w:r>
      <w:r>
        <w:rPr>
          <w:rFonts w:hint="eastAsia"/>
        </w:rPr>
        <w:t>在线</w:t>
      </w:r>
      <w:r>
        <w:t>数据初始化同步，在数据复制出现异常需要重新进行初始化时能够自动清理目标数据</w:t>
      </w:r>
      <w:r>
        <w:rPr>
          <w:rFonts w:hint="eastAsia"/>
        </w:rPr>
        <w:t>。</w:t>
      </w:r>
    </w:p>
    <w:p w14:paraId="21BE2CA4">
      <w:pPr>
        <w:pStyle w:val="243"/>
        <w:numPr>
          <w:ilvl w:val="0"/>
          <w:numId w:val="19"/>
        </w:numPr>
        <w:tabs>
          <w:tab w:val="left" w:pos="567"/>
        </w:tabs>
        <w:spacing w:before="0" w:after="0"/>
        <w:ind w:left="0" w:firstLine="240"/>
      </w:pPr>
      <w:r>
        <w:rPr>
          <w:rFonts w:hint="eastAsia"/>
        </w:rPr>
        <w:t>开放式体系结构能够适应各种异构数据平台；支持一对一同步</w:t>
      </w:r>
      <w:r>
        <w:t xml:space="preserve"> </w:t>
      </w:r>
      <w:r>
        <w:rPr>
          <w:rFonts w:hint="eastAsia"/>
        </w:rPr>
        <w:t>、一对多广播型同步</w:t>
      </w:r>
      <w:r>
        <w:t xml:space="preserve"> </w:t>
      </w:r>
      <w:r>
        <w:rPr>
          <w:rFonts w:hint="eastAsia"/>
        </w:rPr>
        <w:t>、多对一聚合型同步</w:t>
      </w:r>
      <w:r>
        <w:t xml:space="preserve"> </w:t>
      </w:r>
      <w:r>
        <w:rPr>
          <w:rFonts w:hint="eastAsia"/>
        </w:rPr>
        <w:t>、多对多同步、多级中转级联同步等多种数据同步形式；支持组合多种同步形式，搭建复杂的拓扑结构。</w:t>
      </w:r>
    </w:p>
    <w:p w14:paraId="17C36201">
      <w:pPr>
        <w:pStyle w:val="243"/>
        <w:numPr>
          <w:ilvl w:val="0"/>
          <w:numId w:val="19"/>
        </w:numPr>
        <w:tabs>
          <w:tab w:val="left" w:pos="567"/>
        </w:tabs>
        <w:spacing w:before="0" w:after="0"/>
        <w:ind w:left="0" w:firstLine="240"/>
      </w:pPr>
      <w:r>
        <w:rPr>
          <w:rFonts w:hint="eastAsia"/>
        </w:rPr>
        <w:t>复制灵活性，支持并实现数据库双向复制，支持并实现不同平台不同版本数据库之间的双向复制。</w:t>
      </w:r>
    </w:p>
    <w:p w14:paraId="3D936C59">
      <w:pPr>
        <w:pStyle w:val="243"/>
        <w:numPr>
          <w:ilvl w:val="0"/>
          <w:numId w:val="19"/>
        </w:numPr>
        <w:tabs>
          <w:tab w:val="left" w:pos="567"/>
        </w:tabs>
        <w:spacing w:before="0" w:after="0"/>
        <w:ind w:left="0" w:firstLine="240"/>
      </w:pPr>
      <w:r>
        <w:rPr>
          <w:rFonts w:hint="eastAsia"/>
        </w:rPr>
        <w:t>提供配置管理工具，提供可视化图形监控工具，丰富的日志功能。</w:t>
      </w:r>
    </w:p>
    <w:p w14:paraId="5BB05DB5">
      <w:pPr>
        <w:pStyle w:val="1054"/>
        <w:spacing w:before="0" w:after="0"/>
        <w:ind w:firstLine="241" w:firstLineChars="100"/>
        <w:rPr>
          <w:b/>
        </w:rPr>
      </w:pPr>
      <w:bookmarkStart w:id="72" w:name="_Toc52186580"/>
      <w:r>
        <w:rPr>
          <w:rFonts w:hint="eastAsia"/>
          <w:b/>
        </w:rPr>
        <w:t>性能要求</w:t>
      </w:r>
      <w:bookmarkEnd w:id="72"/>
      <w:r>
        <w:rPr>
          <w:rFonts w:hint="eastAsia"/>
          <w:b/>
        </w:rPr>
        <w:t>：</w:t>
      </w:r>
    </w:p>
    <w:p w14:paraId="1807DE9E">
      <w:pPr>
        <w:pStyle w:val="243"/>
        <w:numPr>
          <w:ilvl w:val="0"/>
          <w:numId w:val="20"/>
        </w:numPr>
        <w:tabs>
          <w:tab w:val="left" w:pos="567"/>
        </w:tabs>
        <w:spacing w:before="0" w:after="0"/>
        <w:ind w:left="0" w:firstLine="240"/>
      </w:pPr>
      <w:r>
        <w:rPr>
          <w:rFonts w:hint="eastAsia"/>
        </w:rPr>
        <w:t>源端到目的端不低于</w:t>
      </w:r>
      <w:r>
        <w:t>20M/S</w:t>
      </w:r>
      <w:r>
        <w:rPr>
          <w:rFonts w:hint="eastAsia"/>
        </w:rPr>
        <w:t>的数据复制能力，延迟要求在</w:t>
      </w:r>
      <w:r>
        <w:t>60s</w:t>
      </w:r>
      <w:r>
        <w:rPr>
          <w:rFonts w:hint="eastAsia"/>
        </w:rPr>
        <w:t>以内。并提供相关测试报告。</w:t>
      </w:r>
    </w:p>
    <w:p w14:paraId="00F42287">
      <w:pPr>
        <w:pStyle w:val="243"/>
        <w:numPr>
          <w:ilvl w:val="0"/>
          <w:numId w:val="20"/>
        </w:numPr>
        <w:tabs>
          <w:tab w:val="left" w:pos="567"/>
        </w:tabs>
        <w:spacing w:before="0" w:after="0"/>
        <w:ind w:left="0" w:firstLine="240"/>
      </w:pPr>
      <w:r>
        <w:rPr>
          <w:rFonts w:hint="eastAsia"/>
        </w:rPr>
        <w:t>在业务高峰期不能对数据库系统有大的性能消耗，包括源端和目的端数据库的影响。</w:t>
      </w:r>
    </w:p>
    <w:p w14:paraId="30DD4154">
      <w:pPr>
        <w:pStyle w:val="243"/>
        <w:numPr>
          <w:ilvl w:val="0"/>
          <w:numId w:val="20"/>
        </w:numPr>
        <w:tabs>
          <w:tab w:val="left" w:pos="567"/>
        </w:tabs>
        <w:spacing w:before="0" w:after="0"/>
        <w:ind w:left="0" w:firstLine="240"/>
      </w:pPr>
      <w:r>
        <w:rPr>
          <w:rFonts w:hint="eastAsia"/>
        </w:rPr>
        <w:t>秒级的数据延迟，对源生产端影响极小；极低的网络占用</w:t>
      </w:r>
    </w:p>
    <w:p w14:paraId="331FF468">
      <w:pPr>
        <w:pStyle w:val="1054"/>
        <w:numPr>
          <w:ilvl w:val="255"/>
          <w:numId w:val="0"/>
        </w:numPr>
        <w:spacing w:before="0" w:after="0"/>
        <w:ind w:firstLine="241" w:firstLineChars="100"/>
        <w:rPr>
          <w:b/>
        </w:rPr>
      </w:pPr>
      <w:bookmarkStart w:id="73" w:name="_Toc52186581"/>
      <w:r>
        <w:rPr>
          <w:rFonts w:hint="eastAsia"/>
          <w:b/>
        </w:rPr>
        <w:t>安全性要求</w:t>
      </w:r>
      <w:bookmarkEnd w:id="73"/>
      <w:r>
        <w:rPr>
          <w:rFonts w:hint="eastAsia"/>
          <w:b/>
        </w:rPr>
        <w:t>：</w:t>
      </w:r>
    </w:p>
    <w:p w14:paraId="6BF0044C">
      <w:pPr>
        <w:pStyle w:val="243"/>
        <w:numPr>
          <w:ilvl w:val="0"/>
          <w:numId w:val="21"/>
        </w:numPr>
        <w:tabs>
          <w:tab w:val="left" w:pos="567"/>
        </w:tabs>
        <w:spacing w:before="0" w:after="0"/>
        <w:ind w:left="0" w:firstLine="240"/>
      </w:pPr>
      <w:r>
        <w:rPr>
          <w:rFonts w:hint="eastAsia"/>
        </w:rPr>
        <w:t>支持传输数据压缩和加密，降低网络传输代价，提高传输安全性，防止数据在传输过程中被非法窃取。</w:t>
      </w:r>
    </w:p>
    <w:p w14:paraId="71E1B6E1">
      <w:pPr>
        <w:pStyle w:val="243"/>
        <w:numPr>
          <w:ilvl w:val="0"/>
          <w:numId w:val="21"/>
        </w:numPr>
        <w:tabs>
          <w:tab w:val="left" w:pos="567"/>
        </w:tabs>
        <w:spacing w:before="0" w:after="0"/>
        <w:ind w:left="0" w:firstLine="240"/>
      </w:pPr>
      <w:r>
        <w:rPr>
          <w:rFonts w:hint="eastAsia"/>
        </w:rPr>
        <w:t>软件要严格保证源端和目标端的数据一致性，处理增量数据时仅采集源端已经提交后的事务数据。</w:t>
      </w:r>
    </w:p>
    <w:p w14:paraId="7B31C11B">
      <w:pPr>
        <w:pStyle w:val="243"/>
        <w:numPr>
          <w:ilvl w:val="0"/>
          <w:numId w:val="21"/>
        </w:numPr>
        <w:tabs>
          <w:tab w:val="left" w:pos="567"/>
        </w:tabs>
        <w:spacing w:before="0" w:after="0"/>
        <w:ind w:left="0" w:firstLine="240"/>
        <w:rPr>
          <w:rFonts w:hint="eastAsia" w:ascii="华文宋体" w:hAnsi="华文宋体" w:eastAsia="华文宋体"/>
        </w:rPr>
      </w:pPr>
      <w:r>
        <w:rPr>
          <w:rFonts w:hint="eastAsia"/>
        </w:rPr>
        <w:t>提供两端数据对比和数据修复的工具或方案，能够对源数据库和目标数据中的数据内容进行对比，以查找出来两边数据表中内容的差异。</w:t>
      </w:r>
      <w:bookmarkEnd w:id="65"/>
      <w:bookmarkEnd w:id="66"/>
      <w:bookmarkEnd w:id="67"/>
      <w:bookmarkEnd w:id="68"/>
      <w:bookmarkEnd w:id="69"/>
      <w:bookmarkEnd w:id="70"/>
    </w:p>
    <w:p w14:paraId="3ECA3440">
      <w:pPr>
        <w:pStyle w:val="4"/>
        <w:numPr>
          <w:ilvl w:val="0"/>
          <w:numId w:val="1"/>
        </w:numPr>
        <w:ind w:left="0" w:firstLine="0"/>
      </w:pPr>
      <w:r>
        <w:t>质保及售后要求</w:t>
      </w:r>
      <w:bookmarkEnd w:id="59"/>
    </w:p>
    <w:p w14:paraId="6E43566F">
      <w:r>
        <w:rPr>
          <w:rFonts w:hint="eastAsia"/>
        </w:rPr>
        <w:t>本次招标设备的质保要求详见“</w:t>
      </w:r>
      <w:r>
        <w:rPr>
          <w:b/>
        </w:rPr>
        <w:t>2.2 配置要求</w:t>
      </w:r>
      <w:r>
        <w:t>”对应的每一项设备质保要求。如没有</w:t>
      </w:r>
      <w:r>
        <w:rPr>
          <w:rFonts w:hint="eastAsia"/>
        </w:rPr>
        <w:t>专门</w:t>
      </w:r>
      <w:r>
        <w:t>要求的，则按硬件</w:t>
      </w:r>
      <w:r>
        <w:rPr>
          <w:rFonts w:hint="eastAsia"/>
        </w:rPr>
        <w:t>5年、软件</w:t>
      </w:r>
      <w:r>
        <w:t>3年的原则</w:t>
      </w:r>
      <w:r>
        <w:rPr>
          <w:rFonts w:hint="eastAsia"/>
        </w:rPr>
        <w:t>。</w:t>
      </w:r>
    </w:p>
    <w:p w14:paraId="2857E2B4">
      <w:pPr>
        <w:pStyle w:val="4"/>
        <w:numPr>
          <w:ilvl w:val="0"/>
          <w:numId w:val="1"/>
        </w:numPr>
        <w:ind w:left="0" w:firstLine="0"/>
      </w:pPr>
      <w:bookmarkStart w:id="74" w:name="_Toc534621769"/>
      <w:r>
        <w:rPr>
          <w:rFonts w:hint="eastAsia"/>
        </w:rPr>
        <w:t>包装、运输</w:t>
      </w:r>
      <w:bookmarkEnd w:id="60"/>
      <w:bookmarkEnd w:id="61"/>
      <w:bookmarkEnd w:id="62"/>
      <w:r>
        <w:rPr>
          <w:rFonts w:hint="eastAsia"/>
        </w:rPr>
        <w:t>和安装调试</w:t>
      </w:r>
      <w:bookmarkEnd w:id="74"/>
    </w:p>
    <w:p w14:paraId="4EA0C8F7">
      <w:pPr>
        <w:pStyle w:val="5"/>
        <w:numPr>
          <w:ilvl w:val="1"/>
          <w:numId w:val="1"/>
        </w:numPr>
      </w:pPr>
      <w:bookmarkStart w:id="75" w:name="_Toc534621770"/>
      <w:bookmarkStart w:id="76" w:name="_Toc481000498"/>
      <w:r>
        <w:t>总体要求</w:t>
      </w:r>
      <w:bookmarkEnd w:id="75"/>
      <w:bookmarkEnd w:id="76"/>
    </w:p>
    <w:p w14:paraId="094A80B4">
      <w:pPr>
        <w:spacing w:before="120" w:after="120"/>
        <w:ind w:firstLine="480"/>
      </w:pPr>
      <w:r>
        <w:t>中</w:t>
      </w:r>
      <w:r>
        <w:rPr>
          <w:rFonts w:hint="eastAsia"/>
        </w:rPr>
        <w:t>标方应将供</w:t>
      </w:r>
      <w:r>
        <w:t>货</w:t>
      </w:r>
      <w:r>
        <w:rPr>
          <w:rFonts w:hint="eastAsia"/>
        </w:rPr>
        <w:t>设备发</w:t>
      </w:r>
      <w:r>
        <w:t>运至最终用户现场所在地</w:t>
      </w:r>
      <w:r>
        <w:rPr>
          <w:rFonts w:hint="eastAsia"/>
        </w:rPr>
        <w:t>的包装、运输、保险、配合安装调试等所产生的费用计入设备报价，其中安装调试所需的辅材由中标方提供。</w:t>
      </w:r>
    </w:p>
    <w:p w14:paraId="0A382C1F">
      <w:pPr>
        <w:pStyle w:val="5"/>
        <w:numPr>
          <w:ilvl w:val="1"/>
          <w:numId w:val="1"/>
        </w:numPr>
      </w:pPr>
      <w:bookmarkStart w:id="77" w:name="_Toc481000499"/>
      <w:bookmarkStart w:id="78" w:name="_Toc534621771"/>
      <w:r>
        <w:t>包装</w:t>
      </w:r>
      <w:bookmarkEnd w:id="77"/>
      <w:bookmarkEnd w:id="78"/>
    </w:p>
    <w:p w14:paraId="2801539E">
      <w:pPr>
        <w:spacing w:before="120" w:after="120"/>
        <w:ind w:firstLine="480"/>
      </w:pPr>
      <w:r>
        <w:t>中标方提供的所用合同设备应包装牢固，做好防潮和防尘措施，并保证设备免受腐蚀雨淋和振动。包装应能承受大批量搬运、装卸以及长距离空运、陆运运输</w:t>
      </w:r>
      <w:r>
        <w:rPr>
          <w:rFonts w:hint="eastAsia"/>
        </w:rPr>
        <w:t>，</w:t>
      </w:r>
      <w:r>
        <w:t>保证设备安全抵达招标方现场而无损坏。</w:t>
      </w:r>
    </w:p>
    <w:p w14:paraId="55F18A45">
      <w:pPr>
        <w:pStyle w:val="5"/>
        <w:numPr>
          <w:ilvl w:val="1"/>
          <w:numId w:val="1"/>
        </w:numPr>
      </w:pPr>
      <w:bookmarkStart w:id="79" w:name="_Toc534621772"/>
      <w:bookmarkStart w:id="80" w:name="_Toc481000500"/>
      <w:r>
        <w:t>运输</w:t>
      </w:r>
      <w:bookmarkEnd w:id="79"/>
      <w:bookmarkEnd w:id="80"/>
    </w:p>
    <w:p w14:paraId="2E5269E9">
      <w:pPr>
        <w:spacing w:before="120" w:after="120"/>
        <w:ind w:firstLine="480"/>
      </w:pPr>
      <w:r>
        <w:t>从中标方</w:t>
      </w:r>
      <w:r>
        <w:rPr>
          <w:rFonts w:hint="eastAsia"/>
        </w:rPr>
        <w:t>所在</w:t>
      </w:r>
      <w:r>
        <w:t>地到目的地运输</w:t>
      </w:r>
      <w:r>
        <w:rPr>
          <w:rFonts w:hint="eastAsia"/>
        </w:rPr>
        <w:t>及设备搬运工作应</w:t>
      </w:r>
      <w:r>
        <w:t>由</w:t>
      </w:r>
      <w:r>
        <w:rPr>
          <w:rFonts w:hint="eastAsia"/>
        </w:rPr>
        <w:t>中标方</w:t>
      </w:r>
      <w:r>
        <w:t>负责。在设备抵达目的地后，中标方组织招标方参加开箱验收。</w:t>
      </w:r>
      <w:r>
        <w:rPr>
          <w:rFonts w:hint="eastAsia"/>
        </w:rPr>
        <w:t>设备搬运工作包括运至用户所在地后，将货物搬运到用户机房、调试间及设备贮藏间。</w:t>
      </w:r>
      <w:r>
        <w:t>如果发现任一设备有偏差、损坏、损失、遗漏或数量、质量、技术规范因中标方的责任与合同不符，招标方有权向中标方提出</w:t>
      </w:r>
      <w:r>
        <w:rPr>
          <w:rFonts w:hint="eastAsia"/>
        </w:rPr>
        <w:t>换</w:t>
      </w:r>
      <w:r>
        <w:t>货或索赔</w:t>
      </w:r>
      <w:r>
        <w:rPr>
          <w:rFonts w:hint="eastAsia"/>
        </w:rPr>
        <w:t>。</w:t>
      </w:r>
    </w:p>
    <w:p w14:paraId="2AB5D840">
      <w:pPr>
        <w:pStyle w:val="5"/>
        <w:numPr>
          <w:ilvl w:val="1"/>
          <w:numId w:val="1"/>
        </w:numPr>
        <w:tabs>
          <w:tab w:val="left" w:pos="0"/>
        </w:tabs>
      </w:pPr>
      <w:bookmarkStart w:id="81" w:name="_Toc384282140"/>
      <w:bookmarkStart w:id="82" w:name="_Toc534621773"/>
      <w:bookmarkStart w:id="83" w:name="_Toc481000516"/>
      <w:bookmarkStart w:id="84" w:name="_Toc395797101"/>
      <w:bookmarkStart w:id="85" w:name="_Toc395791880"/>
      <w:bookmarkStart w:id="86" w:name="_Toc395796120"/>
      <w:bookmarkStart w:id="87" w:name="_Toc395856022"/>
      <w:bookmarkStart w:id="88" w:name="_Toc395858779"/>
      <w:bookmarkStart w:id="89" w:name="_Toc395798387"/>
      <w:bookmarkStart w:id="90" w:name="_Toc395794395"/>
      <w:r>
        <w:rPr>
          <w:rFonts w:hint="eastAsia"/>
        </w:rPr>
        <w:t>安装调试</w:t>
      </w:r>
      <w:bookmarkEnd w:id="81"/>
      <w:bookmarkEnd w:id="82"/>
      <w:bookmarkEnd w:id="83"/>
      <w:bookmarkEnd w:id="84"/>
      <w:bookmarkEnd w:id="85"/>
      <w:bookmarkEnd w:id="86"/>
      <w:bookmarkEnd w:id="87"/>
      <w:bookmarkEnd w:id="88"/>
      <w:bookmarkEnd w:id="89"/>
      <w:bookmarkEnd w:id="90"/>
    </w:p>
    <w:p w14:paraId="1D35E977">
      <w:pPr>
        <w:spacing w:before="120" w:after="120"/>
        <w:ind w:firstLine="480"/>
      </w:pPr>
      <w:r>
        <w:t>中标方应根据</w:t>
      </w:r>
      <w:r>
        <w:rPr>
          <w:rFonts w:hint="eastAsia"/>
        </w:rPr>
        <w:t>招标方及集成方</w:t>
      </w:r>
      <w:r>
        <w:t>提</w:t>
      </w:r>
      <w:r>
        <w:rPr>
          <w:rFonts w:hint="eastAsia"/>
        </w:rPr>
        <w:t>供</w:t>
      </w:r>
      <w:r>
        <w:t>的现场安装环境，提出</w:t>
      </w:r>
      <w:r>
        <w:rPr>
          <w:rFonts w:hint="eastAsia"/>
        </w:rPr>
        <w:t>具体</w:t>
      </w:r>
      <w:r>
        <w:t>安装方案，经双方讨论确认后，作为安装依据。</w:t>
      </w:r>
    </w:p>
    <w:p w14:paraId="384A4862">
      <w:pPr>
        <w:spacing w:before="120" w:after="120"/>
        <w:ind w:firstLine="480" w:firstLineChars="200"/>
      </w:pPr>
      <w:r>
        <w:t>系统设备到达</w:t>
      </w:r>
      <w:r>
        <w:rPr>
          <w:rFonts w:hint="eastAsia"/>
        </w:rPr>
        <w:t>招标方</w:t>
      </w:r>
      <w:r>
        <w:t>安装现场后，</w:t>
      </w:r>
      <w:r>
        <w:rPr>
          <w:rFonts w:hint="eastAsia"/>
        </w:rPr>
        <w:t>中标方应</w:t>
      </w:r>
      <w:r>
        <w:t>按照确定的</w:t>
      </w:r>
      <w:r>
        <w:rPr>
          <w:rFonts w:hint="eastAsia"/>
        </w:rPr>
        <w:t>施工</w:t>
      </w:r>
      <w:r>
        <w:t>图纸和有关要求</w:t>
      </w:r>
      <w:r>
        <w:rPr>
          <w:rFonts w:hint="eastAsia"/>
        </w:rPr>
        <w:t>配合招标方</w:t>
      </w:r>
      <w:r>
        <w:t>进行设备的安装</w:t>
      </w:r>
      <w:r>
        <w:rPr>
          <w:rFonts w:hint="eastAsia"/>
        </w:rPr>
        <w:t>调试</w:t>
      </w:r>
      <w:r>
        <w:t>，</w:t>
      </w:r>
      <w:r>
        <w:rPr>
          <w:rFonts w:hint="eastAsia"/>
        </w:rPr>
        <w:t>并负责设备上架及设备线缆连接，</w:t>
      </w:r>
      <w:r>
        <w:t>验收投运后</w:t>
      </w:r>
      <w:r>
        <w:rPr>
          <w:rFonts w:hint="eastAsia"/>
        </w:rPr>
        <w:t>由中标方提供工程</w:t>
      </w:r>
      <w:r>
        <w:t>竣工安装的图纸。</w:t>
      </w:r>
    </w:p>
    <w:p w14:paraId="14C79C64">
      <w:pPr>
        <w:pStyle w:val="57"/>
        <w:rPr>
          <w:color w:val="auto"/>
        </w:rPr>
      </w:pPr>
      <w:r>
        <w:rPr>
          <w:color w:val="auto"/>
        </w:rPr>
        <w:br w:type="page"/>
      </w:r>
    </w:p>
    <w:p w14:paraId="48C75210">
      <w:pPr>
        <w:spacing w:before="120" w:after="120"/>
        <w:ind w:firstLine="480" w:firstLineChars="200"/>
      </w:pPr>
    </w:p>
    <w:p w14:paraId="21A41053">
      <w:pPr>
        <w:pStyle w:val="4"/>
        <w:ind w:left="120" w:leftChars="50"/>
        <w:rPr>
          <w:sz w:val="32"/>
          <w:szCs w:val="32"/>
        </w:rPr>
      </w:pPr>
      <w:r>
        <w:rPr>
          <w:rFonts w:hint="eastAsia"/>
          <w:sz w:val="32"/>
          <w:szCs w:val="32"/>
        </w:rPr>
        <w:t>附录一：安全可靠测评结果公告（2024年第1号）</w:t>
      </w:r>
    </w:p>
    <w:p w14:paraId="2E12F1D5">
      <w:pPr>
        <w:pStyle w:val="57"/>
        <w:rPr>
          <w:color w:val="auto"/>
        </w:rPr>
      </w:pPr>
      <w:r>
        <w:rPr>
          <w:color w:val="auto"/>
        </w:rPr>
        <w:drawing>
          <wp:inline distT="0" distB="0" distL="0" distR="0">
            <wp:extent cx="5274945" cy="7055485"/>
            <wp:effectExtent l="0" t="0" r="1905" b="0"/>
            <wp:docPr id="13044267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26702" name="图片 1"/>
                    <pic:cNvPicPr>
                      <a:picLocks noChangeAspect="1"/>
                    </pic:cNvPicPr>
                  </pic:nvPicPr>
                  <pic:blipFill>
                    <a:blip r:embed="rId39"/>
                    <a:stretch>
                      <a:fillRect/>
                    </a:stretch>
                  </pic:blipFill>
                  <pic:spPr>
                    <a:xfrm>
                      <a:off x="0" y="0"/>
                      <a:ext cx="5274945" cy="7055485"/>
                    </a:xfrm>
                    <a:prstGeom prst="rect">
                      <a:avLst/>
                    </a:prstGeom>
                  </pic:spPr>
                </pic:pic>
              </a:graphicData>
            </a:graphic>
          </wp:inline>
        </w:drawing>
      </w:r>
    </w:p>
    <w:p w14:paraId="27D43C44">
      <w:pPr>
        <w:pStyle w:val="57"/>
        <w:rPr>
          <w:color w:val="auto"/>
        </w:rPr>
      </w:pPr>
      <w:r>
        <w:rPr>
          <w:color w:val="auto"/>
        </w:rPr>
        <w:drawing>
          <wp:inline distT="0" distB="0" distL="0" distR="0">
            <wp:extent cx="5274945" cy="3209290"/>
            <wp:effectExtent l="0" t="0" r="1905" b="0"/>
            <wp:docPr id="273550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5047" name="图片 1"/>
                    <pic:cNvPicPr>
                      <a:picLocks noChangeAspect="1"/>
                    </pic:cNvPicPr>
                  </pic:nvPicPr>
                  <pic:blipFill>
                    <a:blip r:embed="rId40"/>
                    <a:stretch>
                      <a:fillRect/>
                    </a:stretch>
                  </pic:blipFill>
                  <pic:spPr>
                    <a:xfrm>
                      <a:off x="0" y="0"/>
                      <a:ext cx="5274945" cy="3209290"/>
                    </a:xfrm>
                    <a:prstGeom prst="rect">
                      <a:avLst/>
                    </a:prstGeom>
                  </pic:spPr>
                </pic:pic>
              </a:graphicData>
            </a:graphic>
          </wp:inline>
        </w:drawing>
      </w:r>
    </w:p>
    <w:p w14:paraId="1418C5E9">
      <w:pPr>
        <w:pStyle w:val="4"/>
        <w:ind w:left="120" w:leftChars="50"/>
        <w:rPr>
          <w:sz w:val="32"/>
          <w:szCs w:val="32"/>
        </w:rPr>
      </w:pPr>
      <w:r>
        <w:rPr>
          <w:rFonts w:hint="eastAsia"/>
          <w:sz w:val="32"/>
          <w:szCs w:val="32"/>
        </w:rPr>
        <w:t>附录二：安全可靠测评结果公告（2024年第2号）</w:t>
      </w:r>
    </w:p>
    <w:p w14:paraId="156D40E2">
      <w:pPr>
        <w:pStyle w:val="57"/>
        <w:rPr>
          <w:color w:val="auto"/>
        </w:rPr>
      </w:pPr>
      <w:r>
        <w:rPr>
          <w:color w:val="auto"/>
        </w:rPr>
        <w:drawing>
          <wp:inline distT="0" distB="0" distL="0" distR="0">
            <wp:extent cx="5274945" cy="7289800"/>
            <wp:effectExtent l="0" t="0" r="1905" b="6350"/>
            <wp:docPr id="4482046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04607" name="图片 1"/>
                    <pic:cNvPicPr>
                      <a:picLocks noChangeAspect="1"/>
                    </pic:cNvPicPr>
                  </pic:nvPicPr>
                  <pic:blipFill>
                    <a:blip r:embed="rId41"/>
                    <a:stretch>
                      <a:fillRect/>
                    </a:stretch>
                  </pic:blipFill>
                  <pic:spPr>
                    <a:xfrm>
                      <a:off x="0" y="0"/>
                      <a:ext cx="5274945" cy="7289800"/>
                    </a:xfrm>
                    <a:prstGeom prst="rect">
                      <a:avLst/>
                    </a:prstGeom>
                  </pic:spPr>
                </pic:pic>
              </a:graphicData>
            </a:graphic>
          </wp:inline>
        </w:drawing>
      </w:r>
    </w:p>
    <w:p w14:paraId="1B5ECB49">
      <w:pPr>
        <w:pStyle w:val="57"/>
        <w:rPr>
          <w:color w:val="auto"/>
        </w:rPr>
      </w:pPr>
      <w:r>
        <w:rPr>
          <w:color w:val="auto"/>
        </w:rPr>
        <w:drawing>
          <wp:inline distT="0" distB="0" distL="0" distR="0">
            <wp:extent cx="5096510" cy="1234440"/>
            <wp:effectExtent l="0" t="0" r="8890" b="3810"/>
            <wp:docPr id="3104728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72889" name="图片 1"/>
                    <pic:cNvPicPr>
                      <a:picLocks noChangeAspect="1"/>
                    </pic:cNvPicPr>
                  </pic:nvPicPr>
                  <pic:blipFill>
                    <a:blip r:embed="rId42"/>
                    <a:stretch>
                      <a:fillRect/>
                    </a:stretch>
                  </pic:blipFill>
                  <pic:spPr>
                    <a:xfrm>
                      <a:off x="0" y="0"/>
                      <a:ext cx="5096933" cy="1234505"/>
                    </a:xfrm>
                    <a:prstGeom prst="rect">
                      <a:avLst/>
                    </a:prstGeom>
                  </pic:spPr>
                </pic:pic>
              </a:graphicData>
            </a:graphic>
          </wp:inline>
        </w:drawing>
      </w:r>
    </w:p>
    <w:p w14:paraId="1EA9774E">
      <w:pPr>
        <w:pStyle w:val="4"/>
        <w:ind w:left="120" w:leftChars="50"/>
        <w:rPr>
          <w:sz w:val="32"/>
          <w:szCs w:val="32"/>
        </w:rPr>
      </w:pPr>
      <w:r>
        <w:rPr>
          <w:rFonts w:hint="eastAsia"/>
          <w:sz w:val="32"/>
          <w:szCs w:val="32"/>
        </w:rPr>
        <w:t>附录三：安全可靠测评结果公告（2024年第3号）</w:t>
      </w:r>
    </w:p>
    <w:p w14:paraId="66529F42">
      <w:pPr>
        <w:pStyle w:val="57"/>
        <w:jc w:val="center"/>
        <w:rPr>
          <w:color w:val="auto"/>
        </w:rPr>
      </w:pPr>
      <w:r>
        <w:rPr>
          <w:rFonts w:hint="eastAsia"/>
          <w:color w:val="auto"/>
        </w:rPr>
        <w:drawing>
          <wp:inline distT="0" distB="0" distL="114300" distR="114300">
            <wp:extent cx="5271135" cy="5726430"/>
            <wp:effectExtent l="0" t="0" r="5715" b="7620"/>
            <wp:docPr id="2" name="图片 2" descr="clipbord_173034329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lipbord_1730343290240"/>
                    <pic:cNvPicPr>
                      <a:picLocks noChangeAspect="1"/>
                    </pic:cNvPicPr>
                  </pic:nvPicPr>
                  <pic:blipFill>
                    <a:blip r:embed="rId43"/>
                    <a:stretch>
                      <a:fillRect/>
                    </a:stretch>
                  </pic:blipFill>
                  <pic:spPr>
                    <a:xfrm>
                      <a:off x="0" y="0"/>
                      <a:ext cx="5271135" cy="5726430"/>
                    </a:xfrm>
                    <a:prstGeom prst="rect">
                      <a:avLst/>
                    </a:prstGeom>
                  </pic:spPr>
                </pic:pic>
              </a:graphicData>
            </a:graphic>
          </wp:inline>
        </w:drawing>
      </w:r>
    </w:p>
    <w:p w14:paraId="0AB4A276">
      <w:pPr>
        <w:pStyle w:val="2"/>
      </w:pPr>
      <w:r>
        <w:br w:type="page"/>
      </w:r>
    </w:p>
    <w:p w14:paraId="4EC94988">
      <w:pPr>
        <w:pStyle w:val="4"/>
        <w:ind w:left="120" w:leftChars="50"/>
        <w:rPr>
          <w:sz w:val="32"/>
          <w:szCs w:val="32"/>
        </w:rPr>
      </w:pPr>
      <w:r>
        <w:rPr>
          <w:rFonts w:hint="eastAsia"/>
          <w:sz w:val="32"/>
          <w:szCs w:val="32"/>
        </w:rPr>
        <w:t>附录四：安全可靠测评结果公告（2025年第1号）</w:t>
      </w:r>
    </w:p>
    <w:p w14:paraId="1B16B6E2">
      <w:pPr>
        <w:pStyle w:val="57"/>
        <w:jc w:val="center"/>
        <w:rPr>
          <w:color w:val="auto"/>
        </w:rPr>
      </w:pPr>
      <w:r>
        <w:drawing>
          <wp:inline distT="0" distB="0" distL="0" distR="0">
            <wp:extent cx="5274945" cy="5871845"/>
            <wp:effectExtent l="0" t="0" r="1905" b="0"/>
            <wp:docPr id="16274407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40703" name="图片 1"/>
                    <pic:cNvPicPr>
                      <a:picLocks noChangeAspect="1"/>
                    </pic:cNvPicPr>
                  </pic:nvPicPr>
                  <pic:blipFill>
                    <a:blip r:embed="rId44"/>
                    <a:stretch>
                      <a:fillRect/>
                    </a:stretch>
                  </pic:blipFill>
                  <pic:spPr>
                    <a:xfrm>
                      <a:off x="0" y="0"/>
                      <a:ext cx="5274945" cy="5871845"/>
                    </a:xfrm>
                    <a:prstGeom prst="rect">
                      <a:avLst/>
                    </a:prstGeom>
                  </pic:spPr>
                </pic:pic>
              </a:graphicData>
            </a:graphic>
          </wp:inline>
        </w:drawing>
      </w:r>
    </w:p>
    <w:p w14:paraId="5172B2B9">
      <w:pPr>
        <w:pStyle w:val="2"/>
        <w:rPr>
          <w:kern w:val="0"/>
        </w:rPr>
      </w:pPr>
      <w:r>
        <w:br w:type="page"/>
      </w:r>
    </w:p>
    <w:p w14:paraId="383F4D02">
      <w:pPr>
        <w:pStyle w:val="4"/>
        <w:ind w:left="120" w:leftChars="50"/>
        <w:rPr>
          <w:sz w:val="32"/>
          <w:szCs w:val="32"/>
        </w:rPr>
      </w:pPr>
      <w:r>
        <w:rPr>
          <w:rFonts w:hint="eastAsia"/>
          <w:sz w:val="32"/>
          <w:szCs w:val="32"/>
        </w:rPr>
        <w:t>附录五：安全可靠测评结果公告（2025年第2号）</w:t>
      </w:r>
    </w:p>
    <w:p w14:paraId="6F7A0B7B">
      <w:pPr>
        <w:pStyle w:val="57"/>
        <w:jc w:val="center"/>
        <w:rPr>
          <w:color w:val="auto"/>
        </w:rPr>
      </w:pPr>
      <w:r>
        <w:drawing>
          <wp:inline distT="0" distB="0" distL="0" distR="0">
            <wp:extent cx="5274945" cy="4772025"/>
            <wp:effectExtent l="0" t="0" r="1905" b="9525"/>
            <wp:docPr id="8837679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67958" name="图片 1"/>
                    <pic:cNvPicPr>
                      <a:picLocks noChangeAspect="1"/>
                    </pic:cNvPicPr>
                  </pic:nvPicPr>
                  <pic:blipFill>
                    <a:blip r:embed="rId45"/>
                    <a:stretch>
                      <a:fillRect/>
                    </a:stretch>
                  </pic:blipFill>
                  <pic:spPr>
                    <a:xfrm>
                      <a:off x="0" y="0"/>
                      <a:ext cx="5274945" cy="4772025"/>
                    </a:xfrm>
                    <a:prstGeom prst="rect">
                      <a:avLst/>
                    </a:prstGeom>
                  </pic:spPr>
                </pic:pic>
              </a:graphicData>
            </a:graphic>
          </wp:inline>
        </w:drawing>
      </w:r>
    </w:p>
    <w:p w14:paraId="38177202">
      <w:pPr>
        <w:pStyle w:val="2"/>
        <w:rPr>
          <w:kern w:val="0"/>
        </w:rPr>
      </w:pPr>
      <w:r>
        <w:br w:type="page"/>
      </w:r>
    </w:p>
    <w:p w14:paraId="767D882C">
      <w:pPr>
        <w:pStyle w:val="4"/>
        <w:ind w:left="120" w:leftChars="50"/>
        <w:rPr>
          <w:sz w:val="32"/>
          <w:szCs w:val="32"/>
        </w:rPr>
      </w:pPr>
      <w:r>
        <w:rPr>
          <w:rFonts w:hint="eastAsia"/>
          <w:sz w:val="32"/>
          <w:szCs w:val="32"/>
        </w:rPr>
        <w:t>附录六：安全可靠测评结果公告（2025年第3号）</w:t>
      </w:r>
    </w:p>
    <w:p w14:paraId="48DDEAD5">
      <w:pPr>
        <w:pStyle w:val="57"/>
        <w:jc w:val="center"/>
        <w:rPr>
          <w:color w:val="auto"/>
        </w:rPr>
      </w:pPr>
      <w:r>
        <w:drawing>
          <wp:inline distT="0" distB="0" distL="0" distR="0">
            <wp:extent cx="5274945" cy="6186170"/>
            <wp:effectExtent l="0" t="0" r="1905" b="5080"/>
            <wp:docPr id="17893812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81263" name="图片 1"/>
                    <pic:cNvPicPr>
                      <a:picLocks noChangeAspect="1"/>
                    </pic:cNvPicPr>
                  </pic:nvPicPr>
                  <pic:blipFill>
                    <a:blip r:embed="rId46"/>
                    <a:stretch>
                      <a:fillRect/>
                    </a:stretch>
                  </pic:blipFill>
                  <pic:spPr>
                    <a:xfrm>
                      <a:off x="0" y="0"/>
                      <a:ext cx="5274945" cy="6186170"/>
                    </a:xfrm>
                    <a:prstGeom prst="rect">
                      <a:avLst/>
                    </a:prstGeom>
                  </pic:spPr>
                </pic:pic>
              </a:graphicData>
            </a:graphic>
          </wp:inline>
        </w:drawing>
      </w:r>
    </w:p>
    <w:p w14:paraId="0486C81F">
      <w:pPr>
        <w:pStyle w:val="2"/>
        <w:rPr>
          <w:kern w:val="0"/>
        </w:rPr>
      </w:pPr>
      <w:r>
        <w:br w:type="page"/>
      </w:r>
    </w:p>
    <w:p w14:paraId="41B7FF77">
      <w:pPr>
        <w:pStyle w:val="4"/>
        <w:ind w:left="120" w:leftChars="50"/>
        <w:rPr>
          <w:sz w:val="32"/>
          <w:szCs w:val="32"/>
        </w:rPr>
      </w:pPr>
      <w:r>
        <w:rPr>
          <w:rFonts w:hint="eastAsia"/>
          <w:sz w:val="32"/>
          <w:szCs w:val="32"/>
        </w:rPr>
        <w:t>附录七：安全可靠测评结果公告（2026年第1号）</w:t>
      </w:r>
    </w:p>
    <w:p w14:paraId="4AD04688">
      <w:pPr>
        <w:pStyle w:val="57"/>
        <w:jc w:val="center"/>
        <w:rPr>
          <w:color w:val="auto"/>
        </w:rPr>
      </w:pPr>
      <w:r>
        <w:drawing>
          <wp:inline distT="0" distB="0" distL="0" distR="0">
            <wp:extent cx="5274945" cy="5311140"/>
            <wp:effectExtent l="0" t="0" r="1905" b="3810"/>
            <wp:docPr id="5724501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50127" name="图片 1"/>
                    <pic:cNvPicPr>
                      <a:picLocks noChangeAspect="1"/>
                    </pic:cNvPicPr>
                  </pic:nvPicPr>
                  <pic:blipFill>
                    <a:blip r:embed="rId47"/>
                    <a:stretch>
                      <a:fillRect/>
                    </a:stretch>
                  </pic:blipFill>
                  <pic:spPr>
                    <a:xfrm>
                      <a:off x="0" y="0"/>
                      <a:ext cx="5274945" cy="5311140"/>
                    </a:xfrm>
                    <a:prstGeom prst="rect">
                      <a:avLst/>
                    </a:prstGeom>
                  </pic:spPr>
                </pic:pic>
              </a:graphicData>
            </a:graphic>
          </wp:inline>
        </w:drawing>
      </w:r>
    </w:p>
    <w:p w14:paraId="332EA221">
      <w:pPr>
        <w:spacing w:line="240" w:lineRule="auto"/>
        <w:ind w:firstLine="0"/>
        <w:rPr>
          <w:rFonts w:hint="eastAsia" w:ascii="宋体" w:hAnsi="宋体" w:cs="宋体"/>
          <w:sz w:val="28"/>
          <w:szCs w:val="28"/>
        </w:rPr>
      </w:pPr>
      <w:r>
        <w:rPr>
          <w:rFonts w:hint="eastAsia"/>
        </w:rPr>
        <w:br w:type="page"/>
      </w:r>
      <w:r>
        <w:rPr>
          <w:rFonts w:hint="eastAsia" w:ascii="宋体" w:hAnsi="宋体" w:cs="宋体"/>
          <w:sz w:val="28"/>
          <w:szCs w:val="28"/>
        </w:rPr>
        <w:t>附件四：</w:t>
      </w:r>
    </w:p>
    <w:p w14:paraId="1F0E93D9">
      <w:pPr>
        <w:pStyle w:val="42"/>
        <w:spacing w:before="0" w:beforeAutospacing="0" w:after="180" w:afterAutospacing="0" w:line="450" w:lineRule="atLeast"/>
        <w:jc w:val="center"/>
        <w:rPr>
          <w:rFonts w:hint="eastAsia" w:ascii="微软雅黑" w:hAnsi="微软雅黑" w:eastAsia="微软雅黑" w:cs="微软雅黑"/>
          <w:sz w:val="36"/>
          <w:szCs w:val="36"/>
        </w:rPr>
      </w:pPr>
      <w:r>
        <w:rPr>
          <w:rFonts w:hint="eastAsia" w:ascii="微软雅黑" w:hAnsi="微软雅黑" w:eastAsia="微软雅黑" w:cs="微软雅黑"/>
          <w:sz w:val="36"/>
          <w:szCs w:val="36"/>
        </w:rPr>
        <w:t>承诺函</w:t>
      </w:r>
    </w:p>
    <w:p w14:paraId="0D4AA6BB">
      <w:pPr>
        <w:pStyle w:val="42"/>
        <w:spacing w:before="40" w:beforeAutospacing="0" w:after="0" w:afterAutospacing="0" w:line="420" w:lineRule="atLeast"/>
        <w:jc w:val="both"/>
        <w:rPr>
          <w:rFonts w:hint="eastAsia" w:ascii="微软雅黑" w:hAnsi="微软雅黑" w:eastAsia="微软雅黑" w:cs="微软雅黑"/>
          <w:sz w:val="22"/>
          <w:szCs w:val="22"/>
          <w:u w:val="single"/>
        </w:rPr>
      </w:pPr>
      <w:r>
        <w:rPr>
          <w:rFonts w:hint="eastAsia" w:ascii="微软雅黑" w:hAnsi="微软雅黑" w:eastAsia="微软雅黑" w:cs="微软雅黑"/>
          <w:sz w:val="22"/>
          <w:szCs w:val="22"/>
          <w:u w:val="single"/>
        </w:rPr>
        <w:t>致：广东电网有限责任公司  </w:t>
      </w:r>
    </w:p>
    <w:p w14:paraId="03EAFE92">
      <w:pPr>
        <w:pStyle w:val="42"/>
        <w:spacing w:before="40" w:beforeAutospacing="0" w:after="0" w:afterAutospacing="0" w:line="420" w:lineRule="atLeast"/>
        <w:ind w:firstLine="440" w:firstLineChars="200"/>
        <w:jc w:val="both"/>
        <w:rPr>
          <w:rFonts w:hint="eastAsia" w:ascii="微软雅黑" w:hAnsi="微软雅黑" w:eastAsia="微软雅黑" w:cs="微软雅黑"/>
          <w:sz w:val="22"/>
          <w:szCs w:val="22"/>
        </w:rPr>
      </w:pPr>
      <w:r>
        <w:rPr>
          <w:rFonts w:hint="eastAsia" w:ascii="微软雅黑" w:hAnsi="微软雅黑" w:eastAsia="微软雅黑" w:cs="微软雅黑"/>
          <w:sz w:val="22"/>
          <w:szCs w:val="22"/>
        </w:rPr>
        <w:t>我公司承诺</w:t>
      </w:r>
      <w:r>
        <w:rPr>
          <w:rFonts w:hint="eastAsia" w:ascii="微软雅黑" w:hAnsi="微软雅黑" w:eastAsia="微软雅黑" w:cs="微软雅黑"/>
          <w:sz w:val="22"/>
          <w:szCs w:val="22"/>
          <w:u w:val="single"/>
        </w:rPr>
        <w:t>XX</w:t>
      </w:r>
      <w:r>
        <w:rPr>
          <w:rFonts w:hint="eastAsia" w:ascii="微软雅黑" w:hAnsi="微软雅黑" w:eastAsia="微软雅黑" w:cs="微软雅黑"/>
          <w:sz w:val="22"/>
          <w:szCs w:val="22"/>
        </w:rPr>
        <w:t>中物资品类</w:t>
      </w:r>
      <w:r>
        <w:rPr>
          <w:rFonts w:hint="eastAsia" w:ascii="微软雅黑" w:hAnsi="微软雅黑" w:eastAsia="微软雅黑" w:cs="微软雅黑"/>
          <w:sz w:val="22"/>
          <w:szCs w:val="22"/>
          <w:u w:val="single"/>
        </w:rPr>
        <w:t>XX</w:t>
      </w:r>
      <w:r>
        <w:rPr>
          <w:rFonts w:hint="eastAsia" w:ascii="微软雅黑" w:hAnsi="微软雅黑" w:eastAsia="微软雅黑" w:cs="微软雅黑"/>
          <w:sz w:val="22"/>
          <w:szCs w:val="22"/>
        </w:rPr>
        <w:t>标的</w:t>
      </w:r>
      <w:r>
        <w:rPr>
          <w:rFonts w:hint="eastAsia" w:ascii="微软雅黑" w:hAnsi="微软雅黑" w:eastAsia="微软雅黑" w:cs="微软雅黑"/>
          <w:sz w:val="22"/>
          <w:szCs w:val="22"/>
          <w:u w:val="single"/>
        </w:rPr>
        <w:t>XX</w:t>
      </w:r>
      <w:r>
        <w:rPr>
          <w:rFonts w:hint="eastAsia" w:ascii="微软雅黑" w:hAnsi="微软雅黑" w:eastAsia="微软雅黑" w:cs="微软雅黑"/>
          <w:sz w:val="22"/>
          <w:szCs w:val="22"/>
        </w:rPr>
        <w:t>的投标产品</w:t>
      </w:r>
      <w:r>
        <w:rPr>
          <w:rFonts w:hint="eastAsia" w:ascii="微软雅黑" w:hAnsi="微软雅黑" w:eastAsia="微软雅黑" w:cs="微软雅黑"/>
          <w:sz w:val="22"/>
          <w:szCs w:val="22"/>
          <w:u w:val="single"/>
        </w:rPr>
        <w:t>XX品牌XX型号</w:t>
      </w:r>
      <w:r>
        <w:rPr>
          <w:rFonts w:hint="eastAsia" w:ascii="微软雅黑" w:hAnsi="微软雅黑" w:eastAsia="微软雅黑" w:cs="微软雅黑"/>
          <w:sz w:val="22"/>
          <w:szCs w:val="22"/>
        </w:rPr>
        <w:t>设备在附表所列信息真实有效。若违反本承诺，贵公司有权依据相关规定对我方进行处理，我方愿承担由此导致的各类风险。</w:t>
      </w:r>
    </w:p>
    <w:p w14:paraId="6934E813">
      <w:pPr>
        <w:pStyle w:val="42"/>
        <w:spacing w:before="40" w:beforeAutospacing="0" w:after="0" w:afterAutospacing="0" w:line="420" w:lineRule="atLeast"/>
        <w:ind w:firstLine="440" w:firstLineChars="200"/>
        <w:jc w:val="both"/>
        <w:rPr>
          <w:rFonts w:hint="eastAsia" w:ascii="微软雅黑" w:hAnsi="微软雅黑" w:eastAsia="微软雅黑" w:cs="微软雅黑"/>
          <w:sz w:val="22"/>
          <w:szCs w:val="22"/>
        </w:rPr>
      </w:pPr>
      <w:r>
        <w:rPr>
          <w:rFonts w:hint="eastAsia" w:ascii="微软雅黑" w:hAnsi="微软雅黑" w:eastAsia="微软雅黑" w:cs="微软雅黑"/>
          <w:sz w:val="22"/>
          <w:szCs w:val="22"/>
        </w:rPr>
        <w:t>特此承诺！</w:t>
      </w:r>
    </w:p>
    <w:p w14:paraId="2DB81438">
      <w:pPr>
        <w:pStyle w:val="42"/>
        <w:spacing w:before="40" w:beforeAutospacing="0" w:after="0" w:afterAutospacing="0" w:line="420" w:lineRule="atLeast"/>
        <w:ind w:firstLine="440" w:firstLineChars="200"/>
        <w:jc w:val="right"/>
        <w:rPr>
          <w:rFonts w:hint="eastAsia" w:ascii="微软雅黑" w:hAnsi="微软雅黑" w:eastAsia="微软雅黑" w:cs="微软雅黑"/>
          <w:sz w:val="22"/>
          <w:szCs w:val="22"/>
        </w:rPr>
      </w:pPr>
      <w:r>
        <w:rPr>
          <w:rFonts w:hint="eastAsia" w:ascii="微软雅黑" w:hAnsi="微软雅黑" w:eastAsia="微软雅黑" w:cs="微软雅黑"/>
          <w:sz w:val="22"/>
          <w:szCs w:val="22"/>
        </w:rPr>
        <w:t xml:space="preserve">                                                 </w:t>
      </w:r>
    </w:p>
    <w:p w14:paraId="09EC70BA">
      <w:pPr>
        <w:pStyle w:val="42"/>
        <w:spacing w:before="40" w:beforeAutospacing="0" w:after="0" w:afterAutospacing="0" w:line="420" w:lineRule="atLeast"/>
        <w:ind w:firstLine="440" w:firstLineChars="200"/>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 xml:space="preserve">                                        设备厂商名称：XX</w:t>
      </w:r>
    </w:p>
    <w:p w14:paraId="4EAD54E1">
      <w:pPr>
        <w:pStyle w:val="42"/>
        <w:spacing w:before="40" w:beforeAutospacing="0" w:after="0" w:afterAutospacing="0" w:line="420" w:lineRule="atLeast"/>
        <w:ind w:firstLine="440" w:firstLineChars="200"/>
        <w:jc w:val="right"/>
        <w:rPr>
          <w:rFonts w:hint="eastAsia" w:ascii="微软雅黑" w:hAnsi="微软雅黑" w:eastAsia="微软雅黑" w:cs="微软雅黑"/>
          <w:sz w:val="22"/>
          <w:szCs w:val="22"/>
        </w:rPr>
      </w:pPr>
      <w:r>
        <w:rPr>
          <w:rFonts w:hint="eastAsia" w:ascii="微软雅黑" w:hAnsi="微软雅黑" w:eastAsia="微软雅黑" w:cs="微软雅黑"/>
          <w:sz w:val="22"/>
          <w:szCs w:val="22"/>
        </w:rPr>
        <w:t xml:space="preserve">                                                                                </w:t>
      </w:r>
    </w:p>
    <w:p w14:paraId="6A9E1640">
      <w:pPr>
        <w:pStyle w:val="42"/>
        <w:spacing w:before="40" w:beforeAutospacing="0" w:after="0" w:afterAutospacing="0" w:line="420" w:lineRule="atLeast"/>
        <w:ind w:firstLine="440" w:firstLineChars="200"/>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 xml:space="preserve">                                          (公章或电子章）</w:t>
      </w:r>
    </w:p>
    <w:p w14:paraId="4DC87F46">
      <w:pPr>
        <w:pStyle w:val="57"/>
        <w:jc w:val="center"/>
        <w:rPr>
          <w:rFonts w:hint="eastAsia" w:ascii="微软雅黑" w:hAnsi="微软雅黑" w:eastAsia="微软雅黑" w:cs="微软雅黑"/>
          <w:color w:val="auto"/>
          <w:sz w:val="22"/>
          <w:szCs w:val="22"/>
          <w:u w:val="single"/>
        </w:rPr>
      </w:pPr>
      <w:r>
        <w:rPr>
          <w:rFonts w:hint="eastAsia" w:ascii="微软雅黑" w:hAnsi="微软雅黑" w:eastAsia="微软雅黑" w:cs="微软雅黑"/>
          <w:color w:val="auto"/>
          <w:sz w:val="22"/>
          <w:szCs w:val="22"/>
        </w:rPr>
        <w:t xml:space="preserve">                                       日期：</w:t>
      </w:r>
      <w:r>
        <w:rPr>
          <w:rFonts w:hint="eastAsia" w:ascii="微软雅黑" w:hAnsi="微软雅黑" w:eastAsia="微软雅黑" w:cs="微软雅黑"/>
          <w:color w:val="auto"/>
          <w:sz w:val="22"/>
          <w:szCs w:val="22"/>
          <w:u w:val="single"/>
        </w:rPr>
        <w:t xml:space="preserve">         年      月      日</w:t>
      </w:r>
    </w:p>
    <w:p w14:paraId="1FC77B18">
      <w:pPr>
        <w:jc w:val="center"/>
        <w:rPr>
          <w:rFonts w:hint="eastAsia" w:ascii="微软雅黑" w:hAnsi="微软雅黑" w:eastAsia="微软雅黑" w:cs="微软雅黑"/>
          <w:sz w:val="22"/>
          <w:szCs w:val="22"/>
          <w:u w:val="single"/>
        </w:rPr>
      </w:pPr>
      <w:r>
        <w:rPr>
          <w:rFonts w:hint="eastAsia" w:ascii="微软雅黑" w:hAnsi="微软雅黑" w:eastAsia="微软雅黑" w:cs="微软雅黑"/>
          <w:sz w:val="22"/>
          <w:szCs w:val="22"/>
          <w:u w:val="single"/>
        </w:rPr>
        <w:br w:type="page"/>
      </w:r>
    </w:p>
    <w:p w14:paraId="42CA1951">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1703"/>
        <w:gridCol w:w="1367"/>
        <w:gridCol w:w="1393"/>
        <w:gridCol w:w="1390"/>
        <w:gridCol w:w="1390"/>
      </w:tblGrid>
      <w:tr w14:paraId="73BE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6"/>
            <w:vAlign w:val="center"/>
          </w:tcPr>
          <w:p w14:paraId="5E3A0AD8">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664FD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4" w:type="dxa"/>
            <w:vAlign w:val="center"/>
          </w:tcPr>
          <w:p w14:paraId="006A2518">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03" w:type="dxa"/>
            <w:vAlign w:val="center"/>
          </w:tcPr>
          <w:p w14:paraId="031DB302">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367" w:type="dxa"/>
            <w:vAlign w:val="center"/>
          </w:tcPr>
          <w:p w14:paraId="25690A6D">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393" w:type="dxa"/>
            <w:vAlign w:val="center"/>
          </w:tcPr>
          <w:p w14:paraId="49C1CD80">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390" w:type="dxa"/>
            <w:vAlign w:val="center"/>
          </w:tcPr>
          <w:p w14:paraId="2AF58726">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390" w:type="dxa"/>
            <w:vAlign w:val="center"/>
          </w:tcPr>
          <w:p w14:paraId="284E7E4B">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02FF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4" w:type="dxa"/>
            <w:vMerge w:val="restart"/>
            <w:vAlign w:val="center"/>
          </w:tcPr>
          <w:p w14:paraId="1F7736F6">
            <w:pPr>
              <w:pStyle w:val="42"/>
              <w:spacing w:before="0" w:beforeAutospacing="0" w:after="0" w:afterAutospacing="0" w:line="420" w:lineRule="atLeast"/>
              <w:jc w:val="center"/>
              <w:rPr>
                <w:rFonts w:hint="eastAsia"/>
                <w:sz w:val="21"/>
                <w:szCs w:val="21"/>
              </w:rPr>
            </w:pPr>
            <w:r>
              <w:rPr>
                <w:rFonts w:hint="eastAsia"/>
                <w:sz w:val="21"/>
                <w:szCs w:val="21"/>
              </w:rPr>
              <w:t>PC服务器(X86XX档XX类)</w:t>
            </w:r>
          </w:p>
        </w:tc>
        <w:tc>
          <w:tcPr>
            <w:tcW w:w="1703" w:type="dxa"/>
            <w:vAlign w:val="center"/>
          </w:tcPr>
          <w:p w14:paraId="3B8442ED">
            <w:pPr>
              <w:pStyle w:val="42"/>
              <w:spacing w:before="0" w:beforeAutospacing="0" w:after="0" w:afterAutospacing="0" w:line="420" w:lineRule="atLeast"/>
              <w:jc w:val="center"/>
              <w:rPr>
                <w:rFonts w:hint="eastAsia"/>
                <w:sz w:val="21"/>
                <w:szCs w:val="21"/>
              </w:rPr>
            </w:pPr>
          </w:p>
        </w:tc>
        <w:tc>
          <w:tcPr>
            <w:tcW w:w="1367" w:type="dxa"/>
            <w:vAlign w:val="center"/>
          </w:tcPr>
          <w:p w14:paraId="5C08437B">
            <w:pPr>
              <w:pStyle w:val="42"/>
              <w:spacing w:before="0" w:beforeAutospacing="0" w:after="0" w:afterAutospacing="0" w:line="420" w:lineRule="atLeast"/>
              <w:jc w:val="center"/>
              <w:rPr>
                <w:rFonts w:hint="eastAsia"/>
                <w:sz w:val="21"/>
                <w:szCs w:val="21"/>
              </w:rPr>
            </w:pPr>
          </w:p>
        </w:tc>
        <w:tc>
          <w:tcPr>
            <w:tcW w:w="1393" w:type="dxa"/>
            <w:vAlign w:val="center"/>
          </w:tcPr>
          <w:p w14:paraId="4411A72A">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390" w:type="dxa"/>
            <w:vAlign w:val="center"/>
          </w:tcPr>
          <w:p w14:paraId="7446DC28">
            <w:pPr>
              <w:pStyle w:val="42"/>
              <w:spacing w:before="0" w:beforeAutospacing="0" w:after="0" w:afterAutospacing="0" w:line="420" w:lineRule="atLeast"/>
              <w:jc w:val="center"/>
              <w:rPr>
                <w:rFonts w:hint="eastAsia"/>
                <w:sz w:val="21"/>
                <w:szCs w:val="21"/>
              </w:rPr>
            </w:pPr>
          </w:p>
        </w:tc>
        <w:tc>
          <w:tcPr>
            <w:tcW w:w="1390" w:type="dxa"/>
            <w:vAlign w:val="center"/>
          </w:tcPr>
          <w:p w14:paraId="5D78EBEE">
            <w:pPr>
              <w:pStyle w:val="42"/>
              <w:spacing w:before="0" w:beforeAutospacing="0" w:after="0" w:afterAutospacing="0" w:line="420" w:lineRule="atLeast"/>
              <w:jc w:val="center"/>
              <w:rPr>
                <w:rFonts w:hint="eastAsia"/>
                <w:sz w:val="21"/>
                <w:szCs w:val="21"/>
              </w:rPr>
            </w:pPr>
          </w:p>
        </w:tc>
      </w:tr>
      <w:tr w14:paraId="60415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4" w:type="dxa"/>
            <w:vMerge w:val="continue"/>
            <w:vAlign w:val="center"/>
          </w:tcPr>
          <w:p w14:paraId="31BF249B">
            <w:pPr>
              <w:pStyle w:val="42"/>
              <w:spacing w:before="0" w:beforeAutospacing="0" w:after="0" w:afterAutospacing="0" w:line="420" w:lineRule="atLeast"/>
              <w:jc w:val="center"/>
              <w:rPr>
                <w:rFonts w:hint="eastAsia"/>
                <w:sz w:val="21"/>
                <w:szCs w:val="21"/>
              </w:rPr>
            </w:pPr>
          </w:p>
        </w:tc>
        <w:tc>
          <w:tcPr>
            <w:tcW w:w="1703" w:type="dxa"/>
            <w:vAlign w:val="center"/>
          </w:tcPr>
          <w:p w14:paraId="0CEC1E6A">
            <w:pPr>
              <w:pStyle w:val="42"/>
              <w:spacing w:before="0" w:beforeAutospacing="0" w:after="0" w:afterAutospacing="0" w:line="420" w:lineRule="atLeast"/>
              <w:jc w:val="center"/>
              <w:rPr>
                <w:rFonts w:hint="eastAsia"/>
                <w:sz w:val="21"/>
                <w:szCs w:val="21"/>
              </w:rPr>
            </w:pPr>
          </w:p>
        </w:tc>
        <w:tc>
          <w:tcPr>
            <w:tcW w:w="1367" w:type="dxa"/>
            <w:vAlign w:val="center"/>
          </w:tcPr>
          <w:p w14:paraId="5957734A">
            <w:pPr>
              <w:pStyle w:val="42"/>
              <w:spacing w:before="0" w:beforeAutospacing="0" w:after="0" w:afterAutospacing="0" w:line="420" w:lineRule="atLeast"/>
              <w:jc w:val="center"/>
              <w:rPr>
                <w:rFonts w:hint="eastAsia"/>
                <w:sz w:val="21"/>
                <w:szCs w:val="21"/>
              </w:rPr>
            </w:pPr>
          </w:p>
        </w:tc>
        <w:tc>
          <w:tcPr>
            <w:tcW w:w="1393" w:type="dxa"/>
            <w:vAlign w:val="center"/>
          </w:tcPr>
          <w:p w14:paraId="0AEED339">
            <w:pPr>
              <w:pStyle w:val="42"/>
              <w:spacing w:before="0" w:beforeAutospacing="0" w:after="0" w:afterAutospacing="0" w:line="420" w:lineRule="atLeast"/>
              <w:jc w:val="center"/>
              <w:rPr>
                <w:rFonts w:hint="eastAsia"/>
                <w:sz w:val="21"/>
                <w:szCs w:val="21"/>
              </w:rPr>
            </w:pPr>
            <w:r>
              <w:rPr>
                <w:rFonts w:hint="eastAsia"/>
                <w:sz w:val="21"/>
                <w:szCs w:val="21"/>
              </w:rPr>
              <w:t>硬盘颗粒</w:t>
            </w:r>
          </w:p>
        </w:tc>
        <w:tc>
          <w:tcPr>
            <w:tcW w:w="1390" w:type="dxa"/>
            <w:vAlign w:val="center"/>
          </w:tcPr>
          <w:p w14:paraId="0729F66C">
            <w:pPr>
              <w:pStyle w:val="42"/>
              <w:spacing w:before="0" w:beforeAutospacing="0" w:after="0" w:afterAutospacing="0" w:line="420" w:lineRule="atLeast"/>
              <w:jc w:val="center"/>
              <w:rPr>
                <w:rFonts w:hint="eastAsia"/>
                <w:sz w:val="21"/>
                <w:szCs w:val="21"/>
              </w:rPr>
            </w:pPr>
          </w:p>
        </w:tc>
        <w:tc>
          <w:tcPr>
            <w:tcW w:w="1390" w:type="dxa"/>
            <w:vAlign w:val="center"/>
          </w:tcPr>
          <w:p w14:paraId="6FDF3000">
            <w:pPr>
              <w:pStyle w:val="42"/>
              <w:spacing w:before="0" w:beforeAutospacing="0" w:after="0" w:afterAutospacing="0" w:line="420" w:lineRule="atLeast"/>
              <w:jc w:val="center"/>
              <w:rPr>
                <w:rFonts w:hint="eastAsia"/>
                <w:sz w:val="21"/>
                <w:szCs w:val="21"/>
              </w:rPr>
            </w:pPr>
          </w:p>
        </w:tc>
      </w:tr>
      <w:tr w14:paraId="650D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4" w:type="dxa"/>
            <w:vMerge w:val="continue"/>
            <w:vAlign w:val="center"/>
          </w:tcPr>
          <w:p w14:paraId="45587C3B">
            <w:pPr>
              <w:pStyle w:val="42"/>
              <w:spacing w:before="0" w:beforeAutospacing="0" w:after="0" w:afterAutospacing="0" w:line="420" w:lineRule="atLeast"/>
              <w:jc w:val="center"/>
              <w:rPr>
                <w:rFonts w:hint="eastAsia"/>
                <w:sz w:val="21"/>
                <w:szCs w:val="21"/>
              </w:rPr>
            </w:pPr>
          </w:p>
        </w:tc>
        <w:tc>
          <w:tcPr>
            <w:tcW w:w="1703" w:type="dxa"/>
            <w:vAlign w:val="center"/>
          </w:tcPr>
          <w:p w14:paraId="6EA2B1CE">
            <w:pPr>
              <w:pStyle w:val="42"/>
              <w:spacing w:before="0" w:beforeAutospacing="0" w:after="0" w:afterAutospacing="0" w:line="420" w:lineRule="atLeast"/>
              <w:jc w:val="center"/>
              <w:rPr>
                <w:rFonts w:hint="eastAsia"/>
                <w:sz w:val="21"/>
                <w:szCs w:val="21"/>
              </w:rPr>
            </w:pPr>
          </w:p>
        </w:tc>
        <w:tc>
          <w:tcPr>
            <w:tcW w:w="1367" w:type="dxa"/>
            <w:vAlign w:val="center"/>
          </w:tcPr>
          <w:p w14:paraId="728C2BE3">
            <w:pPr>
              <w:pStyle w:val="42"/>
              <w:spacing w:before="0" w:beforeAutospacing="0" w:after="0" w:afterAutospacing="0" w:line="420" w:lineRule="atLeast"/>
              <w:jc w:val="center"/>
              <w:rPr>
                <w:rFonts w:hint="eastAsia"/>
                <w:sz w:val="21"/>
                <w:szCs w:val="21"/>
              </w:rPr>
            </w:pPr>
          </w:p>
        </w:tc>
        <w:tc>
          <w:tcPr>
            <w:tcW w:w="1393" w:type="dxa"/>
            <w:vAlign w:val="center"/>
          </w:tcPr>
          <w:p w14:paraId="067C8DA4">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390" w:type="dxa"/>
            <w:vAlign w:val="center"/>
          </w:tcPr>
          <w:p w14:paraId="73528EE3">
            <w:pPr>
              <w:pStyle w:val="42"/>
              <w:spacing w:before="0" w:beforeAutospacing="0" w:after="0" w:afterAutospacing="0" w:line="420" w:lineRule="atLeast"/>
              <w:jc w:val="center"/>
              <w:rPr>
                <w:rFonts w:hint="eastAsia"/>
                <w:sz w:val="21"/>
                <w:szCs w:val="21"/>
              </w:rPr>
            </w:pPr>
          </w:p>
        </w:tc>
        <w:tc>
          <w:tcPr>
            <w:tcW w:w="1390" w:type="dxa"/>
            <w:vAlign w:val="center"/>
          </w:tcPr>
          <w:p w14:paraId="41409127">
            <w:pPr>
              <w:pStyle w:val="42"/>
              <w:spacing w:before="0" w:beforeAutospacing="0" w:after="0" w:afterAutospacing="0" w:line="420" w:lineRule="atLeast"/>
              <w:jc w:val="center"/>
              <w:rPr>
                <w:rFonts w:hint="eastAsia"/>
                <w:sz w:val="21"/>
                <w:szCs w:val="21"/>
              </w:rPr>
            </w:pPr>
          </w:p>
        </w:tc>
      </w:tr>
      <w:tr w14:paraId="5E89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4" w:type="dxa"/>
            <w:vMerge w:val="continue"/>
            <w:vAlign w:val="center"/>
          </w:tcPr>
          <w:p w14:paraId="4B64B405">
            <w:pPr>
              <w:pStyle w:val="42"/>
              <w:spacing w:before="0" w:beforeAutospacing="0" w:after="0" w:afterAutospacing="0" w:line="420" w:lineRule="atLeast"/>
              <w:jc w:val="center"/>
              <w:rPr>
                <w:rFonts w:hint="eastAsia"/>
                <w:sz w:val="21"/>
                <w:szCs w:val="21"/>
              </w:rPr>
            </w:pPr>
          </w:p>
        </w:tc>
        <w:tc>
          <w:tcPr>
            <w:tcW w:w="1703" w:type="dxa"/>
            <w:vAlign w:val="center"/>
          </w:tcPr>
          <w:p w14:paraId="715B0F30">
            <w:pPr>
              <w:pStyle w:val="42"/>
              <w:spacing w:before="0" w:beforeAutospacing="0" w:after="0" w:afterAutospacing="0" w:line="420" w:lineRule="atLeast"/>
              <w:jc w:val="center"/>
              <w:rPr>
                <w:rFonts w:hint="eastAsia"/>
                <w:sz w:val="21"/>
                <w:szCs w:val="21"/>
              </w:rPr>
            </w:pPr>
          </w:p>
        </w:tc>
        <w:tc>
          <w:tcPr>
            <w:tcW w:w="1367" w:type="dxa"/>
            <w:vAlign w:val="center"/>
          </w:tcPr>
          <w:p w14:paraId="4D628971">
            <w:pPr>
              <w:pStyle w:val="42"/>
              <w:spacing w:before="0" w:beforeAutospacing="0" w:after="0" w:afterAutospacing="0" w:line="420" w:lineRule="atLeast"/>
              <w:jc w:val="center"/>
              <w:rPr>
                <w:rFonts w:hint="eastAsia"/>
                <w:sz w:val="21"/>
                <w:szCs w:val="21"/>
              </w:rPr>
            </w:pPr>
          </w:p>
        </w:tc>
        <w:tc>
          <w:tcPr>
            <w:tcW w:w="1393" w:type="dxa"/>
            <w:vAlign w:val="center"/>
          </w:tcPr>
          <w:p w14:paraId="583F8832">
            <w:pPr>
              <w:pStyle w:val="42"/>
              <w:spacing w:before="0" w:beforeAutospacing="0" w:after="0" w:afterAutospacing="0" w:line="420" w:lineRule="atLeast"/>
              <w:jc w:val="center"/>
              <w:rPr>
                <w:rFonts w:hint="eastAsia"/>
                <w:sz w:val="21"/>
                <w:szCs w:val="21"/>
              </w:rPr>
            </w:pPr>
            <w:r>
              <w:rPr>
                <w:rFonts w:hint="eastAsia"/>
                <w:sz w:val="21"/>
                <w:szCs w:val="21"/>
              </w:rPr>
              <w:t>BMC</w:t>
            </w:r>
          </w:p>
        </w:tc>
        <w:tc>
          <w:tcPr>
            <w:tcW w:w="1390" w:type="dxa"/>
            <w:vAlign w:val="center"/>
          </w:tcPr>
          <w:p w14:paraId="1858BF55">
            <w:pPr>
              <w:pStyle w:val="42"/>
              <w:spacing w:before="0" w:beforeAutospacing="0" w:after="0" w:afterAutospacing="0" w:line="420" w:lineRule="atLeast"/>
              <w:jc w:val="center"/>
              <w:rPr>
                <w:rFonts w:hint="eastAsia"/>
                <w:sz w:val="21"/>
                <w:szCs w:val="21"/>
              </w:rPr>
            </w:pPr>
          </w:p>
        </w:tc>
        <w:tc>
          <w:tcPr>
            <w:tcW w:w="1390" w:type="dxa"/>
            <w:vAlign w:val="center"/>
          </w:tcPr>
          <w:p w14:paraId="1FB0D934">
            <w:pPr>
              <w:pStyle w:val="42"/>
              <w:spacing w:before="0" w:beforeAutospacing="0" w:after="0" w:afterAutospacing="0" w:line="420" w:lineRule="atLeast"/>
              <w:jc w:val="center"/>
              <w:rPr>
                <w:rFonts w:hint="eastAsia"/>
                <w:sz w:val="21"/>
                <w:szCs w:val="21"/>
              </w:rPr>
            </w:pPr>
          </w:p>
        </w:tc>
      </w:tr>
      <w:tr w14:paraId="7A85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4" w:type="dxa"/>
            <w:vMerge w:val="continue"/>
            <w:vAlign w:val="center"/>
          </w:tcPr>
          <w:p w14:paraId="550DF1CB">
            <w:pPr>
              <w:pStyle w:val="42"/>
              <w:spacing w:before="0" w:beforeAutospacing="0" w:after="0" w:afterAutospacing="0" w:line="420" w:lineRule="atLeast"/>
              <w:jc w:val="center"/>
              <w:rPr>
                <w:rFonts w:hint="eastAsia"/>
                <w:sz w:val="21"/>
                <w:szCs w:val="21"/>
              </w:rPr>
            </w:pPr>
          </w:p>
        </w:tc>
        <w:tc>
          <w:tcPr>
            <w:tcW w:w="1703" w:type="dxa"/>
            <w:vAlign w:val="center"/>
          </w:tcPr>
          <w:p w14:paraId="1301E432">
            <w:pPr>
              <w:pStyle w:val="42"/>
              <w:spacing w:before="0" w:beforeAutospacing="0" w:after="0" w:afterAutospacing="0" w:line="420" w:lineRule="atLeast"/>
              <w:jc w:val="center"/>
              <w:rPr>
                <w:rFonts w:hint="eastAsia"/>
                <w:sz w:val="21"/>
                <w:szCs w:val="21"/>
              </w:rPr>
            </w:pPr>
          </w:p>
        </w:tc>
        <w:tc>
          <w:tcPr>
            <w:tcW w:w="1367" w:type="dxa"/>
            <w:vAlign w:val="center"/>
          </w:tcPr>
          <w:p w14:paraId="4A9C17C6">
            <w:pPr>
              <w:pStyle w:val="42"/>
              <w:spacing w:before="0" w:beforeAutospacing="0" w:after="0" w:afterAutospacing="0" w:line="420" w:lineRule="atLeast"/>
              <w:jc w:val="center"/>
              <w:rPr>
                <w:rFonts w:hint="eastAsia"/>
                <w:sz w:val="21"/>
                <w:szCs w:val="21"/>
              </w:rPr>
            </w:pPr>
          </w:p>
        </w:tc>
        <w:tc>
          <w:tcPr>
            <w:tcW w:w="1393" w:type="dxa"/>
            <w:vAlign w:val="center"/>
          </w:tcPr>
          <w:p w14:paraId="6148D6F4">
            <w:pPr>
              <w:pStyle w:val="42"/>
              <w:spacing w:before="0" w:beforeAutospacing="0" w:after="0" w:afterAutospacing="0" w:line="420" w:lineRule="atLeast"/>
              <w:jc w:val="center"/>
              <w:rPr>
                <w:rFonts w:hint="eastAsia"/>
                <w:sz w:val="21"/>
                <w:szCs w:val="21"/>
              </w:rPr>
            </w:pPr>
            <w:r>
              <w:rPr>
                <w:rFonts w:hint="eastAsia"/>
                <w:sz w:val="21"/>
                <w:szCs w:val="21"/>
              </w:rPr>
              <w:t>网卡芯片</w:t>
            </w:r>
          </w:p>
        </w:tc>
        <w:tc>
          <w:tcPr>
            <w:tcW w:w="1390" w:type="dxa"/>
            <w:vAlign w:val="center"/>
          </w:tcPr>
          <w:p w14:paraId="426B282E">
            <w:pPr>
              <w:pStyle w:val="42"/>
              <w:spacing w:before="0" w:beforeAutospacing="0" w:after="0" w:afterAutospacing="0" w:line="420" w:lineRule="atLeast"/>
              <w:jc w:val="center"/>
              <w:rPr>
                <w:rFonts w:hint="eastAsia"/>
                <w:sz w:val="21"/>
                <w:szCs w:val="21"/>
              </w:rPr>
            </w:pPr>
          </w:p>
        </w:tc>
        <w:tc>
          <w:tcPr>
            <w:tcW w:w="1390" w:type="dxa"/>
            <w:vAlign w:val="center"/>
          </w:tcPr>
          <w:p w14:paraId="23F148E0">
            <w:pPr>
              <w:pStyle w:val="42"/>
              <w:spacing w:before="0" w:beforeAutospacing="0" w:after="0" w:afterAutospacing="0" w:line="420" w:lineRule="atLeast"/>
              <w:jc w:val="center"/>
              <w:rPr>
                <w:rFonts w:hint="eastAsia"/>
                <w:sz w:val="21"/>
                <w:szCs w:val="21"/>
              </w:rPr>
            </w:pPr>
          </w:p>
        </w:tc>
      </w:tr>
      <w:tr w14:paraId="3034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1054" w:type="dxa"/>
            <w:vMerge w:val="continue"/>
            <w:vAlign w:val="center"/>
          </w:tcPr>
          <w:p w14:paraId="6E14DD30">
            <w:pPr>
              <w:pStyle w:val="42"/>
              <w:spacing w:before="0" w:beforeAutospacing="0" w:after="0" w:afterAutospacing="0" w:line="420" w:lineRule="atLeast"/>
              <w:jc w:val="center"/>
              <w:rPr>
                <w:rFonts w:hint="eastAsia"/>
                <w:sz w:val="21"/>
                <w:szCs w:val="21"/>
              </w:rPr>
            </w:pPr>
          </w:p>
        </w:tc>
        <w:tc>
          <w:tcPr>
            <w:tcW w:w="1703" w:type="dxa"/>
            <w:vAlign w:val="center"/>
          </w:tcPr>
          <w:p w14:paraId="31767AA4">
            <w:pPr>
              <w:pStyle w:val="42"/>
              <w:spacing w:before="0" w:beforeAutospacing="0" w:after="0" w:afterAutospacing="0" w:line="420" w:lineRule="atLeast"/>
              <w:jc w:val="center"/>
              <w:rPr>
                <w:rFonts w:hint="eastAsia"/>
                <w:sz w:val="21"/>
                <w:szCs w:val="21"/>
              </w:rPr>
            </w:pPr>
          </w:p>
        </w:tc>
        <w:tc>
          <w:tcPr>
            <w:tcW w:w="1367" w:type="dxa"/>
            <w:vAlign w:val="center"/>
          </w:tcPr>
          <w:p w14:paraId="294BB754">
            <w:pPr>
              <w:pStyle w:val="42"/>
              <w:spacing w:before="0" w:beforeAutospacing="0" w:after="0" w:afterAutospacing="0" w:line="420" w:lineRule="atLeast"/>
              <w:jc w:val="center"/>
              <w:rPr>
                <w:rFonts w:hint="eastAsia"/>
                <w:sz w:val="21"/>
                <w:szCs w:val="21"/>
              </w:rPr>
            </w:pPr>
          </w:p>
        </w:tc>
        <w:tc>
          <w:tcPr>
            <w:tcW w:w="1393" w:type="dxa"/>
            <w:vAlign w:val="center"/>
          </w:tcPr>
          <w:p w14:paraId="58C4CB82">
            <w:pPr>
              <w:spacing w:before="0" w:after="0" w:line="420" w:lineRule="atLeast"/>
              <w:ind w:firstLine="0"/>
              <w:jc w:val="center"/>
              <w:rPr>
                <w:sz w:val="21"/>
                <w:szCs w:val="21"/>
              </w:rPr>
            </w:pPr>
            <w:r>
              <w:rPr>
                <w:rFonts w:hint="eastAsia"/>
                <w:sz w:val="21"/>
                <w:szCs w:val="21"/>
              </w:rPr>
              <w:t>电源模块控制芯片</w:t>
            </w:r>
          </w:p>
        </w:tc>
        <w:tc>
          <w:tcPr>
            <w:tcW w:w="1390" w:type="dxa"/>
            <w:vAlign w:val="center"/>
          </w:tcPr>
          <w:p w14:paraId="10C02AB2">
            <w:pPr>
              <w:pStyle w:val="42"/>
              <w:spacing w:before="0" w:beforeAutospacing="0" w:after="0" w:afterAutospacing="0" w:line="420" w:lineRule="atLeast"/>
              <w:jc w:val="center"/>
              <w:rPr>
                <w:rFonts w:hint="eastAsia"/>
                <w:sz w:val="21"/>
                <w:szCs w:val="21"/>
              </w:rPr>
            </w:pPr>
          </w:p>
        </w:tc>
        <w:tc>
          <w:tcPr>
            <w:tcW w:w="1390" w:type="dxa"/>
            <w:vAlign w:val="center"/>
          </w:tcPr>
          <w:p w14:paraId="3732BACB">
            <w:pPr>
              <w:pStyle w:val="42"/>
              <w:spacing w:before="0" w:beforeAutospacing="0" w:after="0" w:afterAutospacing="0" w:line="420" w:lineRule="atLeast"/>
              <w:jc w:val="center"/>
              <w:rPr>
                <w:rFonts w:hint="eastAsia"/>
                <w:sz w:val="21"/>
                <w:szCs w:val="21"/>
              </w:rPr>
            </w:pPr>
          </w:p>
        </w:tc>
      </w:tr>
      <w:tr w14:paraId="6E394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1054" w:type="dxa"/>
            <w:vMerge w:val="continue"/>
            <w:vAlign w:val="center"/>
          </w:tcPr>
          <w:p w14:paraId="73A4852A">
            <w:pPr>
              <w:pStyle w:val="42"/>
              <w:spacing w:before="0" w:beforeAutospacing="0" w:after="0" w:afterAutospacing="0" w:line="420" w:lineRule="atLeast"/>
              <w:jc w:val="center"/>
              <w:rPr>
                <w:rFonts w:hint="eastAsia"/>
                <w:sz w:val="21"/>
                <w:szCs w:val="21"/>
              </w:rPr>
            </w:pPr>
          </w:p>
        </w:tc>
        <w:tc>
          <w:tcPr>
            <w:tcW w:w="1703" w:type="dxa"/>
            <w:vAlign w:val="center"/>
          </w:tcPr>
          <w:p w14:paraId="09959904">
            <w:pPr>
              <w:pStyle w:val="42"/>
              <w:spacing w:before="0" w:beforeAutospacing="0" w:after="0" w:afterAutospacing="0" w:line="420" w:lineRule="atLeast"/>
              <w:jc w:val="center"/>
              <w:rPr>
                <w:rFonts w:hint="eastAsia"/>
                <w:sz w:val="21"/>
                <w:szCs w:val="21"/>
              </w:rPr>
            </w:pPr>
          </w:p>
        </w:tc>
        <w:tc>
          <w:tcPr>
            <w:tcW w:w="1367" w:type="dxa"/>
            <w:vAlign w:val="center"/>
          </w:tcPr>
          <w:p w14:paraId="4B1BF290">
            <w:pPr>
              <w:pStyle w:val="42"/>
              <w:spacing w:before="0" w:beforeAutospacing="0" w:after="0" w:afterAutospacing="0" w:line="420" w:lineRule="atLeast"/>
              <w:jc w:val="center"/>
              <w:rPr>
                <w:rFonts w:hint="eastAsia"/>
                <w:sz w:val="21"/>
                <w:szCs w:val="21"/>
              </w:rPr>
            </w:pPr>
          </w:p>
        </w:tc>
        <w:tc>
          <w:tcPr>
            <w:tcW w:w="1393" w:type="dxa"/>
            <w:vAlign w:val="center"/>
          </w:tcPr>
          <w:p w14:paraId="0A355C6D">
            <w:pPr>
              <w:spacing w:before="0" w:after="0" w:line="420" w:lineRule="atLeast"/>
              <w:ind w:firstLine="0"/>
              <w:jc w:val="center"/>
              <w:rPr>
                <w:sz w:val="21"/>
                <w:szCs w:val="21"/>
              </w:rPr>
            </w:pPr>
            <w:r>
              <w:rPr>
                <w:sz w:val="21"/>
                <w:szCs w:val="21"/>
              </w:rPr>
              <w:t>R</w:t>
            </w:r>
            <w:r>
              <w:rPr>
                <w:rFonts w:hint="eastAsia"/>
                <w:sz w:val="21"/>
                <w:szCs w:val="21"/>
              </w:rPr>
              <w:t>aid卡</w:t>
            </w:r>
          </w:p>
        </w:tc>
        <w:tc>
          <w:tcPr>
            <w:tcW w:w="1390" w:type="dxa"/>
            <w:vAlign w:val="center"/>
          </w:tcPr>
          <w:p w14:paraId="3C277A78">
            <w:pPr>
              <w:pStyle w:val="42"/>
              <w:spacing w:before="0" w:beforeAutospacing="0" w:after="0" w:afterAutospacing="0" w:line="420" w:lineRule="atLeast"/>
              <w:jc w:val="center"/>
              <w:rPr>
                <w:rFonts w:hint="eastAsia"/>
                <w:sz w:val="21"/>
                <w:szCs w:val="21"/>
              </w:rPr>
            </w:pPr>
          </w:p>
        </w:tc>
        <w:tc>
          <w:tcPr>
            <w:tcW w:w="1390" w:type="dxa"/>
            <w:vAlign w:val="center"/>
          </w:tcPr>
          <w:p w14:paraId="51922243">
            <w:pPr>
              <w:pStyle w:val="42"/>
              <w:spacing w:before="0" w:beforeAutospacing="0" w:after="0" w:afterAutospacing="0" w:line="420" w:lineRule="atLeast"/>
              <w:jc w:val="center"/>
              <w:rPr>
                <w:rFonts w:hint="eastAsia"/>
                <w:sz w:val="21"/>
                <w:szCs w:val="21"/>
              </w:rPr>
            </w:pPr>
          </w:p>
        </w:tc>
      </w:tr>
    </w:tbl>
    <w:p w14:paraId="6DC21AC6">
      <w:pPr>
        <w:pStyle w:val="42"/>
        <w:spacing w:before="900" w:beforeAutospacing="0" w:after="0" w:afterAutospacing="0" w:line="420" w:lineRule="atLeast"/>
        <w:jc w:val="both"/>
        <w:rPr>
          <w:rFonts w:hint="eastAsia"/>
          <w:sz w:val="28"/>
          <w:szCs w:val="28"/>
        </w:rPr>
      </w:pPr>
    </w:p>
    <w:p w14:paraId="4A8A1CDC">
      <w:pPr>
        <w:pStyle w:val="42"/>
        <w:spacing w:before="900" w:beforeAutospacing="0" w:after="0" w:afterAutospacing="0" w:line="420" w:lineRule="atLeast"/>
        <w:jc w:val="both"/>
        <w:rPr>
          <w:rFonts w:hint="eastAsia"/>
          <w:sz w:val="28"/>
          <w:szCs w:val="28"/>
        </w:rPr>
      </w:pPr>
    </w:p>
    <w:p w14:paraId="2F81F260">
      <w:pPr>
        <w:pStyle w:val="42"/>
        <w:spacing w:before="900" w:beforeAutospacing="0" w:after="0" w:afterAutospacing="0" w:line="420" w:lineRule="atLeast"/>
        <w:jc w:val="both"/>
        <w:rPr>
          <w:rFonts w:hint="eastAsia"/>
          <w:sz w:val="28"/>
          <w:szCs w:val="28"/>
        </w:rPr>
      </w:pPr>
    </w:p>
    <w:p w14:paraId="273C072C">
      <w:pPr>
        <w:pStyle w:val="42"/>
        <w:spacing w:before="900" w:beforeAutospacing="0" w:after="0" w:afterAutospacing="0" w:line="420" w:lineRule="atLeast"/>
        <w:jc w:val="both"/>
        <w:rPr>
          <w:rFonts w:hint="eastAsia"/>
          <w:sz w:val="28"/>
          <w:szCs w:val="28"/>
        </w:rPr>
      </w:pPr>
    </w:p>
    <w:p w14:paraId="44EBE299">
      <w:pPr>
        <w:pStyle w:val="42"/>
        <w:spacing w:before="900" w:beforeAutospacing="0" w:after="0" w:afterAutospacing="0" w:line="420" w:lineRule="atLeast"/>
        <w:jc w:val="both"/>
        <w:rPr>
          <w:rFonts w:hint="eastAsia"/>
          <w:sz w:val="28"/>
          <w:szCs w:val="28"/>
        </w:rPr>
      </w:pPr>
    </w:p>
    <w:p w14:paraId="0BE3FE33">
      <w:pPr>
        <w:pStyle w:val="42"/>
        <w:spacing w:before="900" w:beforeAutospacing="0" w:after="0" w:afterAutospacing="0" w:line="420" w:lineRule="atLeast"/>
        <w:jc w:val="both"/>
        <w:rPr>
          <w:rFonts w:hint="eastAsia"/>
          <w:sz w:val="28"/>
          <w:szCs w:val="28"/>
        </w:rPr>
      </w:pPr>
    </w:p>
    <w:p w14:paraId="2860E997">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4FE1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22"/>
            <w:vAlign w:val="center"/>
          </w:tcPr>
          <w:p w14:paraId="28EE0FD0">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3D02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13B028D0">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681A7F17">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5B8A72CA">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69629CA0">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071F9FE3">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6345814F">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7C7E963A">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1F5629CE">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478E8BB1">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4291E68F">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7246CCF2">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21314751">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7A89BB60">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10E6409F">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6C49D938">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681F21CB">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0D604AAE">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421DB832">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09303ED8">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1AE78E6E">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404FE103">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5377FBC4">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1D0A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22FEE168">
            <w:pPr>
              <w:pStyle w:val="42"/>
              <w:spacing w:before="0" w:beforeAutospacing="0" w:after="0" w:afterAutospacing="0" w:line="420" w:lineRule="atLeast"/>
              <w:jc w:val="center"/>
              <w:rPr>
                <w:rFonts w:hint="eastAsia"/>
                <w:sz w:val="21"/>
                <w:szCs w:val="21"/>
              </w:rPr>
            </w:pPr>
          </w:p>
        </w:tc>
        <w:tc>
          <w:tcPr>
            <w:tcW w:w="335" w:type="dxa"/>
            <w:vAlign w:val="center"/>
          </w:tcPr>
          <w:p w14:paraId="271A26ED">
            <w:pPr>
              <w:pStyle w:val="42"/>
              <w:spacing w:before="0" w:beforeAutospacing="0" w:after="0" w:afterAutospacing="0" w:line="420" w:lineRule="atLeast"/>
              <w:jc w:val="center"/>
              <w:rPr>
                <w:rFonts w:hint="eastAsia"/>
                <w:sz w:val="21"/>
                <w:szCs w:val="21"/>
              </w:rPr>
            </w:pPr>
          </w:p>
        </w:tc>
        <w:tc>
          <w:tcPr>
            <w:tcW w:w="335" w:type="dxa"/>
            <w:vAlign w:val="center"/>
          </w:tcPr>
          <w:p w14:paraId="31542B43">
            <w:pPr>
              <w:pStyle w:val="42"/>
              <w:spacing w:before="0" w:beforeAutospacing="0" w:after="0" w:afterAutospacing="0" w:line="420" w:lineRule="atLeast"/>
              <w:jc w:val="center"/>
              <w:rPr>
                <w:rFonts w:hint="eastAsia"/>
                <w:sz w:val="21"/>
                <w:szCs w:val="21"/>
              </w:rPr>
            </w:pPr>
          </w:p>
        </w:tc>
        <w:tc>
          <w:tcPr>
            <w:tcW w:w="335" w:type="dxa"/>
            <w:vAlign w:val="center"/>
          </w:tcPr>
          <w:p w14:paraId="050C8907">
            <w:pPr>
              <w:pStyle w:val="42"/>
              <w:spacing w:before="0" w:beforeAutospacing="0" w:after="0" w:afterAutospacing="0" w:line="420" w:lineRule="atLeast"/>
              <w:jc w:val="center"/>
              <w:rPr>
                <w:rFonts w:hint="eastAsia"/>
                <w:sz w:val="21"/>
                <w:szCs w:val="21"/>
              </w:rPr>
            </w:pPr>
          </w:p>
        </w:tc>
        <w:tc>
          <w:tcPr>
            <w:tcW w:w="334" w:type="dxa"/>
            <w:vAlign w:val="center"/>
          </w:tcPr>
          <w:p w14:paraId="4CF1834B">
            <w:pPr>
              <w:pStyle w:val="42"/>
              <w:spacing w:before="0" w:beforeAutospacing="0" w:after="0" w:afterAutospacing="0" w:line="420" w:lineRule="atLeast"/>
              <w:jc w:val="center"/>
              <w:rPr>
                <w:rFonts w:hint="eastAsia"/>
                <w:sz w:val="21"/>
                <w:szCs w:val="21"/>
              </w:rPr>
            </w:pPr>
          </w:p>
        </w:tc>
        <w:tc>
          <w:tcPr>
            <w:tcW w:w="452" w:type="dxa"/>
            <w:vAlign w:val="center"/>
          </w:tcPr>
          <w:p w14:paraId="6846C576">
            <w:pPr>
              <w:pStyle w:val="42"/>
              <w:spacing w:before="0" w:beforeAutospacing="0" w:after="0" w:afterAutospacing="0" w:line="420" w:lineRule="atLeast"/>
              <w:jc w:val="center"/>
              <w:rPr>
                <w:rFonts w:hint="eastAsia"/>
                <w:sz w:val="21"/>
                <w:szCs w:val="21"/>
              </w:rPr>
            </w:pPr>
          </w:p>
        </w:tc>
        <w:tc>
          <w:tcPr>
            <w:tcW w:w="334" w:type="dxa"/>
            <w:vAlign w:val="center"/>
          </w:tcPr>
          <w:p w14:paraId="7E122B50">
            <w:pPr>
              <w:pStyle w:val="42"/>
              <w:spacing w:before="0" w:beforeAutospacing="0" w:after="0" w:afterAutospacing="0" w:line="420" w:lineRule="atLeast"/>
              <w:jc w:val="center"/>
              <w:rPr>
                <w:rFonts w:hint="eastAsia"/>
                <w:sz w:val="21"/>
                <w:szCs w:val="21"/>
              </w:rPr>
            </w:pPr>
          </w:p>
        </w:tc>
        <w:tc>
          <w:tcPr>
            <w:tcW w:w="334" w:type="dxa"/>
            <w:vAlign w:val="center"/>
          </w:tcPr>
          <w:p w14:paraId="1A148809">
            <w:pPr>
              <w:pStyle w:val="42"/>
              <w:spacing w:before="0" w:beforeAutospacing="0" w:after="0" w:afterAutospacing="0" w:line="420" w:lineRule="atLeast"/>
              <w:jc w:val="center"/>
              <w:rPr>
                <w:rFonts w:hint="eastAsia"/>
                <w:sz w:val="21"/>
                <w:szCs w:val="21"/>
              </w:rPr>
            </w:pPr>
          </w:p>
        </w:tc>
        <w:tc>
          <w:tcPr>
            <w:tcW w:w="452" w:type="dxa"/>
            <w:vAlign w:val="center"/>
          </w:tcPr>
          <w:p w14:paraId="20B3915F">
            <w:pPr>
              <w:pStyle w:val="42"/>
              <w:spacing w:before="0" w:beforeAutospacing="0" w:after="0" w:afterAutospacing="0" w:line="420" w:lineRule="atLeast"/>
              <w:jc w:val="center"/>
              <w:rPr>
                <w:rFonts w:hint="eastAsia"/>
                <w:sz w:val="21"/>
                <w:szCs w:val="21"/>
              </w:rPr>
            </w:pPr>
          </w:p>
        </w:tc>
        <w:tc>
          <w:tcPr>
            <w:tcW w:w="334" w:type="dxa"/>
            <w:vAlign w:val="center"/>
          </w:tcPr>
          <w:p w14:paraId="23DCA3A8">
            <w:pPr>
              <w:pStyle w:val="42"/>
              <w:spacing w:before="0" w:beforeAutospacing="0" w:after="0" w:afterAutospacing="0" w:line="420" w:lineRule="atLeast"/>
              <w:jc w:val="center"/>
              <w:rPr>
                <w:rFonts w:hint="eastAsia"/>
                <w:sz w:val="21"/>
                <w:szCs w:val="21"/>
              </w:rPr>
            </w:pPr>
          </w:p>
        </w:tc>
        <w:tc>
          <w:tcPr>
            <w:tcW w:w="452" w:type="dxa"/>
            <w:vAlign w:val="center"/>
          </w:tcPr>
          <w:p w14:paraId="627F3C12">
            <w:pPr>
              <w:pStyle w:val="42"/>
              <w:spacing w:before="0" w:beforeAutospacing="0" w:after="0" w:afterAutospacing="0" w:line="420" w:lineRule="atLeast"/>
              <w:jc w:val="center"/>
              <w:rPr>
                <w:rFonts w:hint="eastAsia"/>
                <w:sz w:val="21"/>
                <w:szCs w:val="21"/>
              </w:rPr>
            </w:pPr>
          </w:p>
        </w:tc>
        <w:tc>
          <w:tcPr>
            <w:tcW w:w="334" w:type="dxa"/>
            <w:vAlign w:val="center"/>
          </w:tcPr>
          <w:p w14:paraId="463068CA">
            <w:pPr>
              <w:pStyle w:val="42"/>
              <w:spacing w:before="0" w:beforeAutospacing="0" w:after="0" w:afterAutospacing="0" w:line="420" w:lineRule="atLeast"/>
              <w:jc w:val="center"/>
              <w:rPr>
                <w:rFonts w:hint="eastAsia"/>
                <w:sz w:val="21"/>
                <w:szCs w:val="21"/>
              </w:rPr>
            </w:pPr>
          </w:p>
        </w:tc>
        <w:tc>
          <w:tcPr>
            <w:tcW w:w="571" w:type="dxa"/>
            <w:vAlign w:val="center"/>
          </w:tcPr>
          <w:p w14:paraId="4A30D696">
            <w:pPr>
              <w:pStyle w:val="42"/>
              <w:spacing w:before="0" w:beforeAutospacing="0" w:after="0" w:afterAutospacing="0" w:line="420" w:lineRule="atLeast"/>
              <w:jc w:val="center"/>
              <w:rPr>
                <w:rFonts w:hint="eastAsia"/>
                <w:sz w:val="21"/>
                <w:szCs w:val="21"/>
              </w:rPr>
            </w:pPr>
          </w:p>
        </w:tc>
        <w:tc>
          <w:tcPr>
            <w:tcW w:w="452" w:type="dxa"/>
            <w:vAlign w:val="center"/>
          </w:tcPr>
          <w:p w14:paraId="4EA52417">
            <w:pPr>
              <w:pStyle w:val="42"/>
              <w:spacing w:before="0" w:beforeAutospacing="0" w:after="0" w:afterAutospacing="0" w:line="420" w:lineRule="atLeast"/>
              <w:jc w:val="center"/>
              <w:rPr>
                <w:rFonts w:hint="eastAsia"/>
                <w:sz w:val="21"/>
                <w:szCs w:val="21"/>
              </w:rPr>
            </w:pPr>
          </w:p>
        </w:tc>
        <w:tc>
          <w:tcPr>
            <w:tcW w:w="334" w:type="dxa"/>
            <w:vAlign w:val="center"/>
          </w:tcPr>
          <w:p w14:paraId="306659E7">
            <w:pPr>
              <w:pStyle w:val="42"/>
              <w:spacing w:before="0" w:beforeAutospacing="0" w:after="0" w:afterAutospacing="0" w:line="420" w:lineRule="atLeast"/>
              <w:jc w:val="center"/>
              <w:rPr>
                <w:rFonts w:hint="eastAsia"/>
                <w:sz w:val="21"/>
                <w:szCs w:val="21"/>
              </w:rPr>
            </w:pPr>
          </w:p>
        </w:tc>
        <w:tc>
          <w:tcPr>
            <w:tcW w:w="334" w:type="dxa"/>
            <w:vAlign w:val="center"/>
          </w:tcPr>
          <w:p w14:paraId="6193BAB3">
            <w:pPr>
              <w:pStyle w:val="42"/>
              <w:spacing w:before="0" w:beforeAutospacing="0" w:after="0" w:afterAutospacing="0" w:line="420" w:lineRule="atLeast"/>
              <w:jc w:val="center"/>
              <w:rPr>
                <w:rFonts w:hint="eastAsia"/>
                <w:sz w:val="21"/>
                <w:szCs w:val="21"/>
              </w:rPr>
            </w:pPr>
          </w:p>
        </w:tc>
        <w:tc>
          <w:tcPr>
            <w:tcW w:w="452" w:type="dxa"/>
            <w:vAlign w:val="center"/>
          </w:tcPr>
          <w:p w14:paraId="7B6E3F50">
            <w:pPr>
              <w:pStyle w:val="42"/>
              <w:spacing w:before="0" w:beforeAutospacing="0" w:after="0" w:afterAutospacing="0" w:line="420" w:lineRule="atLeast"/>
              <w:jc w:val="center"/>
              <w:rPr>
                <w:rFonts w:hint="eastAsia"/>
                <w:sz w:val="21"/>
                <w:szCs w:val="21"/>
              </w:rPr>
            </w:pPr>
          </w:p>
        </w:tc>
        <w:tc>
          <w:tcPr>
            <w:tcW w:w="334" w:type="dxa"/>
            <w:vAlign w:val="center"/>
          </w:tcPr>
          <w:p w14:paraId="4F7FDB8B">
            <w:pPr>
              <w:pStyle w:val="42"/>
              <w:spacing w:before="0" w:beforeAutospacing="0" w:after="0" w:afterAutospacing="0" w:line="420" w:lineRule="atLeast"/>
              <w:jc w:val="center"/>
              <w:rPr>
                <w:rFonts w:hint="eastAsia"/>
                <w:sz w:val="21"/>
                <w:szCs w:val="21"/>
              </w:rPr>
            </w:pPr>
          </w:p>
        </w:tc>
        <w:tc>
          <w:tcPr>
            <w:tcW w:w="334" w:type="dxa"/>
            <w:vAlign w:val="center"/>
          </w:tcPr>
          <w:p w14:paraId="77164A85">
            <w:pPr>
              <w:pStyle w:val="42"/>
              <w:spacing w:before="0" w:beforeAutospacing="0" w:after="0" w:afterAutospacing="0" w:line="420" w:lineRule="atLeast"/>
              <w:jc w:val="center"/>
              <w:rPr>
                <w:rFonts w:hint="eastAsia"/>
                <w:sz w:val="21"/>
                <w:szCs w:val="21"/>
              </w:rPr>
            </w:pPr>
          </w:p>
        </w:tc>
        <w:tc>
          <w:tcPr>
            <w:tcW w:w="452" w:type="dxa"/>
            <w:vAlign w:val="center"/>
          </w:tcPr>
          <w:p w14:paraId="2D35C727">
            <w:pPr>
              <w:pStyle w:val="42"/>
              <w:spacing w:before="0" w:beforeAutospacing="0" w:after="0" w:afterAutospacing="0" w:line="420" w:lineRule="atLeast"/>
              <w:jc w:val="center"/>
              <w:rPr>
                <w:rFonts w:hint="eastAsia"/>
                <w:sz w:val="21"/>
                <w:szCs w:val="21"/>
              </w:rPr>
            </w:pPr>
          </w:p>
        </w:tc>
        <w:tc>
          <w:tcPr>
            <w:tcW w:w="334" w:type="dxa"/>
            <w:vAlign w:val="center"/>
          </w:tcPr>
          <w:p w14:paraId="0326004F">
            <w:pPr>
              <w:pStyle w:val="42"/>
              <w:spacing w:before="0" w:beforeAutospacing="0" w:after="0" w:afterAutospacing="0" w:line="420" w:lineRule="atLeast"/>
              <w:jc w:val="center"/>
              <w:rPr>
                <w:rFonts w:hint="eastAsia"/>
                <w:sz w:val="21"/>
                <w:szCs w:val="21"/>
              </w:rPr>
            </w:pPr>
          </w:p>
        </w:tc>
        <w:tc>
          <w:tcPr>
            <w:tcW w:w="334" w:type="dxa"/>
            <w:vAlign w:val="center"/>
          </w:tcPr>
          <w:p w14:paraId="63E681B5">
            <w:pPr>
              <w:pStyle w:val="42"/>
              <w:spacing w:before="0" w:beforeAutospacing="0" w:after="0" w:afterAutospacing="0" w:line="420" w:lineRule="atLeast"/>
              <w:jc w:val="center"/>
              <w:rPr>
                <w:rFonts w:hint="eastAsia"/>
                <w:sz w:val="21"/>
                <w:szCs w:val="21"/>
              </w:rPr>
            </w:pPr>
          </w:p>
        </w:tc>
      </w:tr>
    </w:tbl>
    <w:p w14:paraId="45589C90">
      <w:pPr>
        <w:pStyle w:val="42"/>
        <w:spacing w:before="0" w:beforeAutospacing="0" w:after="0" w:afterAutospacing="0" w:line="420" w:lineRule="atLeast"/>
        <w:jc w:val="both"/>
        <w:rPr>
          <w:rFonts w:hint="eastAsia"/>
          <w:sz w:val="21"/>
          <w:szCs w:val="21"/>
        </w:rPr>
      </w:pPr>
    </w:p>
    <w:p w14:paraId="737B27DC">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56B5242C">
      <w:pPr>
        <w:spacing w:before="0" w:after="0" w:line="420" w:lineRule="atLeast"/>
        <w:rPr>
          <w:sz w:val="21"/>
          <w:szCs w:val="21"/>
        </w:rPr>
      </w:pPr>
      <w:r>
        <w:rPr>
          <w:rFonts w:hint="eastAsia"/>
          <w:sz w:val="21"/>
          <w:szCs w:val="21"/>
        </w:rPr>
        <w:br w:type="page"/>
      </w:r>
    </w:p>
    <w:p w14:paraId="7E39928F">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1701"/>
        <w:gridCol w:w="1366"/>
        <w:gridCol w:w="1392"/>
        <w:gridCol w:w="1390"/>
        <w:gridCol w:w="1390"/>
      </w:tblGrid>
      <w:tr w14:paraId="1AFA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6"/>
            <w:vAlign w:val="center"/>
          </w:tcPr>
          <w:p w14:paraId="01B86B58">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3392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Align w:val="center"/>
          </w:tcPr>
          <w:p w14:paraId="1F6FF332">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01" w:type="dxa"/>
            <w:vAlign w:val="center"/>
          </w:tcPr>
          <w:p w14:paraId="24D190B2">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366" w:type="dxa"/>
            <w:vAlign w:val="center"/>
          </w:tcPr>
          <w:p w14:paraId="16A8B3BD">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392" w:type="dxa"/>
            <w:vAlign w:val="center"/>
          </w:tcPr>
          <w:p w14:paraId="6104208A">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390" w:type="dxa"/>
            <w:vAlign w:val="center"/>
          </w:tcPr>
          <w:p w14:paraId="766147E3">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390" w:type="dxa"/>
            <w:vAlign w:val="center"/>
          </w:tcPr>
          <w:p w14:paraId="0D0FD60A">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7A7F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Merge w:val="restart"/>
            <w:vAlign w:val="center"/>
          </w:tcPr>
          <w:p w14:paraId="288601D8">
            <w:pPr>
              <w:pStyle w:val="42"/>
              <w:spacing w:before="0" w:beforeAutospacing="0" w:after="0" w:afterAutospacing="0" w:line="420" w:lineRule="atLeast"/>
              <w:jc w:val="center"/>
              <w:rPr>
                <w:rFonts w:hint="eastAsia"/>
                <w:sz w:val="21"/>
                <w:szCs w:val="21"/>
              </w:rPr>
            </w:pPr>
            <w:r>
              <w:rPr>
                <w:rFonts w:hint="eastAsia"/>
                <w:sz w:val="21"/>
                <w:szCs w:val="21"/>
              </w:rPr>
              <w:t>PC服务器（ARMXX档XX类)</w:t>
            </w:r>
          </w:p>
        </w:tc>
        <w:tc>
          <w:tcPr>
            <w:tcW w:w="1701" w:type="dxa"/>
            <w:vAlign w:val="center"/>
          </w:tcPr>
          <w:p w14:paraId="3801832D">
            <w:pPr>
              <w:pStyle w:val="42"/>
              <w:spacing w:before="0" w:beforeAutospacing="0" w:after="0" w:afterAutospacing="0" w:line="420" w:lineRule="atLeast"/>
              <w:jc w:val="center"/>
              <w:rPr>
                <w:rFonts w:hint="eastAsia"/>
                <w:sz w:val="21"/>
                <w:szCs w:val="21"/>
              </w:rPr>
            </w:pPr>
          </w:p>
        </w:tc>
        <w:tc>
          <w:tcPr>
            <w:tcW w:w="1366" w:type="dxa"/>
            <w:vAlign w:val="center"/>
          </w:tcPr>
          <w:p w14:paraId="2D1228AB">
            <w:pPr>
              <w:pStyle w:val="42"/>
              <w:spacing w:before="0" w:beforeAutospacing="0" w:after="0" w:afterAutospacing="0" w:line="420" w:lineRule="atLeast"/>
              <w:jc w:val="center"/>
              <w:rPr>
                <w:rFonts w:hint="eastAsia"/>
                <w:sz w:val="21"/>
                <w:szCs w:val="21"/>
              </w:rPr>
            </w:pPr>
          </w:p>
        </w:tc>
        <w:tc>
          <w:tcPr>
            <w:tcW w:w="1392" w:type="dxa"/>
            <w:vAlign w:val="center"/>
          </w:tcPr>
          <w:p w14:paraId="2CAF015D">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390" w:type="dxa"/>
            <w:vAlign w:val="center"/>
          </w:tcPr>
          <w:p w14:paraId="50D40D13">
            <w:pPr>
              <w:pStyle w:val="42"/>
              <w:spacing w:before="0" w:beforeAutospacing="0" w:after="0" w:afterAutospacing="0" w:line="420" w:lineRule="atLeast"/>
              <w:jc w:val="center"/>
              <w:rPr>
                <w:rFonts w:hint="eastAsia"/>
                <w:sz w:val="21"/>
                <w:szCs w:val="21"/>
              </w:rPr>
            </w:pPr>
          </w:p>
        </w:tc>
        <w:tc>
          <w:tcPr>
            <w:tcW w:w="1390" w:type="dxa"/>
            <w:vAlign w:val="center"/>
          </w:tcPr>
          <w:p w14:paraId="720665E5">
            <w:pPr>
              <w:pStyle w:val="42"/>
              <w:spacing w:before="0" w:beforeAutospacing="0" w:after="0" w:afterAutospacing="0" w:line="420" w:lineRule="atLeast"/>
              <w:jc w:val="center"/>
              <w:rPr>
                <w:rFonts w:hint="eastAsia"/>
                <w:sz w:val="21"/>
                <w:szCs w:val="21"/>
              </w:rPr>
            </w:pPr>
          </w:p>
        </w:tc>
      </w:tr>
      <w:tr w14:paraId="506C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Merge w:val="continue"/>
            <w:vAlign w:val="center"/>
          </w:tcPr>
          <w:p w14:paraId="19B82796">
            <w:pPr>
              <w:pStyle w:val="42"/>
              <w:spacing w:before="0" w:beforeAutospacing="0" w:after="0" w:afterAutospacing="0" w:line="420" w:lineRule="atLeast"/>
              <w:jc w:val="center"/>
              <w:rPr>
                <w:rFonts w:hint="eastAsia"/>
                <w:sz w:val="21"/>
                <w:szCs w:val="21"/>
              </w:rPr>
            </w:pPr>
          </w:p>
        </w:tc>
        <w:tc>
          <w:tcPr>
            <w:tcW w:w="1701" w:type="dxa"/>
            <w:vAlign w:val="center"/>
          </w:tcPr>
          <w:p w14:paraId="48D35692">
            <w:pPr>
              <w:pStyle w:val="42"/>
              <w:spacing w:before="0" w:beforeAutospacing="0" w:after="0" w:afterAutospacing="0" w:line="420" w:lineRule="atLeast"/>
              <w:jc w:val="center"/>
              <w:rPr>
                <w:rFonts w:hint="eastAsia"/>
                <w:sz w:val="21"/>
                <w:szCs w:val="21"/>
              </w:rPr>
            </w:pPr>
          </w:p>
        </w:tc>
        <w:tc>
          <w:tcPr>
            <w:tcW w:w="1366" w:type="dxa"/>
            <w:vAlign w:val="center"/>
          </w:tcPr>
          <w:p w14:paraId="6EACF7E7">
            <w:pPr>
              <w:pStyle w:val="42"/>
              <w:spacing w:before="0" w:beforeAutospacing="0" w:after="0" w:afterAutospacing="0" w:line="420" w:lineRule="atLeast"/>
              <w:jc w:val="center"/>
              <w:rPr>
                <w:rFonts w:hint="eastAsia"/>
                <w:sz w:val="21"/>
                <w:szCs w:val="21"/>
              </w:rPr>
            </w:pPr>
          </w:p>
        </w:tc>
        <w:tc>
          <w:tcPr>
            <w:tcW w:w="1392" w:type="dxa"/>
            <w:vAlign w:val="center"/>
          </w:tcPr>
          <w:p w14:paraId="7CAF4317">
            <w:pPr>
              <w:pStyle w:val="42"/>
              <w:spacing w:before="0" w:beforeAutospacing="0" w:after="0" w:afterAutospacing="0" w:line="420" w:lineRule="atLeast"/>
              <w:jc w:val="center"/>
              <w:rPr>
                <w:rFonts w:hint="eastAsia"/>
                <w:sz w:val="21"/>
                <w:szCs w:val="21"/>
              </w:rPr>
            </w:pPr>
            <w:r>
              <w:rPr>
                <w:rFonts w:hint="eastAsia"/>
                <w:sz w:val="21"/>
                <w:szCs w:val="21"/>
              </w:rPr>
              <w:t>硬盘颗粒</w:t>
            </w:r>
          </w:p>
        </w:tc>
        <w:tc>
          <w:tcPr>
            <w:tcW w:w="1390" w:type="dxa"/>
            <w:vAlign w:val="center"/>
          </w:tcPr>
          <w:p w14:paraId="6AADB207">
            <w:pPr>
              <w:pStyle w:val="42"/>
              <w:spacing w:before="0" w:beforeAutospacing="0" w:after="0" w:afterAutospacing="0" w:line="420" w:lineRule="atLeast"/>
              <w:jc w:val="center"/>
              <w:rPr>
                <w:rFonts w:hint="eastAsia"/>
                <w:sz w:val="21"/>
                <w:szCs w:val="21"/>
              </w:rPr>
            </w:pPr>
          </w:p>
        </w:tc>
        <w:tc>
          <w:tcPr>
            <w:tcW w:w="1390" w:type="dxa"/>
            <w:vAlign w:val="center"/>
          </w:tcPr>
          <w:p w14:paraId="2493AD4E">
            <w:pPr>
              <w:pStyle w:val="42"/>
              <w:spacing w:before="0" w:beforeAutospacing="0" w:after="0" w:afterAutospacing="0" w:line="420" w:lineRule="atLeast"/>
              <w:jc w:val="center"/>
              <w:rPr>
                <w:rFonts w:hint="eastAsia"/>
                <w:sz w:val="21"/>
                <w:szCs w:val="21"/>
              </w:rPr>
            </w:pPr>
          </w:p>
        </w:tc>
      </w:tr>
      <w:tr w14:paraId="3CCF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Merge w:val="continue"/>
            <w:vAlign w:val="center"/>
          </w:tcPr>
          <w:p w14:paraId="6892ED9D">
            <w:pPr>
              <w:pStyle w:val="42"/>
              <w:spacing w:before="0" w:beforeAutospacing="0" w:after="0" w:afterAutospacing="0" w:line="420" w:lineRule="atLeast"/>
              <w:jc w:val="center"/>
              <w:rPr>
                <w:rFonts w:hint="eastAsia"/>
                <w:sz w:val="21"/>
                <w:szCs w:val="21"/>
              </w:rPr>
            </w:pPr>
          </w:p>
        </w:tc>
        <w:tc>
          <w:tcPr>
            <w:tcW w:w="1701" w:type="dxa"/>
            <w:vAlign w:val="center"/>
          </w:tcPr>
          <w:p w14:paraId="67B28BC8">
            <w:pPr>
              <w:pStyle w:val="42"/>
              <w:spacing w:before="0" w:beforeAutospacing="0" w:after="0" w:afterAutospacing="0" w:line="420" w:lineRule="atLeast"/>
              <w:jc w:val="center"/>
              <w:rPr>
                <w:rFonts w:hint="eastAsia"/>
                <w:sz w:val="21"/>
                <w:szCs w:val="21"/>
              </w:rPr>
            </w:pPr>
          </w:p>
        </w:tc>
        <w:tc>
          <w:tcPr>
            <w:tcW w:w="1366" w:type="dxa"/>
            <w:vAlign w:val="center"/>
          </w:tcPr>
          <w:p w14:paraId="47A95923">
            <w:pPr>
              <w:pStyle w:val="42"/>
              <w:spacing w:before="0" w:beforeAutospacing="0" w:after="0" w:afterAutospacing="0" w:line="420" w:lineRule="atLeast"/>
              <w:jc w:val="center"/>
              <w:rPr>
                <w:rFonts w:hint="eastAsia"/>
                <w:sz w:val="21"/>
                <w:szCs w:val="21"/>
              </w:rPr>
            </w:pPr>
          </w:p>
        </w:tc>
        <w:tc>
          <w:tcPr>
            <w:tcW w:w="1392" w:type="dxa"/>
            <w:vAlign w:val="center"/>
          </w:tcPr>
          <w:p w14:paraId="46CD799E">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390" w:type="dxa"/>
            <w:vAlign w:val="center"/>
          </w:tcPr>
          <w:p w14:paraId="53BF7D6F">
            <w:pPr>
              <w:pStyle w:val="42"/>
              <w:spacing w:before="0" w:beforeAutospacing="0" w:after="0" w:afterAutospacing="0" w:line="420" w:lineRule="atLeast"/>
              <w:jc w:val="center"/>
              <w:rPr>
                <w:rFonts w:hint="eastAsia"/>
                <w:sz w:val="21"/>
                <w:szCs w:val="21"/>
              </w:rPr>
            </w:pPr>
          </w:p>
        </w:tc>
        <w:tc>
          <w:tcPr>
            <w:tcW w:w="1390" w:type="dxa"/>
            <w:vAlign w:val="center"/>
          </w:tcPr>
          <w:p w14:paraId="743BFFC3">
            <w:pPr>
              <w:pStyle w:val="42"/>
              <w:spacing w:before="0" w:beforeAutospacing="0" w:after="0" w:afterAutospacing="0" w:line="420" w:lineRule="atLeast"/>
              <w:jc w:val="center"/>
              <w:rPr>
                <w:rFonts w:hint="eastAsia"/>
                <w:sz w:val="21"/>
                <w:szCs w:val="21"/>
              </w:rPr>
            </w:pPr>
          </w:p>
        </w:tc>
      </w:tr>
      <w:tr w14:paraId="1692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Merge w:val="continue"/>
            <w:vAlign w:val="center"/>
          </w:tcPr>
          <w:p w14:paraId="0906541D">
            <w:pPr>
              <w:pStyle w:val="42"/>
              <w:spacing w:before="0" w:beforeAutospacing="0" w:after="0" w:afterAutospacing="0" w:line="420" w:lineRule="atLeast"/>
              <w:jc w:val="center"/>
              <w:rPr>
                <w:rFonts w:hint="eastAsia"/>
                <w:sz w:val="21"/>
                <w:szCs w:val="21"/>
              </w:rPr>
            </w:pPr>
          </w:p>
        </w:tc>
        <w:tc>
          <w:tcPr>
            <w:tcW w:w="1701" w:type="dxa"/>
            <w:vAlign w:val="center"/>
          </w:tcPr>
          <w:p w14:paraId="52D59D46">
            <w:pPr>
              <w:pStyle w:val="42"/>
              <w:spacing w:before="0" w:beforeAutospacing="0" w:after="0" w:afterAutospacing="0" w:line="420" w:lineRule="atLeast"/>
              <w:jc w:val="center"/>
              <w:rPr>
                <w:rFonts w:hint="eastAsia"/>
                <w:sz w:val="21"/>
                <w:szCs w:val="21"/>
              </w:rPr>
            </w:pPr>
          </w:p>
        </w:tc>
        <w:tc>
          <w:tcPr>
            <w:tcW w:w="1366" w:type="dxa"/>
            <w:vAlign w:val="center"/>
          </w:tcPr>
          <w:p w14:paraId="67FF5DDE">
            <w:pPr>
              <w:pStyle w:val="42"/>
              <w:spacing w:before="0" w:beforeAutospacing="0" w:after="0" w:afterAutospacing="0" w:line="420" w:lineRule="atLeast"/>
              <w:jc w:val="center"/>
              <w:rPr>
                <w:rFonts w:hint="eastAsia"/>
                <w:sz w:val="21"/>
                <w:szCs w:val="21"/>
              </w:rPr>
            </w:pPr>
          </w:p>
        </w:tc>
        <w:tc>
          <w:tcPr>
            <w:tcW w:w="1392" w:type="dxa"/>
            <w:vAlign w:val="center"/>
          </w:tcPr>
          <w:p w14:paraId="4AC10CE0">
            <w:pPr>
              <w:pStyle w:val="42"/>
              <w:spacing w:before="0" w:beforeAutospacing="0" w:after="0" w:afterAutospacing="0" w:line="420" w:lineRule="atLeast"/>
              <w:jc w:val="center"/>
              <w:rPr>
                <w:rFonts w:hint="eastAsia"/>
                <w:sz w:val="21"/>
                <w:szCs w:val="21"/>
              </w:rPr>
            </w:pPr>
            <w:r>
              <w:rPr>
                <w:rFonts w:hint="eastAsia"/>
                <w:sz w:val="21"/>
                <w:szCs w:val="21"/>
              </w:rPr>
              <w:t>BMC</w:t>
            </w:r>
          </w:p>
        </w:tc>
        <w:tc>
          <w:tcPr>
            <w:tcW w:w="1390" w:type="dxa"/>
            <w:vAlign w:val="center"/>
          </w:tcPr>
          <w:p w14:paraId="6B17D78C">
            <w:pPr>
              <w:pStyle w:val="42"/>
              <w:spacing w:before="0" w:beforeAutospacing="0" w:after="0" w:afterAutospacing="0" w:line="420" w:lineRule="atLeast"/>
              <w:jc w:val="center"/>
              <w:rPr>
                <w:rFonts w:hint="eastAsia"/>
                <w:sz w:val="21"/>
                <w:szCs w:val="21"/>
              </w:rPr>
            </w:pPr>
          </w:p>
        </w:tc>
        <w:tc>
          <w:tcPr>
            <w:tcW w:w="1390" w:type="dxa"/>
            <w:vAlign w:val="center"/>
          </w:tcPr>
          <w:p w14:paraId="0CB4FE76">
            <w:pPr>
              <w:pStyle w:val="42"/>
              <w:spacing w:before="0" w:beforeAutospacing="0" w:after="0" w:afterAutospacing="0" w:line="420" w:lineRule="atLeast"/>
              <w:jc w:val="center"/>
              <w:rPr>
                <w:rFonts w:hint="eastAsia"/>
                <w:sz w:val="21"/>
                <w:szCs w:val="21"/>
              </w:rPr>
            </w:pPr>
          </w:p>
        </w:tc>
      </w:tr>
      <w:tr w14:paraId="4612C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Merge w:val="continue"/>
            <w:vAlign w:val="center"/>
          </w:tcPr>
          <w:p w14:paraId="169863E1">
            <w:pPr>
              <w:pStyle w:val="42"/>
              <w:spacing w:before="0" w:beforeAutospacing="0" w:after="0" w:afterAutospacing="0" w:line="420" w:lineRule="atLeast"/>
              <w:jc w:val="center"/>
              <w:rPr>
                <w:rFonts w:hint="eastAsia"/>
                <w:sz w:val="21"/>
                <w:szCs w:val="21"/>
              </w:rPr>
            </w:pPr>
          </w:p>
        </w:tc>
        <w:tc>
          <w:tcPr>
            <w:tcW w:w="1701" w:type="dxa"/>
            <w:vAlign w:val="center"/>
          </w:tcPr>
          <w:p w14:paraId="6F3C7A0A">
            <w:pPr>
              <w:pStyle w:val="42"/>
              <w:spacing w:before="0" w:beforeAutospacing="0" w:after="0" w:afterAutospacing="0" w:line="420" w:lineRule="atLeast"/>
              <w:jc w:val="center"/>
              <w:rPr>
                <w:rFonts w:hint="eastAsia"/>
                <w:sz w:val="21"/>
                <w:szCs w:val="21"/>
              </w:rPr>
            </w:pPr>
          </w:p>
        </w:tc>
        <w:tc>
          <w:tcPr>
            <w:tcW w:w="1366" w:type="dxa"/>
            <w:vAlign w:val="center"/>
          </w:tcPr>
          <w:p w14:paraId="7E22C086">
            <w:pPr>
              <w:pStyle w:val="42"/>
              <w:spacing w:before="0" w:beforeAutospacing="0" w:after="0" w:afterAutospacing="0" w:line="420" w:lineRule="atLeast"/>
              <w:jc w:val="center"/>
              <w:rPr>
                <w:rFonts w:hint="eastAsia"/>
                <w:sz w:val="21"/>
                <w:szCs w:val="21"/>
              </w:rPr>
            </w:pPr>
          </w:p>
        </w:tc>
        <w:tc>
          <w:tcPr>
            <w:tcW w:w="1392" w:type="dxa"/>
            <w:vAlign w:val="center"/>
          </w:tcPr>
          <w:p w14:paraId="1640CE4B">
            <w:pPr>
              <w:pStyle w:val="42"/>
              <w:spacing w:before="0" w:beforeAutospacing="0" w:after="0" w:afterAutospacing="0" w:line="420" w:lineRule="atLeast"/>
              <w:jc w:val="center"/>
              <w:rPr>
                <w:rFonts w:hint="eastAsia"/>
                <w:sz w:val="21"/>
                <w:szCs w:val="21"/>
              </w:rPr>
            </w:pPr>
            <w:r>
              <w:rPr>
                <w:rFonts w:hint="eastAsia"/>
                <w:sz w:val="21"/>
                <w:szCs w:val="21"/>
              </w:rPr>
              <w:t>网卡芯片</w:t>
            </w:r>
          </w:p>
        </w:tc>
        <w:tc>
          <w:tcPr>
            <w:tcW w:w="1390" w:type="dxa"/>
            <w:vAlign w:val="center"/>
          </w:tcPr>
          <w:p w14:paraId="4F36BF3A">
            <w:pPr>
              <w:pStyle w:val="42"/>
              <w:spacing w:before="0" w:beforeAutospacing="0" w:after="0" w:afterAutospacing="0" w:line="420" w:lineRule="atLeast"/>
              <w:jc w:val="center"/>
              <w:rPr>
                <w:rFonts w:hint="eastAsia"/>
                <w:sz w:val="21"/>
                <w:szCs w:val="21"/>
              </w:rPr>
            </w:pPr>
          </w:p>
        </w:tc>
        <w:tc>
          <w:tcPr>
            <w:tcW w:w="1390" w:type="dxa"/>
            <w:vAlign w:val="center"/>
          </w:tcPr>
          <w:p w14:paraId="025305D1">
            <w:pPr>
              <w:pStyle w:val="42"/>
              <w:spacing w:before="0" w:beforeAutospacing="0" w:after="0" w:afterAutospacing="0" w:line="420" w:lineRule="atLeast"/>
              <w:jc w:val="center"/>
              <w:rPr>
                <w:rFonts w:hint="eastAsia"/>
                <w:sz w:val="21"/>
                <w:szCs w:val="21"/>
              </w:rPr>
            </w:pPr>
          </w:p>
        </w:tc>
      </w:tr>
      <w:tr w14:paraId="7854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1058" w:type="dxa"/>
            <w:vMerge w:val="continue"/>
            <w:vAlign w:val="center"/>
          </w:tcPr>
          <w:p w14:paraId="5A2B50F0">
            <w:pPr>
              <w:pStyle w:val="42"/>
              <w:spacing w:before="0" w:beforeAutospacing="0" w:after="0" w:afterAutospacing="0" w:line="420" w:lineRule="atLeast"/>
              <w:jc w:val="center"/>
              <w:rPr>
                <w:rFonts w:hint="eastAsia"/>
                <w:sz w:val="21"/>
                <w:szCs w:val="21"/>
              </w:rPr>
            </w:pPr>
          </w:p>
        </w:tc>
        <w:tc>
          <w:tcPr>
            <w:tcW w:w="1701" w:type="dxa"/>
            <w:vAlign w:val="center"/>
          </w:tcPr>
          <w:p w14:paraId="4ACCF0D6">
            <w:pPr>
              <w:pStyle w:val="42"/>
              <w:spacing w:before="0" w:beforeAutospacing="0" w:after="0" w:afterAutospacing="0" w:line="420" w:lineRule="atLeast"/>
              <w:jc w:val="center"/>
              <w:rPr>
                <w:rFonts w:hint="eastAsia"/>
                <w:sz w:val="21"/>
                <w:szCs w:val="21"/>
              </w:rPr>
            </w:pPr>
          </w:p>
        </w:tc>
        <w:tc>
          <w:tcPr>
            <w:tcW w:w="1366" w:type="dxa"/>
            <w:vAlign w:val="center"/>
          </w:tcPr>
          <w:p w14:paraId="33401FEE">
            <w:pPr>
              <w:pStyle w:val="42"/>
              <w:spacing w:before="0" w:beforeAutospacing="0" w:after="0" w:afterAutospacing="0" w:line="420" w:lineRule="atLeast"/>
              <w:jc w:val="center"/>
              <w:rPr>
                <w:rFonts w:hint="eastAsia"/>
                <w:sz w:val="21"/>
                <w:szCs w:val="21"/>
              </w:rPr>
            </w:pPr>
          </w:p>
        </w:tc>
        <w:tc>
          <w:tcPr>
            <w:tcW w:w="1392" w:type="dxa"/>
            <w:vAlign w:val="center"/>
          </w:tcPr>
          <w:p w14:paraId="3E15AD4D">
            <w:pPr>
              <w:spacing w:before="0" w:after="0" w:line="420" w:lineRule="atLeast"/>
              <w:ind w:firstLine="0"/>
              <w:jc w:val="center"/>
              <w:rPr>
                <w:sz w:val="21"/>
                <w:szCs w:val="21"/>
              </w:rPr>
            </w:pPr>
            <w:r>
              <w:rPr>
                <w:rFonts w:hint="eastAsia"/>
                <w:sz w:val="21"/>
                <w:szCs w:val="21"/>
              </w:rPr>
              <w:t>电源模块控制芯片</w:t>
            </w:r>
          </w:p>
        </w:tc>
        <w:tc>
          <w:tcPr>
            <w:tcW w:w="1390" w:type="dxa"/>
            <w:vAlign w:val="center"/>
          </w:tcPr>
          <w:p w14:paraId="60A63385">
            <w:pPr>
              <w:pStyle w:val="42"/>
              <w:spacing w:before="0" w:beforeAutospacing="0" w:after="0" w:afterAutospacing="0" w:line="420" w:lineRule="atLeast"/>
              <w:jc w:val="center"/>
              <w:rPr>
                <w:rFonts w:hint="eastAsia"/>
                <w:sz w:val="21"/>
                <w:szCs w:val="21"/>
              </w:rPr>
            </w:pPr>
          </w:p>
        </w:tc>
        <w:tc>
          <w:tcPr>
            <w:tcW w:w="1390" w:type="dxa"/>
            <w:vAlign w:val="center"/>
          </w:tcPr>
          <w:p w14:paraId="63135945">
            <w:pPr>
              <w:pStyle w:val="42"/>
              <w:spacing w:before="0" w:beforeAutospacing="0" w:after="0" w:afterAutospacing="0" w:line="420" w:lineRule="atLeast"/>
              <w:jc w:val="center"/>
              <w:rPr>
                <w:rFonts w:hint="eastAsia"/>
                <w:sz w:val="21"/>
                <w:szCs w:val="21"/>
              </w:rPr>
            </w:pPr>
          </w:p>
        </w:tc>
      </w:tr>
      <w:tr w14:paraId="2C24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1058" w:type="dxa"/>
            <w:vMerge w:val="continue"/>
            <w:vAlign w:val="center"/>
          </w:tcPr>
          <w:p w14:paraId="5F681285">
            <w:pPr>
              <w:pStyle w:val="42"/>
              <w:spacing w:before="0" w:beforeAutospacing="0" w:after="0" w:afterAutospacing="0" w:line="420" w:lineRule="atLeast"/>
              <w:jc w:val="center"/>
              <w:rPr>
                <w:rFonts w:hint="eastAsia"/>
                <w:sz w:val="21"/>
                <w:szCs w:val="21"/>
              </w:rPr>
            </w:pPr>
          </w:p>
        </w:tc>
        <w:tc>
          <w:tcPr>
            <w:tcW w:w="1701" w:type="dxa"/>
            <w:vAlign w:val="center"/>
          </w:tcPr>
          <w:p w14:paraId="369B52C1">
            <w:pPr>
              <w:pStyle w:val="42"/>
              <w:spacing w:before="0" w:beforeAutospacing="0" w:after="0" w:afterAutospacing="0" w:line="420" w:lineRule="atLeast"/>
              <w:jc w:val="center"/>
              <w:rPr>
                <w:rFonts w:hint="eastAsia"/>
                <w:sz w:val="21"/>
                <w:szCs w:val="21"/>
              </w:rPr>
            </w:pPr>
          </w:p>
        </w:tc>
        <w:tc>
          <w:tcPr>
            <w:tcW w:w="1366" w:type="dxa"/>
            <w:vAlign w:val="center"/>
          </w:tcPr>
          <w:p w14:paraId="7FC2992A">
            <w:pPr>
              <w:pStyle w:val="42"/>
              <w:spacing w:before="0" w:beforeAutospacing="0" w:after="0" w:afterAutospacing="0" w:line="420" w:lineRule="atLeast"/>
              <w:jc w:val="center"/>
              <w:rPr>
                <w:rFonts w:hint="eastAsia"/>
                <w:sz w:val="21"/>
                <w:szCs w:val="21"/>
              </w:rPr>
            </w:pPr>
          </w:p>
        </w:tc>
        <w:tc>
          <w:tcPr>
            <w:tcW w:w="1392" w:type="dxa"/>
            <w:vAlign w:val="center"/>
          </w:tcPr>
          <w:p w14:paraId="677AE567">
            <w:pPr>
              <w:spacing w:before="0" w:after="0" w:line="420" w:lineRule="atLeast"/>
              <w:ind w:firstLine="0"/>
              <w:jc w:val="center"/>
              <w:rPr>
                <w:sz w:val="21"/>
                <w:szCs w:val="21"/>
              </w:rPr>
            </w:pPr>
            <w:r>
              <w:rPr>
                <w:sz w:val="21"/>
                <w:szCs w:val="21"/>
              </w:rPr>
              <w:t>R</w:t>
            </w:r>
            <w:r>
              <w:rPr>
                <w:rFonts w:hint="eastAsia"/>
                <w:sz w:val="21"/>
                <w:szCs w:val="21"/>
              </w:rPr>
              <w:t>aid卡</w:t>
            </w:r>
          </w:p>
        </w:tc>
        <w:tc>
          <w:tcPr>
            <w:tcW w:w="1390" w:type="dxa"/>
            <w:vAlign w:val="center"/>
          </w:tcPr>
          <w:p w14:paraId="70BF9813">
            <w:pPr>
              <w:pStyle w:val="42"/>
              <w:spacing w:before="0" w:beforeAutospacing="0" w:after="0" w:afterAutospacing="0" w:line="420" w:lineRule="atLeast"/>
              <w:jc w:val="center"/>
              <w:rPr>
                <w:rFonts w:hint="eastAsia"/>
                <w:sz w:val="21"/>
                <w:szCs w:val="21"/>
              </w:rPr>
            </w:pPr>
          </w:p>
        </w:tc>
        <w:tc>
          <w:tcPr>
            <w:tcW w:w="1390" w:type="dxa"/>
            <w:vAlign w:val="center"/>
          </w:tcPr>
          <w:p w14:paraId="013A142E">
            <w:pPr>
              <w:pStyle w:val="42"/>
              <w:spacing w:before="0" w:beforeAutospacing="0" w:after="0" w:afterAutospacing="0" w:line="420" w:lineRule="atLeast"/>
              <w:jc w:val="center"/>
              <w:rPr>
                <w:rFonts w:hint="eastAsia"/>
                <w:sz w:val="21"/>
                <w:szCs w:val="21"/>
              </w:rPr>
            </w:pPr>
          </w:p>
        </w:tc>
      </w:tr>
    </w:tbl>
    <w:p w14:paraId="1E268CF2">
      <w:pPr>
        <w:pStyle w:val="42"/>
        <w:spacing w:before="900" w:beforeAutospacing="0" w:after="0" w:afterAutospacing="0" w:line="420" w:lineRule="atLeast"/>
        <w:jc w:val="both"/>
        <w:rPr>
          <w:rFonts w:hint="eastAsia"/>
          <w:sz w:val="28"/>
          <w:szCs w:val="28"/>
        </w:rPr>
      </w:pPr>
    </w:p>
    <w:p w14:paraId="47F9DD05">
      <w:pPr>
        <w:pStyle w:val="42"/>
        <w:spacing w:before="900" w:beforeAutospacing="0" w:after="0" w:afterAutospacing="0" w:line="420" w:lineRule="atLeast"/>
        <w:jc w:val="both"/>
        <w:rPr>
          <w:rFonts w:hint="eastAsia"/>
          <w:sz w:val="28"/>
          <w:szCs w:val="28"/>
        </w:rPr>
      </w:pPr>
    </w:p>
    <w:p w14:paraId="57A0D461">
      <w:pPr>
        <w:pStyle w:val="42"/>
        <w:spacing w:before="900" w:beforeAutospacing="0" w:after="0" w:afterAutospacing="0" w:line="420" w:lineRule="atLeast"/>
        <w:jc w:val="both"/>
        <w:rPr>
          <w:rFonts w:hint="eastAsia"/>
          <w:sz w:val="28"/>
          <w:szCs w:val="28"/>
        </w:rPr>
      </w:pPr>
    </w:p>
    <w:p w14:paraId="50008160">
      <w:pPr>
        <w:pStyle w:val="42"/>
        <w:spacing w:before="900" w:beforeAutospacing="0" w:after="0" w:afterAutospacing="0" w:line="420" w:lineRule="atLeast"/>
        <w:jc w:val="both"/>
        <w:rPr>
          <w:rFonts w:hint="eastAsia"/>
          <w:sz w:val="28"/>
          <w:szCs w:val="28"/>
        </w:rPr>
      </w:pPr>
    </w:p>
    <w:p w14:paraId="3E702E8B">
      <w:pPr>
        <w:pStyle w:val="42"/>
        <w:spacing w:before="900" w:beforeAutospacing="0" w:after="0" w:afterAutospacing="0" w:line="420" w:lineRule="atLeast"/>
        <w:jc w:val="both"/>
        <w:rPr>
          <w:rFonts w:hint="eastAsia"/>
          <w:sz w:val="28"/>
          <w:szCs w:val="28"/>
        </w:rPr>
      </w:pPr>
    </w:p>
    <w:p w14:paraId="5C4E2FFC">
      <w:pPr>
        <w:pStyle w:val="42"/>
        <w:spacing w:before="900" w:beforeAutospacing="0" w:after="0" w:afterAutospacing="0" w:line="420" w:lineRule="atLeast"/>
        <w:jc w:val="both"/>
        <w:rPr>
          <w:rFonts w:hint="eastAsia"/>
          <w:sz w:val="28"/>
          <w:szCs w:val="28"/>
        </w:rPr>
      </w:pPr>
    </w:p>
    <w:p w14:paraId="70B66F32">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7D28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22"/>
            <w:vAlign w:val="center"/>
          </w:tcPr>
          <w:p w14:paraId="21D4D62A">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0844B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213EAE8E">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7CBB3973">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3597F600">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21C53658">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25C2875E">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32CFD9DF">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6AE606BE">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159D92D9">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591750FE">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6E8B0905">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66E60278">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20F9A6F6">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2486FE64">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69D9FFB1">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6B33206F">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23703B30">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239B5377">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18DDCA75">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0FACB642">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6FD8CDF4">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6B61EA85">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266EEB47">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4B3EE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4F7E81D3">
            <w:pPr>
              <w:pStyle w:val="42"/>
              <w:spacing w:before="0" w:beforeAutospacing="0" w:after="0" w:afterAutospacing="0" w:line="420" w:lineRule="atLeast"/>
              <w:jc w:val="center"/>
              <w:rPr>
                <w:rFonts w:hint="eastAsia"/>
                <w:sz w:val="21"/>
                <w:szCs w:val="21"/>
              </w:rPr>
            </w:pPr>
          </w:p>
        </w:tc>
        <w:tc>
          <w:tcPr>
            <w:tcW w:w="335" w:type="dxa"/>
            <w:vAlign w:val="center"/>
          </w:tcPr>
          <w:p w14:paraId="434751E5">
            <w:pPr>
              <w:pStyle w:val="42"/>
              <w:spacing w:before="0" w:beforeAutospacing="0" w:after="0" w:afterAutospacing="0" w:line="420" w:lineRule="atLeast"/>
              <w:jc w:val="center"/>
              <w:rPr>
                <w:rFonts w:hint="eastAsia"/>
                <w:sz w:val="21"/>
                <w:szCs w:val="21"/>
              </w:rPr>
            </w:pPr>
          </w:p>
        </w:tc>
        <w:tc>
          <w:tcPr>
            <w:tcW w:w="335" w:type="dxa"/>
            <w:vAlign w:val="center"/>
          </w:tcPr>
          <w:p w14:paraId="221D9AA8">
            <w:pPr>
              <w:pStyle w:val="42"/>
              <w:spacing w:before="0" w:beforeAutospacing="0" w:after="0" w:afterAutospacing="0" w:line="420" w:lineRule="atLeast"/>
              <w:jc w:val="center"/>
              <w:rPr>
                <w:rFonts w:hint="eastAsia"/>
                <w:sz w:val="21"/>
                <w:szCs w:val="21"/>
              </w:rPr>
            </w:pPr>
          </w:p>
        </w:tc>
        <w:tc>
          <w:tcPr>
            <w:tcW w:w="335" w:type="dxa"/>
            <w:vAlign w:val="center"/>
          </w:tcPr>
          <w:p w14:paraId="64C2D80D">
            <w:pPr>
              <w:pStyle w:val="42"/>
              <w:spacing w:before="0" w:beforeAutospacing="0" w:after="0" w:afterAutospacing="0" w:line="420" w:lineRule="atLeast"/>
              <w:jc w:val="center"/>
              <w:rPr>
                <w:rFonts w:hint="eastAsia"/>
                <w:sz w:val="21"/>
                <w:szCs w:val="21"/>
              </w:rPr>
            </w:pPr>
          </w:p>
        </w:tc>
        <w:tc>
          <w:tcPr>
            <w:tcW w:w="334" w:type="dxa"/>
            <w:vAlign w:val="center"/>
          </w:tcPr>
          <w:p w14:paraId="21E74D55">
            <w:pPr>
              <w:pStyle w:val="42"/>
              <w:spacing w:before="0" w:beforeAutospacing="0" w:after="0" w:afterAutospacing="0" w:line="420" w:lineRule="atLeast"/>
              <w:jc w:val="center"/>
              <w:rPr>
                <w:rFonts w:hint="eastAsia"/>
                <w:sz w:val="21"/>
                <w:szCs w:val="21"/>
              </w:rPr>
            </w:pPr>
          </w:p>
        </w:tc>
        <w:tc>
          <w:tcPr>
            <w:tcW w:w="452" w:type="dxa"/>
            <w:vAlign w:val="center"/>
          </w:tcPr>
          <w:p w14:paraId="418E6ADA">
            <w:pPr>
              <w:pStyle w:val="42"/>
              <w:spacing w:before="0" w:beforeAutospacing="0" w:after="0" w:afterAutospacing="0" w:line="420" w:lineRule="atLeast"/>
              <w:jc w:val="center"/>
              <w:rPr>
                <w:rFonts w:hint="eastAsia"/>
                <w:sz w:val="21"/>
                <w:szCs w:val="21"/>
              </w:rPr>
            </w:pPr>
          </w:p>
        </w:tc>
        <w:tc>
          <w:tcPr>
            <w:tcW w:w="334" w:type="dxa"/>
            <w:vAlign w:val="center"/>
          </w:tcPr>
          <w:p w14:paraId="0FA61726">
            <w:pPr>
              <w:pStyle w:val="42"/>
              <w:spacing w:before="0" w:beforeAutospacing="0" w:after="0" w:afterAutospacing="0" w:line="420" w:lineRule="atLeast"/>
              <w:jc w:val="center"/>
              <w:rPr>
                <w:rFonts w:hint="eastAsia"/>
                <w:sz w:val="21"/>
                <w:szCs w:val="21"/>
              </w:rPr>
            </w:pPr>
          </w:p>
        </w:tc>
        <w:tc>
          <w:tcPr>
            <w:tcW w:w="334" w:type="dxa"/>
            <w:vAlign w:val="center"/>
          </w:tcPr>
          <w:p w14:paraId="71D2BA22">
            <w:pPr>
              <w:pStyle w:val="42"/>
              <w:spacing w:before="0" w:beforeAutospacing="0" w:after="0" w:afterAutospacing="0" w:line="420" w:lineRule="atLeast"/>
              <w:jc w:val="center"/>
              <w:rPr>
                <w:rFonts w:hint="eastAsia"/>
                <w:sz w:val="21"/>
                <w:szCs w:val="21"/>
              </w:rPr>
            </w:pPr>
          </w:p>
        </w:tc>
        <w:tc>
          <w:tcPr>
            <w:tcW w:w="452" w:type="dxa"/>
            <w:vAlign w:val="center"/>
          </w:tcPr>
          <w:p w14:paraId="3C3BA66F">
            <w:pPr>
              <w:pStyle w:val="42"/>
              <w:spacing w:before="0" w:beforeAutospacing="0" w:after="0" w:afterAutospacing="0" w:line="420" w:lineRule="atLeast"/>
              <w:jc w:val="center"/>
              <w:rPr>
                <w:rFonts w:hint="eastAsia"/>
                <w:sz w:val="21"/>
                <w:szCs w:val="21"/>
              </w:rPr>
            </w:pPr>
          </w:p>
        </w:tc>
        <w:tc>
          <w:tcPr>
            <w:tcW w:w="334" w:type="dxa"/>
            <w:vAlign w:val="center"/>
          </w:tcPr>
          <w:p w14:paraId="576CC25F">
            <w:pPr>
              <w:pStyle w:val="42"/>
              <w:spacing w:before="0" w:beforeAutospacing="0" w:after="0" w:afterAutospacing="0" w:line="420" w:lineRule="atLeast"/>
              <w:jc w:val="center"/>
              <w:rPr>
                <w:rFonts w:hint="eastAsia"/>
                <w:sz w:val="21"/>
                <w:szCs w:val="21"/>
              </w:rPr>
            </w:pPr>
          </w:p>
        </w:tc>
        <w:tc>
          <w:tcPr>
            <w:tcW w:w="452" w:type="dxa"/>
            <w:vAlign w:val="center"/>
          </w:tcPr>
          <w:p w14:paraId="02698C62">
            <w:pPr>
              <w:pStyle w:val="42"/>
              <w:spacing w:before="0" w:beforeAutospacing="0" w:after="0" w:afterAutospacing="0" w:line="420" w:lineRule="atLeast"/>
              <w:jc w:val="center"/>
              <w:rPr>
                <w:rFonts w:hint="eastAsia"/>
                <w:sz w:val="21"/>
                <w:szCs w:val="21"/>
              </w:rPr>
            </w:pPr>
          </w:p>
        </w:tc>
        <w:tc>
          <w:tcPr>
            <w:tcW w:w="334" w:type="dxa"/>
            <w:vAlign w:val="center"/>
          </w:tcPr>
          <w:p w14:paraId="263B4539">
            <w:pPr>
              <w:pStyle w:val="42"/>
              <w:spacing w:before="0" w:beforeAutospacing="0" w:after="0" w:afterAutospacing="0" w:line="420" w:lineRule="atLeast"/>
              <w:jc w:val="center"/>
              <w:rPr>
                <w:rFonts w:hint="eastAsia"/>
                <w:sz w:val="21"/>
                <w:szCs w:val="21"/>
              </w:rPr>
            </w:pPr>
          </w:p>
        </w:tc>
        <w:tc>
          <w:tcPr>
            <w:tcW w:w="571" w:type="dxa"/>
            <w:vAlign w:val="center"/>
          </w:tcPr>
          <w:p w14:paraId="4ADB6956">
            <w:pPr>
              <w:pStyle w:val="42"/>
              <w:spacing w:before="0" w:beforeAutospacing="0" w:after="0" w:afterAutospacing="0" w:line="420" w:lineRule="atLeast"/>
              <w:jc w:val="center"/>
              <w:rPr>
                <w:rFonts w:hint="eastAsia"/>
                <w:sz w:val="21"/>
                <w:szCs w:val="21"/>
              </w:rPr>
            </w:pPr>
          </w:p>
        </w:tc>
        <w:tc>
          <w:tcPr>
            <w:tcW w:w="452" w:type="dxa"/>
            <w:vAlign w:val="center"/>
          </w:tcPr>
          <w:p w14:paraId="5E64D99D">
            <w:pPr>
              <w:pStyle w:val="42"/>
              <w:spacing w:before="0" w:beforeAutospacing="0" w:after="0" w:afterAutospacing="0" w:line="420" w:lineRule="atLeast"/>
              <w:jc w:val="center"/>
              <w:rPr>
                <w:rFonts w:hint="eastAsia"/>
                <w:sz w:val="21"/>
                <w:szCs w:val="21"/>
              </w:rPr>
            </w:pPr>
          </w:p>
        </w:tc>
        <w:tc>
          <w:tcPr>
            <w:tcW w:w="334" w:type="dxa"/>
            <w:vAlign w:val="center"/>
          </w:tcPr>
          <w:p w14:paraId="5DFD3FEA">
            <w:pPr>
              <w:pStyle w:val="42"/>
              <w:spacing w:before="0" w:beforeAutospacing="0" w:after="0" w:afterAutospacing="0" w:line="420" w:lineRule="atLeast"/>
              <w:jc w:val="center"/>
              <w:rPr>
                <w:rFonts w:hint="eastAsia"/>
                <w:sz w:val="21"/>
                <w:szCs w:val="21"/>
              </w:rPr>
            </w:pPr>
          </w:p>
        </w:tc>
        <w:tc>
          <w:tcPr>
            <w:tcW w:w="334" w:type="dxa"/>
            <w:vAlign w:val="center"/>
          </w:tcPr>
          <w:p w14:paraId="5789D2B7">
            <w:pPr>
              <w:pStyle w:val="42"/>
              <w:spacing w:before="0" w:beforeAutospacing="0" w:after="0" w:afterAutospacing="0" w:line="420" w:lineRule="atLeast"/>
              <w:jc w:val="center"/>
              <w:rPr>
                <w:rFonts w:hint="eastAsia"/>
                <w:sz w:val="21"/>
                <w:szCs w:val="21"/>
              </w:rPr>
            </w:pPr>
          </w:p>
        </w:tc>
        <w:tc>
          <w:tcPr>
            <w:tcW w:w="452" w:type="dxa"/>
            <w:vAlign w:val="center"/>
          </w:tcPr>
          <w:p w14:paraId="5D65A719">
            <w:pPr>
              <w:pStyle w:val="42"/>
              <w:spacing w:before="0" w:beforeAutospacing="0" w:after="0" w:afterAutospacing="0" w:line="420" w:lineRule="atLeast"/>
              <w:jc w:val="center"/>
              <w:rPr>
                <w:rFonts w:hint="eastAsia"/>
                <w:sz w:val="21"/>
                <w:szCs w:val="21"/>
              </w:rPr>
            </w:pPr>
          </w:p>
        </w:tc>
        <w:tc>
          <w:tcPr>
            <w:tcW w:w="334" w:type="dxa"/>
            <w:vAlign w:val="center"/>
          </w:tcPr>
          <w:p w14:paraId="1FC84426">
            <w:pPr>
              <w:pStyle w:val="42"/>
              <w:spacing w:before="0" w:beforeAutospacing="0" w:after="0" w:afterAutospacing="0" w:line="420" w:lineRule="atLeast"/>
              <w:jc w:val="center"/>
              <w:rPr>
                <w:rFonts w:hint="eastAsia"/>
                <w:sz w:val="21"/>
                <w:szCs w:val="21"/>
              </w:rPr>
            </w:pPr>
          </w:p>
        </w:tc>
        <w:tc>
          <w:tcPr>
            <w:tcW w:w="334" w:type="dxa"/>
            <w:vAlign w:val="center"/>
          </w:tcPr>
          <w:p w14:paraId="60EB2604">
            <w:pPr>
              <w:pStyle w:val="42"/>
              <w:spacing w:before="0" w:beforeAutospacing="0" w:after="0" w:afterAutospacing="0" w:line="420" w:lineRule="atLeast"/>
              <w:jc w:val="center"/>
              <w:rPr>
                <w:rFonts w:hint="eastAsia"/>
                <w:sz w:val="21"/>
                <w:szCs w:val="21"/>
              </w:rPr>
            </w:pPr>
          </w:p>
        </w:tc>
        <w:tc>
          <w:tcPr>
            <w:tcW w:w="452" w:type="dxa"/>
            <w:vAlign w:val="center"/>
          </w:tcPr>
          <w:p w14:paraId="381E5AD8">
            <w:pPr>
              <w:pStyle w:val="42"/>
              <w:spacing w:before="0" w:beforeAutospacing="0" w:after="0" w:afterAutospacing="0" w:line="420" w:lineRule="atLeast"/>
              <w:jc w:val="center"/>
              <w:rPr>
                <w:rFonts w:hint="eastAsia"/>
                <w:sz w:val="21"/>
                <w:szCs w:val="21"/>
              </w:rPr>
            </w:pPr>
          </w:p>
        </w:tc>
        <w:tc>
          <w:tcPr>
            <w:tcW w:w="334" w:type="dxa"/>
            <w:vAlign w:val="center"/>
          </w:tcPr>
          <w:p w14:paraId="7F8FDFD0">
            <w:pPr>
              <w:pStyle w:val="42"/>
              <w:spacing w:before="0" w:beforeAutospacing="0" w:after="0" w:afterAutospacing="0" w:line="420" w:lineRule="atLeast"/>
              <w:jc w:val="center"/>
              <w:rPr>
                <w:rFonts w:hint="eastAsia"/>
                <w:sz w:val="21"/>
                <w:szCs w:val="21"/>
              </w:rPr>
            </w:pPr>
          </w:p>
        </w:tc>
        <w:tc>
          <w:tcPr>
            <w:tcW w:w="334" w:type="dxa"/>
            <w:vAlign w:val="center"/>
          </w:tcPr>
          <w:p w14:paraId="4D8A3C7A">
            <w:pPr>
              <w:pStyle w:val="42"/>
              <w:spacing w:before="0" w:beforeAutospacing="0" w:after="0" w:afterAutospacing="0" w:line="420" w:lineRule="atLeast"/>
              <w:jc w:val="center"/>
              <w:rPr>
                <w:rFonts w:hint="eastAsia"/>
                <w:sz w:val="21"/>
                <w:szCs w:val="21"/>
              </w:rPr>
            </w:pPr>
          </w:p>
        </w:tc>
      </w:tr>
    </w:tbl>
    <w:p w14:paraId="48716A7F">
      <w:pPr>
        <w:pStyle w:val="42"/>
        <w:spacing w:before="0" w:beforeAutospacing="0" w:after="0" w:afterAutospacing="0" w:line="420" w:lineRule="atLeast"/>
        <w:jc w:val="both"/>
        <w:rPr>
          <w:rFonts w:hint="eastAsia"/>
          <w:sz w:val="21"/>
          <w:szCs w:val="21"/>
        </w:rPr>
      </w:pPr>
    </w:p>
    <w:p w14:paraId="420F6E51">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6507EDA5">
      <w:pPr>
        <w:spacing w:before="0" w:after="0" w:line="420" w:lineRule="atLeast"/>
        <w:rPr>
          <w:sz w:val="21"/>
          <w:szCs w:val="21"/>
        </w:rPr>
      </w:pPr>
      <w:r>
        <w:rPr>
          <w:rFonts w:hint="eastAsia"/>
          <w:sz w:val="21"/>
          <w:szCs w:val="21"/>
        </w:rPr>
        <w:br w:type="page"/>
      </w:r>
    </w:p>
    <w:p w14:paraId="7C34B312">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5"/>
        <w:gridCol w:w="1713"/>
        <w:gridCol w:w="1375"/>
        <w:gridCol w:w="1384"/>
        <w:gridCol w:w="1395"/>
        <w:gridCol w:w="1395"/>
      </w:tblGrid>
      <w:tr w14:paraId="3F12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6"/>
            <w:vAlign w:val="center"/>
          </w:tcPr>
          <w:p w14:paraId="0CC6BB78">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7F43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Align w:val="center"/>
          </w:tcPr>
          <w:p w14:paraId="4818EC48">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13" w:type="dxa"/>
            <w:vAlign w:val="center"/>
          </w:tcPr>
          <w:p w14:paraId="7F2D54C1">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375" w:type="dxa"/>
            <w:vAlign w:val="center"/>
          </w:tcPr>
          <w:p w14:paraId="09195EB6">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384" w:type="dxa"/>
            <w:vAlign w:val="center"/>
          </w:tcPr>
          <w:p w14:paraId="2D53237E">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395" w:type="dxa"/>
            <w:vAlign w:val="center"/>
          </w:tcPr>
          <w:p w14:paraId="6985552A">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395" w:type="dxa"/>
            <w:vAlign w:val="center"/>
          </w:tcPr>
          <w:p w14:paraId="3B211588">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03CC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restart"/>
            <w:vAlign w:val="center"/>
          </w:tcPr>
          <w:p w14:paraId="6A9300FA">
            <w:pPr>
              <w:pStyle w:val="42"/>
              <w:spacing w:before="0" w:beforeAutospacing="0" w:after="0" w:afterAutospacing="0" w:line="420" w:lineRule="atLeast"/>
              <w:jc w:val="center"/>
              <w:rPr>
                <w:rFonts w:hint="eastAsia"/>
                <w:sz w:val="21"/>
                <w:szCs w:val="21"/>
              </w:rPr>
            </w:pPr>
            <w:r>
              <w:rPr>
                <w:rFonts w:hint="eastAsia"/>
                <w:sz w:val="21"/>
                <w:szCs w:val="21"/>
              </w:rPr>
              <w:t>分布式存储服务器</w:t>
            </w:r>
          </w:p>
        </w:tc>
        <w:tc>
          <w:tcPr>
            <w:tcW w:w="1713" w:type="dxa"/>
            <w:vAlign w:val="center"/>
          </w:tcPr>
          <w:p w14:paraId="24996BEF">
            <w:pPr>
              <w:pStyle w:val="42"/>
              <w:spacing w:before="0" w:beforeAutospacing="0" w:after="0" w:afterAutospacing="0" w:line="420" w:lineRule="atLeast"/>
              <w:jc w:val="center"/>
              <w:rPr>
                <w:rFonts w:hint="eastAsia"/>
                <w:sz w:val="21"/>
                <w:szCs w:val="21"/>
              </w:rPr>
            </w:pPr>
          </w:p>
        </w:tc>
        <w:tc>
          <w:tcPr>
            <w:tcW w:w="1375" w:type="dxa"/>
            <w:vAlign w:val="center"/>
          </w:tcPr>
          <w:p w14:paraId="2CCE85FE">
            <w:pPr>
              <w:pStyle w:val="42"/>
              <w:spacing w:before="0" w:beforeAutospacing="0" w:after="0" w:afterAutospacing="0" w:line="420" w:lineRule="atLeast"/>
              <w:jc w:val="center"/>
              <w:rPr>
                <w:rFonts w:hint="eastAsia"/>
                <w:sz w:val="21"/>
                <w:szCs w:val="21"/>
              </w:rPr>
            </w:pPr>
          </w:p>
        </w:tc>
        <w:tc>
          <w:tcPr>
            <w:tcW w:w="1384" w:type="dxa"/>
            <w:vAlign w:val="center"/>
          </w:tcPr>
          <w:p w14:paraId="09F736C5">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395" w:type="dxa"/>
            <w:vAlign w:val="center"/>
          </w:tcPr>
          <w:p w14:paraId="6BFCE0B5">
            <w:pPr>
              <w:pStyle w:val="42"/>
              <w:spacing w:before="0" w:beforeAutospacing="0" w:after="0" w:afterAutospacing="0" w:line="420" w:lineRule="atLeast"/>
              <w:jc w:val="center"/>
              <w:rPr>
                <w:rFonts w:hint="eastAsia"/>
                <w:sz w:val="21"/>
                <w:szCs w:val="21"/>
              </w:rPr>
            </w:pPr>
          </w:p>
        </w:tc>
        <w:tc>
          <w:tcPr>
            <w:tcW w:w="1395" w:type="dxa"/>
            <w:vAlign w:val="center"/>
          </w:tcPr>
          <w:p w14:paraId="5F4561FC">
            <w:pPr>
              <w:pStyle w:val="42"/>
              <w:spacing w:before="0" w:beforeAutospacing="0" w:after="0" w:afterAutospacing="0" w:line="420" w:lineRule="atLeast"/>
              <w:jc w:val="center"/>
              <w:rPr>
                <w:rFonts w:hint="eastAsia"/>
                <w:sz w:val="21"/>
                <w:szCs w:val="21"/>
              </w:rPr>
            </w:pPr>
          </w:p>
        </w:tc>
      </w:tr>
      <w:tr w14:paraId="4C12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continue"/>
            <w:vAlign w:val="center"/>
          </w:tcPr>
          <w:p w14:paraId="65A650D7">
            <w:pPr>
              <w:pStyle w:val="42"/>
              <w:spacing w:before="0" w:beforeAutospacing="0" w:after="0" w:afterAutospacing="0" w:line="420" w:lineRule="atLeast"/>
              <w:jc w:val="center"/>
              <w:rPr>
                <w:rFonts w:hint="eastAsia"/>
                <w:sz w:val="21"/>
                <w:szCs w:val="21"/>
              </w:rPr>
            </w:pPr>
          </w:p>
        </w:tc>
        <w:tc>
          <w:tcPr>
            <w:tcW w:w="1713" w:type="dxa"/>
            <w:vAlign w:val="center"/>
          </w:tcPr>
          <w:p w14:paraId="38783C2C">
            <w:pPr>
              <w:pStyle w:val="42"/>
              <w:spacing w:before="0" w:beforeAutospacing="0" w:after="0" w:afterAutospacing="0" w:line="420" w:lineRule="atLeast"/>
              <w:jc w:val="center"/>
              <w:rPr>
                <w:rFonts w:hint="eastAsia"/>
                <w:sz w:val="21"/>
                <w:szCs w:val="21"/>
              </w:rPr>
            </w:pPr>
          </w:p>
        </w:tc>
        <w:tc>
          <w:tcPr>
            <w:tcW w:w="1375" w:type="dxa"/>
            <w:vAlign w:val="center"/>
          </w:tcPr>
          <w:p w14:paraId="77A92552">
            <w:pPr>
              <w:pStyle w:val="42"/>
              <w:spacing w:before="0" w:beforeAutospacing="0" w:after="0" w:afterAutospacing="0" w:line="420" w:lineRule="atLeast"/>
              <w:jc w:val="center"/>
              <w:rPr>
                <w:rFonts w:hint="eastAsia"/>
                <w:sz w:val="21"/>
                <w:szCs w:val="21"/>
              </w:rPr>
            </w:pPr>
          </w:p>
        </w:tc>
        <w:tc>
          <w:tcPr>
            <w:tcW w:w="1384" w:type="dxa"/>
            <w:vAlign w:val="center"/>
          </w:tcPr>
          <w:p w14:paraId="2F09A39D">
            <w:pPr>
              <w:pStyle w:val="42"/>
              <w:spacing w:before="0" w:beforeAutospacing="0" w:after="0" w:afterAutospacing="0" w:line="420" w:lineRule="atLeast"/>
              <w:jc w:val="center"/>
              <w:rPr>
                <w:rFonts w:hint="eastAsia"/>
                <w:sz w:val="21"/>
                <w:szCs w:val="21"/>
              </w:rPr>
            </w:pPr>
            <w:r>
              <w:rPr>
                <w:rFonts w:hint="eastAsia" w:ascii="宋体" w:hAnsi="宋体" w:cs="宋体"/>
                <w:sz w:val="18"/>
                <w:szCs w:val="18"/>
                <w:lang w:bidi="ar"/>
              </w:rPr>
              <w:t>硬盘颗粒</w:t>
            </w:r>
          </w:p>
        </w:tc>
        <w:tc>
          <w:tcPr>
            <w:tcW w:w="1395" w:type="dxa"/>
            <w:vAlign w:val="center"/>
          </w:tcPr>
          <w:p w14:paraId="1FD69C5F">
            <w:pPr>
              <w:pStyle w:val="42"/>
              <w:spacing w:before="0" w:beforeAutospacing="0" w:after="0" w:afterAutospacing="0" w:line="420" w:lineRule="atLeast"/>
              <w:jc w:val="center"/>
              <w:rPr>
                <w:rFonts w:hint="eastAsia"/>
                <w:sz w:val="21"/>
                <w:szCs w:val="21"/>
              </w:rPr>
            </w:pPr>
          </w:p>
        </w:tc>
        <w:tc>
          <w:tcPr>
            <w:tcW w:w="1395" w:type="dxa"/>
            <w:vAlign w:val="center"/>
          </w:tcPr>
          <w:p w14:paraId="0739B64B">
            <w:pPr>
              <w:pStyle w:val="42"/>
              <w:spacing w:before="0" w:beforeAutospacing="0" w:after="0" w:afterAutospacing="0" w:line="420" w:lineRule="atLeast"/>
              <w:jc w:val="center"/>
              <w:rPr>
                <w:rFonts w:hint="eastAsia"/>
                <w:sz w:val="21"/>
                <w:szCs w:val="21"/>
              </w:rPr>
            </w:pPr>
          </w:p>
        </w:tc>
      </w:tr>
      <w:tr w14:paraId="6287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continue"/>
            <w:vAlign w:val="center"/>
          </w:tcPr>
          <w:p w14:paraId="0F87FF25">
            <w:pPr>
              <w:pStyle w:val="42"/>
              <w:spacing w:before="0" w:beforeAutospacing="0" w:after="0" w:afterAutospacing="0" w:line="420" w:lineRule="atLeast"/>
              <w:jc w:val="center"/>
              <w:rPr>
                <w:rFonts w:hint="eastAsia"/>
                <w:sz w:val="21"/>
                <w:szCs w:val="21"/>
              </w:rPr>
            </w:pPr>
          </w:p>
        </w:tc>
        <w:tc>
          <w:tcPr>
            <w:tcW w:w="1713" w:type="dxa"/>
            <w:vAlign w:val="center"/>
          </w:tcPr>
          <w:p w14:paraId="6F53E6B6">
            <w:pPr>
              <w:pStyle w:val="42"/>
              <w:spacing w:before="0" w:beforeAutospacing="0" w:after="0" w:afterAutospacing="0" w:line="420" w:lineRule="atLeast"/>
              <w:jc w:val="center"/>
              <w:rPr>
                <w:rFonts w:hint="eastAsia"/>
                <w:sz w:val="21"/>
                <w:szCs w:val="21"/>
              </w:rPr>
            </w:pPr>
          </w:p>
        </w:tc>
        <w:tc>
          <w:tcPr>
            <w:tcW w:w="1375" w:type="dxa"/>
            <w:vAlign w:val="center"/>
          </w:tcPr>
          <w:p w14:paraId="00C6BDC5">
            <w:pPr>
              <w:pStyle w:val="42"/>
              <w:spacing w:before="0" w:beforeAutospacing="0" w:after="0" w:afterAutospacing="0" w:line="420" w:lineRule="atLeast"/>
              <w:jc w:val="center"/>
              <w:rPr>
                <w:rFonts w:hint="eastAsia"/>
                <w:sz w:val="21"/>
                <w:szCs w:val="21"/>
              </w:rPr>
            </w:pPr>
          </w:p>
        </w:tc>
        <w:tc>
          <w:tcPr>
            <w:tcW w:w="1384" w:type="dxa"/>
            <w:vAlign w:val="center"/>
          </w:tcPr>
          <w:p w14:paraId="636AE689">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395" w:type="dxa"/>
            <w:vAlign w:val="center"/>
          </w:tcPr>
          <w:p w14:paraId="171B09EA">
            <w:pPr>
              <w:pStyle w:val="42"/>
              <w:spacing w:before="0" w:beforeAutospacing="0" w:after="0" w:afterAutospacing="0" w:line="420" w:lineRule="atLeast"/>
              <w:jc w:val="center"/>
              <w:rPr>
                <w:rFonts w:hint="eastAsia"/>
                <w:sz w:val="21"/>
                <w:szCs w:val="21"/>
              </w:rPr>
            </w:pPr>
          </w:p>
        </w:tc>
        <w:tc>
          <w:tcPr>
            <w:tcW w:w="1395" w:type="dxa"/>
            <w:vAlign w:val="center"/>
          </w:tcPr>
          <w:p w14:paraId="0358036B">
            <w:pPr>
              <w:pStyle w:val="42"/>
              <w:spacing w:before="0" w:beforeAutospacing="0" w:after="0" w:afterAutospacing="0" w:line="420" w:lineRule="atLeast"/>
              <w:jc w:val="center"/>
              <w:rPr>
                <w:rFonts w:hint="eastAsia"/>
                <w:sz w:val="21"/>
                <w:szCs w:val="21"/>
              </w:rPr>
            </w:pPr>
          </w:p>
        </w:tc>
      </w:tr>
      <w:tr w14:paraId="6B20A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5" w:type="dxa"/>
            <w:vMerge w:val="continue"/>
            <w:vAlign w:val="center"/>
          </w:tcPr>
          <w:p w14:paraId="10310A18">
            <w:pPr>
              <w:pStyle w:val="42"/>
              <w:spacing w:before="0" w:beforeAutospacing="0" w:after="0" w:afterAutospacing="0" w:line="420" w:lineRule="atLeast"/>
              <w:jc w:val="center"/>
              <w:rPr>
                <w:rFonts w:hint="eastAsia"/>
                <w:sz w:val="21"/>
                <w:szCs w:val="21"/>
              </w:rPr>
            </w:pPr>
          </w:p>
        </w:tc>
        <w:tc>
          <w:tcPr>
            <w:tcW w:w="1713" w:type="dxa"/>
            <w:vAlign w:val="center"/>
          </w:tcPr>
          <w:p w14:paraId="445CEA99">
            <w:pPr>
              <w:pStyle w:val="42"/>
              <w:spacing w:before="0" w:beforeAutospacing="0" w:after="0" w:afterAutospacing="0" w:line="420" w:lineRule="atLeast"/>
              <w:jc w:val="center"/>
              <w:rPr>
                <w:rFonts w:hint="eastAsia"/>
                <w:sz w:val="21"/>
                <w:szCs w:val="21"/>
              </w:rPr>
            </w:pPr>
          </w:p>
        </w:tc>
        <w:tc>
          <w:tcPr>
            <w:tcW w:w="1375" w:type="dxa"/>
            <w:vAlign w:val="center"/>
          </w:tcPr>
          <w:p w14:paraId="3BA0CC0B">
            <w:pPr>
              <w:pStyle w:val="42"/>
              <w:spacing w:before="0" w:beforeAutospacing="0" w:after="0" w:afterAutospacing="0" w:line="420" w:lineRule="atLeast"/>
              <w:jc w:val="center"/>
              <w:rPr>
                <w:rFonts w:hint="eastAsia"/>
                <w:sz w:val="21"/>
                <w:szCs w:val="21"/>
              </w:rPr>
            </w:pPr>
          </w:p>
        </w:tc>
        <w:tc>
          <w:tcPr>
            <w:tcW w:w="1384" w:type="dxa"/>
            <w:vAlign w:val="center"/>
          </w:tcPr>
          <w:p w14:paraId="22C0A162">
            <w:pPr>
              <w:pStyle w:val="42"/>
              <w:spacing w:before="0" w:beforeAutospacing="0" w:after="0" w:afterAutospacing="0" w:line="420" w:lineRule="atLeast"/>
              <w:jc w:val="center"/>
              <w:rPr>
                <w:rFonts w:hint="eastAsia"/>
                <w:sz w:val="21"/>
                <w:szCs w:val="21"/>
              </w:rPr>
            </w:pPr>
            <w:r>
              <w:rPr>
                <w:rFonts w:hint="eastAsia"/>
                <w:sz w:val="21"/>
                <w:szCs w:val="21"/>
              </w:rPr>
              <w:t>BMC</w:t>
            </w:r>
          </w:p>
        </w:tc>
        <w:tc>
          <w:tcPr>
            <w:tcW w:w="1395" w:type="dxa"/>
            <w:vAlign w:val="center"/>
          </w:tcPr>
          <w:p w14:paraId="52FBE8D8">
            <w:pPr>
              <w:pStyle w:val="42"/>
              <w:spacing w:before="0" w:beforeAutospacing="0" w:after="0" w:afterAutospacing="0" w:line="420" w:lineRule="atLeast"/>
              <w:jc w:val="center"/>
              <w:rPr>
                <w:rFonts w:hint="eastAsia"/>
                <w:sz w:val="21"/>
                <w:szCs w:val="21"/>
              </w:rPr>
            </w:pPr>
          </w:p>
        </w:tc>
        <w:tc>
          <w:tcPr>
            <w:tcW w:w="1395" w:type="dxa"/>
            <w:vAlign w:val="center"/>
          </w:tcPr>
          <w:p w14:paraId="252081CF">
            <w:pPr>
              <w:pStyle w:val="42"/>
              <w:spacing w:before="0" w:beforeAutospacing="0" w:after="0" w:afterAutospacing="0" w:line="420" w:lineRule="atLeast"/>
              <w:jc w:val="center"/>
              <w:rPr>
                <w:rFonts w:hint="eastAsia"/>
                <w:sz w:val="21"/>
                <w:szCs w:val="21"/>
              </w:rPr>
            </w:pPr>
          </w:p>
        </w:tc>
      </w:tr>
      <w:tr w14:paraId="0FE3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5" w:type="dxa"/>
            <w:vMerge w:val="continue"/>
            <w:vAlign w:val="center"/>
          </w:tcPr>
          <w:p w14:paraId="5E84E3B7">
            <w:pPr>
              <w:pStyle w:val="42"/>
              <w:spacing w:before="0" w:beforeAutospacing="0" w:after="0" w:afterAutospacing="0" w:line="420" w:lineRule="atLeast"/>
              <w:rPr>
                <w:rFonts w:hint="eastAsia"/>
                <w:sz w:val="21"/>
                <w:szCs w:val="21"/>
              </w:rPr>
            </w:pPr>
          </w:p>
        </w:tc>
        <w:tc>
          <w:tcPr>
            <w:tcW w:w="1713" w:type="dxa"/>
            <w:vAlign w:val="center"/>
          </w:tcPr>
          <w:p w14:paraId="2B20B946">
            <w:pPr>
              <w:pStyle w:val="42"/>
              <w:spacing w:before="0" w:beforeAutospacing="0" w:after="0" w:afterAutospacing="0" w:line="420" w:lineRule="atLeast"/>
              <w:jc w:val="center"/>
              <w:rPr>
                <w:rFonts w:hint="eastAsia"/>
                <w:sz w:val="21"/>
                <w:szCs w:val="21"/>
              </w:rPr>
            </w:pPr>
          </w:p>
        </w:tc>
        <w:tc>
          <w:tcPr>
            <w:tcW w:w="1375" w:type="dxa"/>
            <w:vAlign w:val="center"/>
          </w:tcPr>
          <w:p w14:paraId="21708B72">
            <w:pPr>
              <w:pStyle w:val="42"/>
              <w:spacing w:before="0" w:beforeAutospacing="0" w:after="0" w:afterAutospacing="0" w:line="420" w:lineRule="atLeast"/>
              <w:jc w:val="center"/>
              <w:rPr>
                <w:rFonts w:hint="eastAsia"/>
                <w:sz w:val="21"/>
                <w:szCs w:val="21"/>
              </w:rPr>
            </w:pPr>
          </w:p>
        </w:tc>
        <w:tc>
          <w:tcPr>
            <w:tcW w:w="1384" w:type="dxa"/>
            <w:vAlign w:val="center"/>
          </w:tcPr>
          <w:p w14:paraId="75A26628">
            <w:pPr>
              <w:pStyle w:val="42"/>
              <w:spacing w:before="0" w:beforeAutospacing="0" w:after="0" w:afterAutospacing="0" w:line="420" w:lineRule="atLeast"/>
              <w:jc w:val="center"/>
              <w:rPr>
                <w:rFonts w:hint="eastAsia"/>
                <w:sz w:val="21"/>
                <w:szCs w:val="21"/>
              </w:rPr>
            </w:pPr>
            <w:r>
              <w:rPr>
                <w:rFonts w:hint="eastAsia"/>
                <w:sz w:val="21"/>
                <w:szCs w:val="21"/>
              </w:rPr>
              <w:t>网卡芯片</w:t>
            </w:r>
          </w:p>
        </w:tc>
        <w:tc>
          <w:tcPr>
            <w:tcW w:w="1395" w:type="dxa"/>
            <w:vAlign w:val="center"/>
          </w:tcPr>
          <w:p w14:paraId="72361340">
            <w:pPr>
              <w:pStyle w:val="42"/>
              <w:spacing w:before="0" w:beforeAutospacing="0" w:after="0" w:afterAutospacing="0" w:line="420" w:lineRule="atLeast"/>
              <w:jc w:val="center"/>
              <w:rPr>
                <w:rFonts w:hint="eastAsia"/>
                <w:sz w:val="21"/>
                <w:szCs w:val="21"/>
              </w:rPr>
            </w:pPr>
          </w:p>
        </w:tc>
        <w:tc>
          <w:tcPr>
            <w:tcW w:w="1395" w:type="dxa"/>
            <w:vAlign w:val="center"/>
          </w:tcPr>
          <w:p w14:paraId="1F8D6EDF">
            <w:pPr>
              <w:pStyle w:val="42"/>
              <w:spacing w:before="0" w:beforeAutospacing="0" w:after="0" w:afterAutospacing="0" w:line="420" w:lineRule="atLeast"/>
              <w:jc w:val="center"/>
              <w:rPr>
                <w:rFonts w:hint="eastAsia"/>
                <w:sz w:val="21"/>
                <w:szCs w:val="21"/>
              </w:rPr>
            </w:pPr>
          </w:p>
        </w:tc>
      </w:tr>
      <w:tr w14:paraId="2AA2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5" w:type="dxa"/>
            <w:vMerge w:val="continue"/>
            <w:vAlign w:val="center"/>
          </w:tcPr>
          <w:p w14:paraId="15A15091">
            <w:pPr>
              <w:pStyle w:val="42"/>
              <w:spacing w:before="0" w:beforeAutospacing="0" w:after="0" w:afterAutospacing="0" w:line="420" w:lineRule="atLeast"/>
              <w:rPr>
                <w:rFonts w:hint="eastAsia"/>
                <w:sz w:val="21"/>
                <w:szCs w:val="21"/>
              </w:rPr>
            </w:pPr>
          </w:p>
        </w:tc>
        <w:tc>
          <w:tcPr>
            <w:tcW w:w="1713" w:type="dxa"/>
            <w:vAlign w:val="center"/>
          </w:tcPr>
          <w:p w14:paraId="689C9394">
            <w:pPr>
              <w:pStyle w:val="42"/>
              <w:spacing w:before="0" w:beforeAutospacing="0" w:after="0" w:afterAutospacing="0" w:line="420" w:lineRule="atLeast"/>
              <w:jc w:val="center"/>
              <w:rPr>
                <w:rFonts w:hint="eastAsia"/>
                <w:sz w:val="21"/>
                <w:szCs w:val="21"/>
              </w:rPr>
            </w:pPr>
          </w:p>
        </w:tc>
        <w:tc>
          <w:tcPr>
            <w:tcW w:w="1375" w:type="dxa"/>
            <w:vAlign w:val="center"/>
          </w:tcPr>
          <w:p w14:paraId="59D68ADA">
            <w:pPr>
              <w:pStyle w:val="42"/>
              <w:spacing w:before="0" w:beforeAutospacing="0" w:after="0" w:afterAutospacing="0" w:line="420" w:lineRule="atLeast"/>
              <w:jc w:val="center"/>
              <w:rPr>
                <w:rFonts w:hint="eastAsia"/>
                <w:sz w:val="21"/>
                <w:szCs w:val="21"/>
              </w:rPr>
            </w:pPr>
          </w:p>
        </w:tc>
        <w:tc>
          <w:tcPr>
            <w:tcW w:w="1384" w:type="dxa"/>
            <w:vAlign w:val="center"/>
          </w:tcPr>
          <w:p w14:paraId="1699B13A">
            <w:pPr>
              <w:pStyle w:val="42"/>
              <w:spacing w:before="0" w:beforeAutospacing="0" w:after="0" w:afterAutospacing="0" w:line="420" w:lineRule="atLeast"/>
              <w:jc w:val="center"/>
              <w:rPr>
                <w:rFonts w:hint="eastAsia"/>
                <w:sz w:val="21"/>
                <w:szCs w:val="21"/>
              </w:rPr>
            </w:pPr>
            <w:r>
              <w:rPr>
                <w:rFonts w:hint="eastAsia"/>
                <w:sz w:val="21"/>
                <w:szCs w:val="21"/>
              </w:rPr>
              <w:t>电源模块控制芯片</w:t>
            </w:r>
          </w:p>
        </w:tc>
        <w:tc>
          <w:tcPr>
            <w:tcW w:w="1395" w:type="dxa"/>
            <w:vAlign w:val="center"/>
          </w:tcPr>
          <w:p w14:paraId="2130C45B">
            <w:pPr>
              <w:pStyle w:val="42"/>
              <w:spacing w:before="0" w:beforeAutospacing="0" w:after="0" w:afterAutospacing="0" w:line="420" w:lineRule="atLeast"/>
              <w:jc w:val="center"/>
              <w:rPr>
                <w:rFonts w:hint="eastAsia"/>
                <w:sz w:val="21"/>
                <w:szCs w:val="21"/>
              </w:rPr>
            </w:pPr>
          </w:p>
        </w:tc>
        <w:tc>
          <w:tcPr>
            <w:tcW w:w="1395" w:type="dxa"/>
            <w:vAlign w:val="center"/>
          </w:tcPr>
          <w:p w14:paraId="66E99912">
            <w:pPr>
              <w:pStyle w:val="42"/>
              <w:spacing w:before="0" w:beforeAutospacing="0" w:after="0" w:afterAutospacing="0" w:line="420" w:lineRule="atLeast"/>
              <w:jc w:val="center"/>
              <w:rPr>
                <w:rFonts w:hint="eastAsia"/>
                <w:sz w:val="21"/>
                <w:szCs w:val="21"/>
              </w:rPr>
            </w:pPr>
          </w:p>
        </w:tc>
      </w:tr>
      <w:tr w14:paraId="6AD8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5" w:type="dxa"/>
            <w:vMerge w:val="continue"/>
            <w:vAlign w:val="center"/>
          </w:tcPr>
          <w:p w14:paraId="290CB63B">
            <w:pPr>
              <w:pStyle w:val="42"/>
              <w:spacing w:before="0" w:beforeAutospacing="0" w:after="0" w:afterAutospacing="0" w:line="420" w:lineRule="atLeast"/>
              <w:rPr>
                <w:rFonts w:hint="eastAsia"/>
                <w:sz w:val="21"/>
                <w:szCs w:val="21"/>
              </w:rPr>
            </w:pPr>
          </w:p>
        </w:tc>
        <w:tc>
          <w:tcPr>
            <w:tcW w:w="1713" w:type="dxa"/>
            <w:vAlign w:val="center"/>
          </w:tcPr>
          <w:p w14:paraId="67B7BF9C">
            <w:pPr>
              <w:pStyle w:val="42"/>
              <w:spacing w:before="0" w:beforeAutospacing="0" w:after="0" w:afterAutospacing="0" w:line="420" w:lineRule="atLeast"/>
              <w:jc w:val="center"/>
              <w:rPr>
                <w:rFonts w:hint="eastAsia"/>
                <w:sz w:val="21"/>
                <w:szCs w:val="21"/>
              </w:rPr>
            </w:pPr>
          </w:p>
        </w:tc>
        <w:tc>
          <w:tcPr>
            <w:tcW w:w="1375" w:type="dxa"/>
            <w:vAlign w:val="center"/>
          </w:tcPr>
          <w:p w14:paraId="0F3EBD22">
            <w:pPr>
              <w:pStyle w:val="42"/>
              <w:spacing w:before="0" w:beforeAutospacing="0" w:after="0" w:afterAutospacing="0" w:line="420" w:lineRule="atLeast"/>
              <w:jc w:val="center"/>
              <w:rPr>
                <w:rFonts w:hint="eastAsia"/>
                <w:sz w:val="21"/>
                <w:szCs w:val="21"/>
              </w:rPr>
            </w:pPr>
          </w:p>
        </w:tc>
        <w:tc>
          <w:tcPr>
            <w:tcW w:w="1384" w:type="dxa"/>
            <w:vAlign w:val="center"/>
          </w:tcPr>
          <w:p w14:paraId="74EA85AF">
            <w:pPr>
              <w:pStyle w:val="42"/>
              <w:spacing w:before="0" w:beforeAutospacing="0" w:after="0" w:afterAutospacing="0" w:line="420" w:lineRule="atLeast"/>
              <w:jc w:val="center"/>
              <w:rPr>
                <w:rFonts w:hint="eastAsia"/>
                <w:sz w:val="21"/>
                <w:szCs w:val="21"/>
              </w:rPr>
            </w:pPr>
            <w:r>
              <w:rPr>
                <w:sz w:val="21"/>
                <w:szCs w:val="21"/>
              </w:rPr>
              <w:t>R</w:t>
            </w:r>
            <w:r>
              <w:rPr>
                <w:rFonts w:hint="eastAsia"/>
                <w:sz w:val="21"/>
                <w:szCs w:val="21"/>
              </w:rPr>
              <w:t>aid卡</w:t>
            </w:r>
          </w:p>
        </w:tc>
        <w:tc>
          <w:tcPr>
            <w:tcW w:w="1395" w:type="dxa"/>
            <w:vAlign w:val="center"/>
          </w:tcPr>
          <w:p w14:paraId="64177D96">
            <w:pPr>
              <w:pStyle w:val="42"/>
              <w:spacing w:before="0" w:beforeAutospacing="0" w:after="0" w:afterAutospacing="0" w:line="420" w:lineRule="atLeast"/>
              <w:jc w:val="center"/>
              <w:rPr>
                <w:rFonts w:hint="eastAsia"/>
                <w:sz w:val="21"/>
                <w:szCs w:val="21"/>
              </w:rPr>
            </w:pPr>
          </w:p>
        </w:tc>
        <w:tc>
          <w:tcPr>
            <w:tcW w:w="1395" w:type="dxa"/>
            <w:vAlign w:val="center"/>
          </w:tcPr>
          <w:p w14:paraId="7439DCCC">
            <w:pPr>
              <w:pStyle w:val="42"/>
              <w:spacing w:before="0" w:beforeAutospacing="0" w:after="0" w:afterAutospacing="0" w:line="420" w:lineRule="atLeast"/>
              <w:jc w:val="center"/>
              <w:rPr>
                <w:rFonts w:hint="eastAsia"/>
                <w:sz w:val="21"/>
                <w:szCs w:val="21"/>
              </w:rPr>
            </w:pPr>
          </w:p>
        </w:tc>
      </w:tr>
    </w:tbl>
    <w:p w14:paraId="0EE2AFD8">
      <w:pPr>
        <w:pStyle w:val="42"/>
        <w:spacing w:before="900" w:beforeAutospacing="0" w:after="0" w:afterAutospacing="0" w:line="420" w:lineRule="atLeast"/>
        <w:jc w:val="both"/>
        <w:rPr>
          <w:rFonts w:hint="eastAsia"/>
          <w:sz w:val="28"/>
          <w:szCs w:val="28"/>
        </w:rPr>
      </w:pPr>
    </w:p>
    <w:p w14:paraId="48361EB9">
      <w:pPr>
        <w:pStyle w:val="42"/>
        <w:spacing w:before="900" w:beforeAutospacing="0" w:after="0" w:afterAutospacing="0" w:line="420" w:lineRule="atLeast"/>
        <w:jc w:val="both"/>
        <w:rPr>
          <w:rFonts w:hint="eastAsia"/>
          <w:sz w:val="28"/>
          <w:szCs w:val="28"/>
        </w:rPr>
      </w:pPr>
    </w:p>
    <w:p w14:paraId="5F4577B2">
      <w:pPr>
        <w:pStyle w:val="42"/>
        <w:spacing w:before="900" w:beforeAutospacing="0" w:after="0" w:afterAutospacing="0" w:line="420" w:lineRule="atLeast"/>
        <w:jc w:val="both"/>
        <w:rPr>
          <w:rFonts w:hint="eastAsia"/>
          <w:sz w:val="28"/>
          <w:szCs w:val="28"/>
        </w:rPr>
      </w:pPr>
    </w:p>
    <w:p w14:paraId="070DD55D">
      <w:pPr>
        <w:pStyle w:val="42"/>
        <w:spacing w:before="900" w:beforeAutospacing="0" w:after="0" w:afterAutospacing="0" w:line="420" w:lineRule="atLeast"/>
        <w:jc w:val="both"/>
        <w:rPr>
          <w:rFonts w:hint="eastAsia"/>
          <w:sz w:val="28"/>
          <w:szCs w:val="28"/>
        </w:rPr>
      </w:pPr>
    </w:p>
    <w:p w14:paraId="38BF0144">
      <w:pPr>
        <w:pStyle w:val="42"/>
        <w:spacing w:before="900" w:beforeAutospacing="0" w:after="0" w:afterAutospacing="0" w:line="420" w:lineRule="atLeast"/>
        <w:jc w:val="both"/>
        <w:rPr>
          <w:rFonts w:hint="eastAsia"/>
          <w:sz w:val="28"/>
          <w:szCs w:val="28"/>
        </w:rPr>
      </w:pPr>
    </w:p>
    <w:p w14:paraId="12A05530">
      <w:pPr>
        <w:pStyle w:val="42"/>
        <w:spacing w:before="900" w:beforeAutospacing="0" w:after="0" w:afterAutospacing="0" w:line="420" w:lineRule="atLeast"/>
        <w:jc w:val="both"/>
        <w:rPr>
          <w:rFonts w:hint="eastAsia"/>
          <w:sz w:val="28"/>
          <w:szCs w:val="28"/>
        </w:rPr>
      </w:pPr>
    </w:p>
    <w:p w14:paraId="2BF0D0DB">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37BC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22"/>
            <w:vAlign w:val="center"/>
          </w:tcPr>
          <w:p w14:paraId="508920CC">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23EF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45E3A6C6">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4981DC9C">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15F92EFB">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138C12A7">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7FB43E5F">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40C9BB12">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161A856C">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127D3895">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68F07661">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6BFA67AA">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0067CB57">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28F06F58">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2AEC594A">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482A3756">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1699B4B6">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21B6751F">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6FB7F948">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7FE322E2">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47BE2F50">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6629E99A">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70F3951B">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4BAC16AF">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381F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2387B7AF">
            <w:pPr>
              <w:pStyle w:val="42"/>
              <w:spacing w:before="0" w:beforeAutospacing="0" w:after="0" w:afterAutospacing="0" w:line="420" w:lineRule="atLeast"/>
              <w:jc w:val="center"/>
              <w:rPr>
                <w:rFonts w:hint="eastAsia"/>
                <w:sz w:val="21"/>
                <w:szCs w:val="21"/>
              </w:rPr>
            </w:pPr>
          </w:p>
        </w:tc>
        <w:tc>
          <w:tcPr>
            <w:tcW w:w="335" w:type="dxa"/>
            <w:vAlign w:val="center"/>
          </w:tcPr>
          <w:p w14:paraId="289E8220">
            <w:pPr>
              <w:pStyle w:val="42"/>
              <w:spacing w:before="0" w:beforeAutospacing="0" w:after="0" w:afterAutospacing="0" w:line="420" w:lineRule="atLeast"/>
              <w:jc w:val="center"/>
              <w:rPr>
                <w:rFonts w:hint="eastAsia"/>
                <w:sz w:val="21"/>
                <w:szCs w:val="21"/>
              </w:rPr>
            </w:pPr>
          </w:p>
        </w:tc>
        <w:tc>
          <w:tcPr>
            <w:tcW w:w="335" w:type="dxa"/>
            <w:vAlign w:val="center"/>
          </w:tcPr>
          <w:p w14:paraId="63F2DF63">
            <w:pPr>
              <w:pStyle w:val="42"/>
              <w:spacing w:before="0" w:beforeAutospacing="0" w:after="0" w:afterAutospacing="0" w:line="420" w:lineRule="atLeast"/>
              <w:jc w:val="center"/>
              <w:rPr>
                <w:rFonts w:hint="eastAsia"/>
                <w:sz w:val="21"/>
                <w:szCs w:val="21"/>
              </w:rPr>
            </w:pPr>
          </w:p>
        </w:tc>
        <w:tc>
          <w:tcPr>
            <w:tcW w:w="335" w:type="dxa"/>
            <w:vAlign w:val="center"/>
          </w:tcPr>
          <w:p w14:paraId="7770CA07">
            <w:pPr>
              <w:pStyle w:val="42"/>
              <w:spacing w:before="0" w:beforeAutospacing="0" w:after="0" w:afterAutospacing="0" w:line="420" w:lineRule="atLeast"/>
              <w:jc w:val="center"/>
              <w:rPr>
                <w:rFonts w:hint="eastAsia"/>
                <w:sz w:val="21"/>
                <w:szCs w:val="21"/>
              </w:rPr>
            </w:pPr>
          </w:p>
        </w:tc>
        <w:tc>
          <w:tcPr>
            <w:tcW w:w="334" w:type="dxa"/>
            <w:vAlign w:val="center"/>
          </w:tcPr>
          <w:p w14:paraId="3D03726B">
            <w:pPr>
              <w:pStyle w:val="42"/>
              <w:spacing w:before="0" w:beforeAutospacing="0" w:after="0" w:afterAutospacing="0" w:line="420" w:lineRule="atLeast"/>
              <w:jc w:val="center"/>
              <w:rPr>
                <w:rFonts w:hint="eastAsia"/>
                <w:sz w:val="21"/>
                <w:szCs w:val="21"/>
              </w:rPr>
            </w:pPr>
          </w:p>
        </w:tc>
        <w:tc>
          <w:tcPr>
            <w:tcW w:w="452" w:type="dxa"/>
            <w:vAlign w:val="center"/>
          </w:tcPr>
          <w:p w14:paraId="484940B9">
            <w:pPr>
              <w:pStyle w:val="42"/>
              <w:spacing w:before="0" w:beforeAutospacing="0" w:after="0" w:afterAutospacing="0" w:line="420" w:lineRule="atLeast"/>
              <w:jc w:val="center"/>
              <w:rPr>
                <w:rFonts w:hint="eastAsia"/>
                <w:sz w:val="21"/>
                <w:szCs w:val="21"/>
              </w:rPr>
            </w:pPr>
          </w:p>
        </w:tc>
        <w:tc>
          <w:tcPr>
            <w:tcW w:w="334" w:type="dxa"/>
            <w:vAlign w:val="center"/>
          </w:tcPr>
          <w:p w14:paraId="3D44C87B">
            <w:pPr>
              <w:pStyle w:val="42"/>
              <w:spacing w:before="0" w:beforeAutospacing="0" w:after="0" w:afterAutospacing="0" w:line="420" w:lineRule="atLeast"/>
              <w:jc w:val="center"/>
              <w:rPr>
                <w:rFonts w:hint="eastAsia"/>
                <w:sz w:val="21"/>
                <w:szCs w:val="21"/>
              </w:rPr>
            </w:pPr>
          </w:p>
        </w:tc>
        <w:tc>
          <w:tcPr>
            <w:tcW w:w="334" w:type="dxa"/>
            <w:vAlign w:val="center"/>
          </w:tcPr>
          <w:p w14:paraId="12CBF745">
            <w:pPr>
              <w:pStyle w:val="42"/>
              <w:spacing w:before="0" w:beforeAutospacing="0" w:after="0" w:afterAutospacing="0" w:line="420" w:lineRule="atLeast"/>
              <w:jc w:val="center"/>
              <w:rPr>
                <w:rFonts w:hint="eastAsia"/>
                <w:sz w:val="21"/>
                <w:szCs w:val="21"/>
              </w:rPr>
            </w:pPr>
          </w:p>
        </w:tc>
        <w:tc>
          <w:tcPr>
            <w:tcW w:w="452" w:type="dxa"/>
            <w:vAlign w:val="center"/>
          </w:tcPr>
          <w:p w14:paraId="35D9CAB7">
            <w:pPr>
              <w:pStyle w:val="42"/>
              <w:spacing w:before="0" w:beforeAutospacing="0" w:after="0" w:afterAutospacing="0" w:line="420" w:lineRule="atLeast"/>
              <w:jc w:val="center"/>
              <w:rPr>
                <w:rFonts w:hint="eastAsia"/>
                <w:sz w:val="21"/>
                <w:szCs w:val="21"/>
              </w:rPr>
            </w:pPr>
          </w:p>
        </w:tc>
        <w:tc>
          <w:tcPr>
            <w:tcW w:w="334" w:type="dxa"/>
            <w:vAlign w:val="center"/>
          </w:tcPr>
          <w:p w14:paraId="7F428E3E">
            <w:pPr>
              <w:pStyle w:val="42"/>
              <w:spacing w:before="0" w:beforeAutospacing="0" w:after="0" w:afterAutospacing="0" w:line="420" w:lineRule="atLeast"/>
              <w:jc w:val="center"/>
              <w:rPr>
                <w:rFonts w:hint="eastAsia"/>
                <w:sz w:val="21"/>
                <w:szCs w:val="21"/>
              </w:rPr>
            </w:pPr>
          </w:p>
        </w:tc>
        <w:tc>
          <w:tcPr>
            <w:tcW w:w="452" w:type="dxa"/>
            <w:vAlign w:val="center"/>
          </w:tcPr>
          <w:p w14:paraId="3757D078">
            <w:pPr>
              <w:pStyle w:val="42"/>
              <w:spacing w:before="0" w:beforeAutospacing="0" w:after="0" w:afterAutospacing="0" w:line="420" w:lineRule="atLeast"/>
              <w:jc w:val="center"/>
              <w:rPr>
                <w:rFonts w:hint="eastAsia"/>
                <w:sz w:val="21"/>
                <w:szCs w:val="21"/>
              </w:rPr>
            </w:pPr>
          </w:p>
        </w:tc>
        <w:tc>
          <w:tcPr>
            <w:tcW w:w="334" w:type="dxa"/>
            <w:vAlign w:val="center"/>
          </w:tcPr>
          <w:p w14:paraId="3EE54D75">
            <w:pPr>
              <w:pStyle w:val="42"/>
              <w:spacing w:before="0" w:beforeAutospacing="0" w:after="0" w:afterAutospacing="0" w:line="420" w:lineRule="atLeast"/>
              <w:jc w:val="center"/>
              <w:rPr>
                <w:rFonts w:hint="eastAsia"/>
                <w:sz w:val="21"/>
                <w:szCs w:val="21"/>
              </w:rPr>
            </w:pPr>
          </w:p>
        </w:tc>
        <w:tc>
          <w:tcPr>
            <w:tcW w:w="571" w:type="dxa"/>
            <w:vAlign w:val="center"/>
          </w:tcPr>
          <w:p w14:paraId="7DD94E60">
            <w:pPr>
              <w:pStyle w:val="42"/>
              <w:spacing w:before="0" w:beforeAutospacing="0" w:after="0" w:afterAutospacing="0" w:line="420" w:lineRule="atLeast"/>
              <w:jc w:val="center"/>
              <w:rPr>
                <w:rFonts w:hint="eastAsia"/>
                <w:sz w:val="21"/>
                <w:szCs w:val="21"/>
              </w:rPr>
            </w:pPr>
          </w:p>
        </w:tc>
        <w:tc>
          <w:tcPr>
            <w:tcW w:w="452" w:type="dxa"/>
            <w:vAlign w:val="center"/>
          </w:tcPr>
          <w:p w14:paraId="14A0C704">
            <w:pPr>
              <w:pStyle w:val="42"/>
              <w:spacing w:before="0" w:beforeAutospacing="0" w:after="0" w:afterAutospacing="0" w:line="420" w:lineRule="atLeast"/>
              <w:jc w:val="center"/>
              <w:rPr>
                <w:rFonts w:hint="eastAsia"/>
                <w:sz w:val="21"/>
                <w:szCs w:val="21"/>
              </w:rPr>
            </w:pPr>
          </w:p>
        </w:tc>
        <w:tc>
          <w:tcPr>
            <w:tcW w:w="334" w:type="dxa"/>
            <w:vAlign w:val="center"/>
          </w:tcPr>
          <w:p w14:paraId="76FFADF4">
            <w:pPr>
              <w:pStyle w:val="42"/>
              <w:spacing w:before="0" w:beforeAutospacing="0" w:after="0" w:afterAutospacing="0" w:line="420" w:lineRule="atLeast"/>
              <w:jc w:val="center"/>
              <w:rPr>
                <w:rFonts w:hint="eastAsia"/>
                <w:sz w:val="21"/>
                <w:szCs w:val="21"/>
              </w:rPr>
            </w:pPr>
          </w:p>
        </w:tc>
        <w:tc>
          <w:tcPr>
            <w:tcW w:w="334" w:type="dxa"/>
            <w:vAlign w:val="center"/>
          </w:tcPr>
          <w:p w14:paraId="49C1711C">
            <w:pPr>
              <w:pStyle w:val="42"/>
              <w:spacing w:before="0" w:beforeAutospacing="0" w:after="0" w:afterAutospacing="0" w:line="420" w:lineRule="atLeast"/>
              <w:jc w:val="center"/>
              <w:rPr>
                <w:rFonts w:hint="eastAsia"/>
                <w:sz w:val="21"/>
                <w:szCs w:val="21"/>
              </w:rPr>
            </w:pPr>
          </w:p>
        </w:tc>
        <w:tc>
          <w:tcPr>
            <w:tcW w:w="452" w:type="dxa"/>
            <w:vAlign w:val="center"/>
          </w:tcPr>
          <w:p w14:paraId="1D1D2899">
            <w:pPr>
              <w:pStyle w:val="42"/>
              <w:spacing w:before="0" w:beforeAutospacing="0" w:after="0" w:afterAutospacing="0" w:line="420" w:lineRule="atLeast"/>
              <w:jc w:val="center"/>
              <w:rPr>
                <w:rFonts w:hint="eastAsia"/>
                <w:sz w:val="21"/>
                <w:szCs w:val="21"/>
              </w:rPr>
            </w:pPr>
          </w:p>
        </w:tc>
        <w:tc>
          <w:tcPr>
            <w:tcW w:w="334" w:type="dxa"/>
            <w:vAlign w:val="center"/>
          </w:tcPr>
          <w:p w14:paraId="02AB3EDE">
            <w:pPr>
              <w:pStyle w:val="42"/>
              <w:spacing w:before="0" w:beforeAutospacing="0" w:after="0" w:afterAutospacing="0" w:line="420" w:lineRule="atLeast"/>
              <w:jc w:val="center"/>
              <w:rPr>
                <w:rFonts w:hint="eastAsia"/>
                <w:sz w:val="21"/>
                <w:szCs w:val="21"/>
              </w:rPr>
            </w:pPr>
          </w:p>
        </w:tc>
        <w:tc>
          <w:tcPr>
            <w:tcW w:w="334" w:type="dxa"/>
            <w:vAlign w:val="center"/>
          </w:tcPr>
          <w:p w14:paraId="7E97707C">
            <w:pPr>
              <w:pStyle w:val="42"/>
              <w:spacing w:before="0" w:beforeAutospacing="0" w:after="0" w:afterAutospacing="0" w:line="420" w:lineRule="atLeast"/>
              <w:jc w:val="center"/>
              <w:rPr>
                <w:rFonts w:hint="eastAsia"/>
                <w:sz w:val="21"/>
                <w:szCs w:val="21"/>
              </w:rPr>
            </w:pPr>
          </w:p>
        </w:tc>
        <w:tc>
          <w:tcPr>
            <w:tcW w:w="452" w:type="dxa"/>
            <w:vAlign w:val="center"/>
          </w:tcPr>
          <w:p w14:paraId="12C33AD7">
            <w:pPr>
              <w:pStyle w:val="42"/>
              <w:spacing w:before="0" w:beforeAutospacing="0" w:after="0" w:afterAutospacing="0" w:line="420" w:lineRule="atLeast"/>
              <w:jc w:val="center"/>
              <w:rPr>
                <w:rFonts w:hint="eastAsia"/>
                <w:sz w:val="21"/>
                <w:szCs w:val="21"/>
              </w:rPr>
            </w:pPr>
          </w:p>
        </w:tc>
        <w:tc>
          <w:tcPr>
            <w:tcW w:w="334" w:type="dxa"/>
            <w:vAlign w:val="center"/>
          </w:tcPr>
          <w:p w14:paraId="66B502F9">
            <w:pPr>
              <w:pStyle w:val="42"/>
              <w:spacing w:before="0" w:beforeAutospacing="0" w:after="0" w:afterAutospacing="0" w:line="420" w:lineRule="atLeast"/>
              <w:jc w:val="center"/>
              <w:rPr>
                <w:rFonts w:hint="eastAsia"/>
                <w:sz w:val="21"/>
                <w:szCs w:val="21"/>
              </w:rPr>
            </w:pPr>
          </w:p>
        </w:tc>
        <w:tc>
          <w:tcPr>
            <w:tcW w:w="334" w:type="dxa"/>
            <w:vAlign w:val="center"/>
          </w:tcPr>
          <w:p w14:paraId="4940057D">
            <w:pPr>
              <w:pStyle w:val="42"/>
              <w:spacing w:before="0" w:beforeAutospacing="0" w:after="0" w:afterAutospacing="0" w:line="420" w:lineRule="atLeast"/>
              <w:jc w:val="center"/>
              <w:rPr>
                <w:rFonts w:hint="eastAsia"/>
                <w:sz w:val="21"/>
                <w:szCs w:val="21"/>
              </w:rPr>
            </w:pPr>
          </w:p>
        </w:tc>
      </w:tr>
    </w:tbl>
    <w:p w14:paraId="2918261C">
      <w:pPr>
        <w:pStyle w:val="42"/>
        <w:spacing w:before="0" w:beforeAutospacing="0" w:after="0" w:afterAutospacing="0" w:line="420" w:lineRule="atLeast"/>
        <w:jc w:val="both"/>
        <w:rPr>
          <w:rFonts w:hint="eastAsia"/>
          <w:sz w:val="21"/>
          <w:szCs w:val="21"/>
        </w:rPr>
      </w:pPr>
    </w:p>
    <w:p w14:paraId="1E7ADAEA">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6A2CF535">
      <w:pPr>
        <w:spacing w:before="0" w:after="0" w:line="420" w:lineRule="atLeast"/>
        <w:rPr>
          <w:sz w:val="21"/>
          <w:szCs w:val="21"/>
        </w:rPr>
      </w:pPr>
      <w:r>
        <w:rPr>
          <w:sz w:val="21"/>
          <w:szCs w:val="21"/>
        </w:rPr>
        <w:br w:type="page"/>
      </w:r>
    </w:p>
    <w:p w14:paraId="59C7E6EA">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49C1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0" w:hRule="atLeast"/>
          <w:jc w:val="center"/>
        </w:trPr>
        <w:tc>
          <w:tcPr>
            <w:tcW w:w="8522" w:type="dxa"/>
            <w:gridSpan w:val="6"/>
            <w:vAlign w:val="center"/>
          </w:tcPr>
          <w:p w14:paraId="64F29817">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7A43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230720A9">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637CC464">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448717BB">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0DA62DE3">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3B3B25D9">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6727BB23">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27B2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7E5F40E0">
            <w:pPr>
              <w:pStyle w:val="42"/>
              <w:spacing w:before="0" w:beforeAutospacing="0" w:after="0" w:afterAutospacing="0" w:line="420" w:lineRule="atLeast"/>
              <w:jc w:val="center"/>
              <w:rPr>
                <w:rFonts w:hint="eastAsia"/>
                <w:sz w:val="21"/>
                <w:szCs w:val="21"/>
              </w:rPr>
            </w:pPr>
            <w:r>
              <w:rPr>
                <w:rFonts w:hint="eastAsia"/>
                <w:sz w:val="21"/>
                <w:szCs w:val="21"/>
              </w:rPr>
              <w:t>磁盘阵列XX档</w:t>
            </w:r>
          </w:p>
        </w:tc>
        <w:tc>
          <w:tcPr>
            <w:tcW w:w="1775" w:type="dxa"/>
            <w:vAlign w:val="center"/>
          </w:tcPr>
          <w:p w14:paraId="2748D27A">
            <w:pPr>
              <w:pStyle w:val="42"/>
              <w:spacing w:before="0" w:beforeAutospacing="0" w:after="0" w:afterAutospacing="0" w:line="420" w:lineRule="atLeast"/>
              <w:jc w:val="center"/>
              <w:rPr>
                <w:rFonts w:hint="eastAsia"/>
                <w:sz w:val="21"/>
                <w:szCs w:val="21"/>
              </w:rPr>
            </w:pPr>
          </w:p>
        </w:tc>
        <w:tc>
          <w:tcPr>
            <w:tcW w:w="1420" w:type="dxa"/>
            <w:vAlign w:val="center"/>
          </w:tcPr>
          <w:p w14:paraId="2FBF6AF6">
            <w:pPr>
              <w:pStyle w:val="42"/>
              <w:spacing w:before="0" w:beforeAutospacing="0" w:after="0" w:afterAutospacing="0" w:line="420" w:lineRule="atLeast"/>
              <w:jc w:val="center"/>
              <w:rPr>
                <w:rFonts w:hint="eastAsia"/>
                <w:sz w:val="21"/>
                <w:szCs w:val="21"/>
              </w:rPr>
            </w:pPr>
          </w:p>
        </w:tc>
        <w:tc>
          <w:tcPr>
            <w:tcW w:w="1420" w:type="dxa"/>
            <w:vAlign w:val="center"/>
          </w:tcPr>
          <w:p w14:paraId="5D7734A2">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412B1FD1">
            <w:pPr>
              <w:pStyle w:val="42"/>
              <w:spacing w:before="0" w:beforeAutospacing="0" w:after="0" w:afterAutospacing="0" w:line="420" w:lineRule="atLeast"/>
              <w:jc w:val="center"/>
              <w:rPr>
                <w:rFonts w:hint="eastAsia"/>
                <w:sz w:val="21"/>
                <w:szCs w:val="21"/>
              </w:rPr>
            </w:pPr>
          </w:p>
        </w:tc>
        <w:tc>
          <w:tcPr>
            <w:tcW w:w="1421" w:type="dxa"/>
            <w:vAlign w:val="center"/>
          </w:tcPr>
          <w:p w14:paraId="2E705D28">
            <w:pPr>
              <w:pStyle w:val="42"/>
              <w:spacing w:before="0" w:beforeAutospacing="0" w:after="0" w:afterAutospacing="0" w:line="420" w:lineRule="atLeast"/>
              <w:jc w:val="center"/>
              <w:rPr>
                <w:rFonts w:hint="eastAsia"/>
                <w:sz w:val="21"/>
                <w:szCs w:val="21"/>
              </w:rPr>
            </w:pPr>
          </w:p>
        </w:tc>
      </w:tr>
      <w:tr w14:paraId="6112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0B7B0476">
            <w:pPr>
              <w:pStyle w:val="42"/>
              <w:spacing w:before="0" w:beforeAutospacing="0" w:after="0" w:afterAutospacing="0" w:line="420" w:lineRule="atLeast"/>
              <w:jc w:val="center"/>
              <w:rPr>
                <w:rFonts w:hint="eastAsia"/>
                <w:sz w:val="21"/>
                <w:szCs w:val="21"/>
              </w:rPr>
            </w:pPr>
          </w:p>
        </w:tc>
        <w:tc>
          <w:tcPr>
            <w:tcW w:w="1775" w:type="dxa"/>
            <w:vAlign w:val="center"/>
          </w:tcPr>
          <w:p w14:paraId="0966E5C8">
            <w:pPr>
              <w:pStyle w:val="42"/>
              <w:spacing w:before="0" w:beforeAutospacing="0" w:after="0" w:afterAutospacing="0" w:line="420" w:lineRule="atLeast"/>
              <w:jc w:val="center"/>
              <w:rPr>
                <w:rFonts w:hint="eastAsia"/>
                <w:sz w:val="21"/>
                <w:szCs w:val="21"/>
              </w:rPr>
            </w:pPr>
          </w:p>
        </w:tc>
        <w:tc>
          <w:tcPr>
            <w:tcW w:w="1420" w:type="dxa"/>
            <w:vAlign w:val="center"/>
          </w:tcPr>
          <w:p w14:paraId="4B89E500">
            <w:pPr>
              <w:pStyle w:val="42"/>
              <w:spacing w:before="0" w:beforeAutospacing="0" w:after="0" w:afterAutospacing="0" w:line="420" w:lineRule="atLeast"/>
              <w:jc w:val="center"/>
              <w:rPr>
                <w:rFonts w:hint="eastAsia"/>
                <w:sz w:val="21"/>
                <w:szCs w:val="21"/>
              </w:rPr>
            </w:pPr>
          </w:p>
        </w:tc>
        <w:tc>
          <w:tcPr>
            <w:tcW w:w="1420" w:type="dxa"/>
            <w:vAlign w:val="center"/>
          </w:tcPr>
          <w:p w14:paraId="04230573">
            <w:pPr>
              <w:pStyle w:val="42"/>
              <w:spacing w:before="0" w:beforeAutospacing="0" w:after="0" w:afterAutospacing="0" w:line="420" w:lineRule="atLeast"/>
              <w:jc w:val="center"/>
              <w:rPr>
                <w:rFonts w:hint="eastAsia"/>
                <w:sz w:val="21"/>
                <w:szCs w:val="21"/>
              </w:rPr>
            </w:pPr>
            <w:r>
              <w:rPr>
                <w:rFonts w:hint="eastAsia"/>
                <w:sz w:val="21"/>
                <w:szCs w:val="21"/>
              </w:rPr>
              <w:t>SSD颗粒</w:t>
            </w:r>
          </w:p>
        </w:tc>
        <w:tc>
          <w:tcPr>
            <w:tcW w:w="1421" w:type="dxa"/>
            <w:vAlign w:val="center"/>
          </w:tcPr>
          <w:p w14:paraId="4E94B517">
            <w:pPr>
              <w:pStyle w:val="42"/>
              <w:spacing w:before="0" w:beforeAutospacing="0" w:after="0" w:afterAutospacing="0" w:line="420" w:lineRule="atLeast"/>
              <w:jc w:val="center"/>
              <w:rPr>
                <w:rFonts w:hint="eastAsia"/>
                <w:sz w:val="21"/>
                <w:szCs w:val="21"/>
              </w:rPr>
            </w:pPr>
          </w:p>
        </w:tc>
        <w:tc>
          <w:tcPr>
            <w:tcW w:w="1421" w:type="dxa"/>
            <w:vAlign w:val="center"/>
          </w:tcPr>
          <w:p w14:paraId="39F4028E">
            <w:pPr>
              <w:pStyle w:val="42"/>
              <w:spacing w:before="0" w:beforeAutospacing="0" w:after="0" w:afterAutospacing="0" w:line="420" w:lineRule="atLeast"/>
              <w:jc w:val="center"/>
              <w:rPr>
                <w:rFonts w:hint="eastAsia"/>
                <w:sz w:val="21"/>
                <w:szCs w:val="21"/>
              </w:rPr>
            </w:pPr>
          </w:p>
        </w:tc>
      </w:tr>
      <w:tr w14:paraId="6C83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2B7016A9">
            <w:pPr>
              <w:pStyle w:val="42"/>
              <w:spacing w:before="0" w:beforeAutospacing="0" w:after="0" w:afterAutospacing="0" w:line="420" w:lineRule="atLeast"/>
              <w:jc w:val="center"/>
              <w:rPr>
                <w:rFonts w:hint="eastAsia"/>
                <w:sz w:val="21"/>
                <w:szCs w:val="21"/>
              </w:rPr>
            </w:pPr>
          </w:p>
        </w:tc>
        <w:tc>
          <w:tcPr>
            <w:tcW w:w="1775" w:type="dxa"/>
            <w:vAlign w:val="center"/>
          </w:tcPr>
          <w:p w14:paraId="062210CA">
            <w:pPr>
              <w:pStyle w:val="42"/>
              <w:spacing w:before="0" w:beforeAutospacing="0" w:after="0" w:afterAutospacing="0" w:line="420" w:lineRule="atLeast"/>
              <w:jc w:val="center"/>
              <w:rPr>
                <w:rFonts w:hint="eastAsia"/>
                <w:sz w:val="21"/>
                <w:szCs w:val="21"/>
              </w:rPr>
            </w:pPr>
          </w:p>
        </w:tc>
        <w:tc>
          <w:tcPr>
            <w:tcW w:w="1420" w:type="dxa"/>
            <w:vAlign w:val="center"/>
          </w:tcPr>
          <w:p w14:paraId="63EABC1E">
            <w:pPr>
              <w:pStyle w:val="42"/>
              <w:spacing w:before="0" w:beforeAutospacing="0" w:after="0" w:afterAutospacing="0" w:line="420" w:lineRule="atLeast"/>
              <w:jc w:val="center"/>
              <w:rPr>
                <w:rFonts w:hint="eastAsia"/>
                <w:sz w:val="21"/>
                <w:szCs w:val="21"/>
              </w:rPr>
            </w:pPr>
          </w:p>
        </w:tc>
        <w:tc>
          <w:tcPr>
            <w:tcW w:w="1420" w:type="dxa"/>
            <w:vAlign w:val="center"/>
          </w:tcPr>
          <w:p w14:paraId="3F3FC794">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0CD85C33">
            <w:pPr>
              <w:pStyle w:val="42"/>
              <w:spacing w:before="0" w:beforeAutospacing="0" w:after="0" w:afterAutospacing="0" w:line="420" w:lineRule="atLeast"/>
              <w:jc w:val="center"/>
              <w:rPr>
                <w:rFonts w:hint="eastAsia"/>
                <w:sz w:val="21"/>
                <w:szCs w:val="21"/>
              </w:rPr>
            </w:pPr>
          </w:p>
        </w:tc>
        <w:tc>
          <w:tcPr>
            <w:tcW w:w="1421" w:type="dxa"/>
            <w:vAlign w:val="center"/>
          </w:tcPr>
          <w:p w14:paraId="6355C56D">
            <w:pPr>
              <w:pStyle w:val="42"/>
              <w:spacing w:before="0" w:beforeAutospacing="0" w:after="0" w:afterAutospacing="0" w:line="420" w:lineRule="atLeast"/>
              <w:jc w:val="center"/>
              <w:rPr>
                <w:rFonts w:hint="eastAsia"/>
                <w:sz w:val="21"/>
                <w:szCs w:val="21"/>
              </w:rPr>
            </w:pPr>
          </w:p>
        </w:tc>
      </w:tr>
      <w:tr w14:paraId="5699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16D90A96">
            <w:pPr>
              <w:pStyle w:val="42"/>
              <w:spacing w:before="0" w:beforeAutospacing="0" w:after="0" w:afterAutospacing="0" w:line="420" w:lineRule="atLeast"/>
              <w:jc w:val="center"/>
              <w:rPr>
                <w:rFonts w:hint="eastAsia"/>
                <w:sz w:val="21"/>
                <w:szCs w:val="21"/>
              </w:rPr>
            </w:pPr>
          </w:p>
        </w:tc>
        <w:tc>
          <w:tcPr>
            <w:tcW w:w="1775" w:type="dxa"/>
            <w:vAlign w:val="center"/>
          </w:tcPr>
          <w:p w14:paraId="1F77CB79">
            <w:pPr>
              <w:pStyle w:val="42"/>
              <w:spacing w:before="0" w:beforeAutospacing="0" w:after="0" w:afterAutospacing="0" w:line="420" w:lineRule="atLeast"/>
              <w:jc w:val="center"/>
              <w:rPr>
                <w:rFonts w:hint="eastAsia"/>
                <w:sz w:val="21"/>
                <w:szCs w:val="21"/>
              </w:rPr>
            </w:pPr>
          </w:p>
        </w:tc>
        <w:tc>
          <w:tcPr>
            <w:tcW w:w="1420" w:type="dxa"/>
            <w:vAlign w:val="center"/>
          </w:tcPr>
          <w:p w14:paraId="51C5B686">
            <w:pPr>
              <w:pStyle w:val="42"/>
              <w:spacing w:before="0" w:beforeAutospacing="0" w:after="0" w:afterAutospacing="0" w:line="420" w:lineRule="atLeast"/>
              <w:jc w:val="center"/>
              <w:rPr>
                <w:rFonts w:hint="eastAsia"/>
                <w:sz w:val="21"/>
                <w:szCs w:val="21"/>
              </w:rPr>
            </w:pPr>
          </w:p>
        </w:tc>
        <w:tc>
          <w:tcPr>
            <w:tcW w:w="1420" w:type="dxa"/>
            <w:vAlign w:val="center"/>
          </w:tcPr>
          <w:p w14:paraId="28F81D28">
            <w:pPr>
              <w:pStyle w:val="42"/>
              <w:spacing w:before="0" w:beforeAutospacing="0" w:after="0" w:afterAutospacing="0" w:line="420" w:lineRule="atLeast"/>
              <w:jc w:val="center"/>
              <w:rPr>
                <w:rFonts w:hint="eastAsia"/>
                <w:sz w:val="21"/>
                <w:szCs w:val="21"/>
              </w:rPr>
            </w:pPr>
            <w:r>
              <w:rPr>
                <w:rFonts w:hint="eastAsia"/>
                <w:sz w:val="21"/>
                <w:szCs w:val="21"/>
              </w:rPr>
              <w:t>网卡芯片</w:t>
            </w:r>
          </w:p>
        </w:tc>
        <w:tc>
          <w:tcPr>
            <w:tcW w:w="1421" w:type="dxa"/>
            <w:vAlign w:val="center"/>
          </w:tcPr>
          <w:p w14:paraId="51833F47">
            <w:pPr>
              <w:pStyle w:val="42"/>
              <w:spacing w:before="0" w:beforeAutospacing="0" w:after="0" w:afterAutospacing="0" w:line="420" w:lineRule="atLeast"/>
              <w:jc w:val="center"/>
              <w:rPr>
                <w:rFonts w:hint="eastAsia"/>
                <w:sz w:val="21"/>
                <w:szCs w:val="21"/>
              </w:rPr>
            </w:pPr>
          </w:p>
        </w:tc>
        <w:tc>
          <w:tcPr>
            <w:tcW w:w="1421" w:type="dxa"/>
            <w:vAlign w:val="center"/>
          </w:tcPr>
          <w:p w14:paraId="331F6607">
            <w:pPr>
              <w:pStyle w:val="42"/>
              <w:spacing w:before="0" w:beforeAutospacing="0" w:after="0" w:afterAutospacing="0" w:line="420" w:lineRule="atLeast"/>
              <w:jc w:val="center"/>
              <w:rPr>
                <w:rFonts w:hint="eastAsia"/>
                <w:sz w:val="21"/>
                <w:szCs w:val="21"/>
              </w:rPr>
            </w:pPr>
          </w:p>
        </w:tc>
      </w:tr>
    </w:tbl>
    <w:p w14:paraId="04453D5E">
      <w:pPr>
        <w:pStyle w:val="42"/>
        <w:spacing w:before="900" w:beforeAutospacing="0" w:after="0" w:afterAutospacing="0" w:line="420" w:lineRule="atLeast"/>
        <w:jc w:val="both"/>
        <w:rPr>
          <w:rFonts w:hint="eastAsia"/>
          <w:sz w:val="28"/>
          <w:szCs w:val="28"/>
        </w:rPr>
      </w:pPr>
    </w:p>
    <w:p w14:paraId="6F4FF385">
      <w:pPr>
        <w:pStyle w:val="42"/>
        <w:spacing w:before="900" w:beforeAutospacing="0" w:after="0" w:afterAutospacing="0" w:line="420" w:lineRule="atLeast"/>
        <w:jc w:val="both"/>
        <w:rPr>
          <w:rFonts w:hint="eastAsia"/>
          <w:sz w:val="28"/>
          <w:szCs w:val="28"/>
        </w:rPr>
      </w:pPr>
    </w:p>
    <w:p w14:paraId="693E343E">
      <w:pPr>
        <w:pStyle w:val="42"/>
        <w:spacing w:before="900" w:beforeAutospacing="0" w:after="0" w:afterAutospacing="0" w:line="420" w:lineRule="atLeast"/>
        <w:jc w:val="both"/>
        <w:rPr>
          <w:rFonts w:hint="eastAsia"/>
          <w:sz w:val="28"/>
          <w:szCs w:val="28"/>
        </w:rPr>
      </w:pPr>
    </w:p>
    <w:p w14:paraId="12672357">
      <w:pPr>
        <w:pStyle w:val="42"/>
        <w:spacing w:before="900" w:beforeAutospacing="0" w:after="0" w:afterAutospacing="0" w:line="420" w:lineRule="atLeast"/>
        <w:jc w:val="both"/>
        <w:rPr>
          <w:rFonts w:hint="eastAsia"/>
          <w:sz w:val="28"/>
          <w:szCs w:val="28"/>
        </w:rPr>
      </w:pPr>
    </w:p>
    <w:p w14:paraId="19C37AE7">
      <w:pPr>
        <w:pStyle w:val="42"/>
        <w:spacing w:before="900" w:beforeAutospacing="0" w:after="0" w:afterAutospacing="0" w:line="420" w:lineRule="atLeast"/>
        <w:jc w:val="both"/>
        <w:rPr>
          <w:rFonts w:hint="eastAsia"/>
          <w:sz w:val="28"/>
          <w:szCs w:val="28"/>
        </w:rPr>
      </w:pPr>
    </w:p>
    <w:p w14:paraId="6A85E33D">
      <w:pPr>
        <w:pStyle w:val="42"/>
        <w:spacing w:before="900" w:beforeAutospacing="0" w:after="0" w:afterAutospacing="0" w:line="420" w:lineRule="atLeast"/>
        <w:jc w:val="both"/>
        <w:rPr>
          <w:rFonts w:hint="eastAsia"/>
          <w:sz w:val="28"/>
          <w:szCs w:val="28"/>
        </w:rPr>
      </w:pPr>
    </w:p>
    <w:p w14:paraId="7B4EAF87">
      <w:pPr>
        <w:pStyle w:val="42"/>
        <w:spacing w:before="900" w:beforeAutospacing="0" w:after="0" w:afterAutospacing="0" w:line="420" w:lineRule="atLeast"/>
        <w:jc w:val="both"/>
        <w:rPr>
          <w:rFonts w:hint="eastAsia"/>
          <w:sz w:val="28"/>
          <w:szCs w:val="28"/>
        </w:rPr>
      </w:pPr>
    </w:p>
    <w:p w14:paraId="14B0D66A">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2CE7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5F1E6A76">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34A0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382DA0EF">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66" w:type="dxa"/>
            <w:vAlign w:val="center"/>
          </w:tcPr>
          <w:p w14:paraId="4983BC5A">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66" w:type="dxa"/>
            <w:vAlign w:val="center"/>
          </w:tcPr>
          <w:p w14:paraId="5DDDA621">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66" w:type="dxa"/>
            <w:vAlign w:val="center"/>
          </w:tcPr>
          <w:p w14:paraId="1B3B2D3C">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66" w:type="dxa"/>
            <w:vAlign w:val="center"/>
          </w:tcPr>
          <w:p w14:paraId="48432A31">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516" w:type="dxa"/>
            <w:vAlign w:val="center"/>
          </w:tcPr>
          <w:p w14:paraId="53B67A02">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66" w:type="dxa"/>
            <w:vAlign w:val="center"/>
          </w:tcPr>
          <w:p w14:paraId="1A738143">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66" w:type="dxa"/>
            <w:vAlign w:val="center"/>
          </w:tcPr>
          <w:p w14:paraId="5C329558">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16" w:type="dxa"/>
            <w:vAlign w:val="center"/>
          </w:tcPr>
          <w:p w14:paraId="1B983F0A">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66" w:type="dxa"/>
            <w:vAlign w:val="center"/>
          </w:tcPr>
          <w:p w14:paraId="3AB735F4">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516" w:type="dxa"/>
            <w:vAlign w:val="center"/>
          </w:tcPr>
          <w:p w14:paraId="219DAAE2">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66" w:type="dxa"/>
            <w:vAlign w:val="center"/>
          </w:tcPr>
          <w:p w14:paraId="38B16064">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666" w:type="dxa"/>
            <w:vAlign w:val="center"/>
          </w:tcPr>
          <w:p w14:paraId="07CBB054">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516" w:type="dxa"/>
            <w:vAlign w:val="center"/>
          </w:tcPr>
          <w:p w14:paraId="2C382B62">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66" w:type="dxa"/>
            <w:vAlign w:val="center"/>
          </w:tcPr>
          <w:p w14:paraId="01E5102B">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66" w:type="dxa"/>
            <w:vAlign w:val="center"/>
          </w:tcPr>
          <w:p w14:paraId="4BA9F2A0">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516" w:type="dxa"/>
            <w:vAlign w:val="center"/>
          </w:tcPr>
          <w:p w14:paraId="51CDB606">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66" w:type="dxa"/>
            <w:vAlign w:val="center"/>
          </w:tcPr>
          <w:p w14:paraId="5BCCE31D">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5E31AEB1">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221" w:type="dxa"/>
            <w:vAlign w:val="center"/>
          </w:tcPr>
          <w:p w14:paraId="3307B05E">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221" w:type="dxa"/>
            <w:vAlign w:val="center"/>
          </w:tcPr>
          <w:p w14:paraId="4905C77C">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7DC2C8DE">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5A55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1D54D164">
            <w:pPr>
              <w:pStyle w:val="42"/>
              <w:spacing w:before="0" w:beforeAutospacing="0" w:after="0" w:afterAutospacing="0" w:line="420" w:lineRule="atLeast"/>
              <w:jc w:val="center"/>
              <w:rPr>
                <w:rFonts w:hint="eastAsia"/>
                <w:sz w:val="21"/>
                <w:szCs w:val="21"/>
              </w:rPr>
            </w:pPr>
          </w:p>
        </w:tc>
        <w:tc>
          <w:tcPr>
            <w:tcW w:w="366" w:type="dxa"/>
            <w:vAlign w:val="center"/>
          </w:tcPr>
          <w:p w14:paraId="59F19D54">
            <w:pPr>
              <w:pStyle w:val="42"/>
              <w:spacing w:before="0" w:beforeAutospacing="0" w:after="0" w:afterAutospacing="0" w:line="420" w:lineRule="atLeast"/>
              <w:jc w:val="center"/>
              <w:rPr>
                <w:rFonts w:hint="eastAsia"/>
                <w:sz w:val="21"/>
                <w:szCs w:val="21"/>
              </w:rPr>
            </w:pPr>
          </w:p>
        </w:tc>
        <w:tc>
          <w:tcPr>
            <w:tcW w:w="366" w:type="dxa"/>
            <w:vAlign w:val="center"/>
          </w:tcPr>
          <w:p w14:paraId="252D7B9B">
            <w:pPr>
              <w:pStyle w:val="42"/>
              <w:spacing w:before="0" w:beforeAutospacing="0" w:after="0" w:afterAutospacing="0" w:line="420" w:lineRule="atLeast"/>
              <w:jc w:val="center"/>
              <w:rPr>
                <w:rFonts w:hint="eastAsia"/>
                <w:sz w:val="21"/>
                <w:szCs w:val="21"/>
              </w:rPr>
            </w:pPr>
          </w:p>
        </w:tc>
        <w:tc>
          <w:tcPr>
            <w:tcW w:w="366" w:type="dxa"/>
            <w:vAlign w:val="center"/>
          </w:tcPr>
          <w:p w14:paraId="5CEBA5D9">
            <w:pPr>
              <w:pStyle w:val="42"/>
              <w:spacing w:before="0" w:beforeAutospacing="0" w:after="0" w:afterAutospacing="0" w:line="420" w:lineRule="atLeast"/>
              <w:jc w:val="center"/>
              <w:rPr>
                <w:rFonts w:hint="eastAsia"/>
                <w:sz w:val="21"/>
                <w:szCs w:val="21"/>
              </w:rPr>
            </w:pPr>
          </w:p>
        </w:tc>
        <w:tc>
          <w:tcPr>
            <w:tcW w:w="366" w:type="dxa"/>
            <w:vAlign w:val="center"/>
          </w:tcPr>
          <w:p w14:paraId="57466D0B">
            <w:pPr>
              <w:pStyle w:val="42"/>
              <w:spacing w:before="0" w:beforeAutospacing="0" w:after="0" w:afterAutospacing="0" w:line="420" w:lineRule="atLeast"/>
              <w:jc w:val="center"/>
              <w:rPr>
                <w:rFonts w:hint="eastAsia"/>
                <w:sz w:val="21"/>
                <w:szCs w:val="21"/>
              </w:rPr>
            </w:pPr>
          </w:p>
        </w:tc>
        <w:tc>
          <w:tcPr>
            <w:tcW w:w="516" w:type="dxa"/>
            <w:vAlign w:val="center"/>
          </w:tcPr>
          <w:p w14:paraId="43D21876">
            <w:pPr>
              <w:pStyle w:val="42"/>
              <w:spacing w:before="0" w:beforeAutospacing="0" w:after="0" w:afterAutospacing="0" w:line="420" w:lineRule="atLeast"/>
              <w:jc w:val="center"/>
              <w:rPr>
                <w:rFonts w:hint="eastAsia"/>
                <w:sz w:val="21"/>
                <w:szCs w:val="21"/>
              </w:rPr>
            </w:pPr>
          </w:p>
        </w:tc>
        <w:tc>
          <w:tcPr>
            <w:tcW w:w="366" w:type="dxa"/>
            <w:vAlign w:val="center"/>
          </w:tcPr>
          <w:p w14:paraId="6E013C0F">
            <w:pPr>
              <w:pStyle w:val="42"/>
              <w:spacing w:before="0" w:beforeAutospacing="0" w:after="0" w:afterAutospacing="0" w:line="420" w:lineRule="atLeast"/>
              <w:jc w:val="center"/>
              <w:rPr>
                <w:rFonts w:hint="eastAsia"/>
                <w:sz w:val="21"/>
                <w:szCs w:val="21"/>
              </w:rPr>
            </w:pPr>
          </w:p>
        </w:tc>
        <w:tc>
          <w:tcPr>
            <w:tcW w:w="366" w:type="dxa"/>
            <w:vAlign w:val="center"/>
          </w:tcPr>
          <w:p w14:paraId="4069F972">
            <w:pPr>
              <w:pStyle w:val="42"/>
              <w:spacing w:before="0" w:beforeAutospacing="0" w:after="0" w:afterAutospacing="0" w:line="420" w:lineRule="atLeast"/>
              <w:jc w:val="center"/>
              <w:rPr>
                <w:rFonts w:hint="eastAsia"/>
                <w:sz w:val="21"/>
                <w:szCs w:val="21"/>
              </w:rPr>
            </w:pPr>
          </w:p>
        </w:tc>
        <w:tc>
          <w:tcPr>
            <w:tcW w:w="516" w:type="dxa"/>
            <w:vAlign w:val="center"/>
          </w:tcPr>
          <w:p w14:paraId="3C9356C4">
            <w:pPr>
              <w:pStyle w:val="42"/>
              <w:spacing w:before="0" w:beforeAutospacing="0" w:after="0" w:afterAutospacing="0" w:line="420" w:lineRule="atLeast"/>
              <w:jc w:val="center"/>
              <w:rPr>
                <w:rFonts w:hint="eastAsia"/>
                <w:sz w:val="21"/>
                <w:szCs w:val="21"/>
              </w:rPr>
            </w:pPr>
          </w:p>
        </w:tc>
        <w:tc>
          <w:tcPr>
            <w:tcW w:w="366" w:type="dxa"/>
            <w:vAlign w:val="center"/>
          </w:tcPr>
          <w:p w14:paraId="7B747A8F">
            <w:pPr>
              <w:pStyle w:val="42"/>
              <w:spacing w:before="0" w:beforeAutospacing="0" w:after="0" w:afterAutospacing="0" w:line="420" w:lineRule="atLeast"/>
              <w:jc w:val="center"/>
              <w:rPr>
                <w:rFonts w:hint="eastAsia"/>
                <w:sz w:val="21"/>
                <w:szCs w:val="21"/>
              </w:rPr>
            </w:pPr>
          </w:p>
        </w:tc>
        <w:tc>
          <w:tcPr>
            <w:tcW w:w="516" w:type="dxa"/>
            <w:vAlign w:val="center"/>
          </w:tcPr>
          <w:p w14:paraId="3E8ECC97">
            <w:pPr>
              <w:pStyle w:val="42"/>
              <w:spacing w:before="0" w:beforeAutospacing="0" w:after="0" w:afterAutospacing="0" w:line="420" w:lineRule="atLeast"/>
              <w:jc w:val="center"/>
              <w:rPr>
                <w:rFonts w:hint="eastAsia"/>
                <w:sz w:val="21"/>
                <w:szCs w:val="21"/>
              </w:rPr>
            </w:pPr>
          </w:p>
        </w:tc>
        <w:tc>
          <w:tcPr>
            <w:tcW w:w="366" w:type="dxa"/>
            <w:vAlign w:val="center"/>
          </w:tcPr>
          <w:p w14:paraId="074B9473">
            <w:pPr>
              <w:pStyle w:val="42"/>
              <w:spacing w:before="0" w:beforeAutospacing="0" w:after="0" w:afterAutospacing="0" w:line="420" w:lineRule="atLeast"/>
              <w:jc w:val="center"/>
              <w:rPr>
                <w:rFonts w:hint="eastAsia"/>
                <w:sz w:val="21"/>
                <w:szCs w:val="21"/>
              </w:rPr>
            </w:pPr>
          </w:p>
        </w:tc>
        <w:tc>
          <w:tcPr>
            <w:tcW w:w="666" w:type="dxa"/>
            <w:vAlign w:val="center"/>
          </w:tcPr>
          <w:p w14:paraId="798AC036">
            <w:pPr>
              <w:pStyle w:val="42"/>
              <w:spacing w:before="0" w:beforeAutospacing="0" w:after="0" w:afterAutospacing="0" w:line="420" w:lineRule="atLeast"/>
              <w:jc w:val="center"/>
              <w:rPr>
                <w:rFonts w:hint="eastAsia"/>
                <w:sz w:val="21"/>
                <w:szCs w:val="21"/>
              </w:rPr>
            </w:pPr>
          </w:p>
        </w:tc>
        <w:tc>
          <w:tcPr>
            <w:tcW w:w="516" w:type="dxa"/>
            <w:vAlign w:val="center"/>
          </w:tcPr>
          <w:p w14:paraId="5AFCDFE9">
            <w:pPr>
              <w:pStyle w:val="42"/>
              <w:spacing w:before="0" w:beforeAutospacing="0" w:after="0" w:afterAutospacing="0" w:line="420" w:lineRule="atLeast"/>
              <w:jc w:val="center"/>
              <w:rPr>
                <w:rFonts w:hint="eastAsia"/>
                <w:sz w:val="21"/>
                <w:szCs w:val="21"/>
              </w:rPr>
            </w:pPr>
          </w:p>
        </w:tc>
        <w:tc>
          <w:tcPr>
            <w:tcW w:w="366" w:type="dxa"/>
            <w:vAlign w:val="center"/>
          </w:tcPr>
          <w:p w14:paraId="3226D712">
            <w:pPr>
              <w:pStyle w:val="42"/>
              <w:spacing w:before="0" w:beforeAutospacing="0" w:after="0" w:afterAutospacing="0" w:line="420" w:lineRule="atLeast"/>
              <w:jc w:val="center"/>
              <w:rPr>
                <w:rFonts w:hint="eastAsia"/>
                <w:sz w:val="21"/>
                <w:szCs w:val="21"/>
              </w:rPr>
            </w:pPr>
          </w:p>
        </w:tc>
        <w:tc>
          <w:tcPr>
            <w:tcW w:w="366" w:type="dxa"/>
            <w:vAlign w:val="center"/>
          </w:tcPr>
          <w:p w14:paraId="171596D2">
            <w:pPr>
              <w:pStyle w:val="42"/>
              <w:spacing w:before="0" w:beforeAutospacing="0" w:after="0" w:afterAutospacing="0" w:line="420" w:lineRule="atLeast"/>
              <w:jc w:val="center"/>
              <w:rPr>
                <w:rFonts w:hint="eastAsia"/>
                <w:sz w:val="21"/>
                <w:szCs w:val="21"/>
              </w:rPr>
            </w:pPr>
          </w:p>
        </w:tc>
        <w:tc>
          <w:tcPr>
            <w:tcW w:w="516" w:type="dxa"/>
            <w:vAlign w:val="center"/>
          </w:tcPr>
          <w:p w14:paraId="3247C27E">
            <w:pPr>
              <w:pStyle w:val="42"/>
              <w:spacing w:before="0" w:beforeAutospacing="0" w:after="0" w:afterAutospacing="0" w:line="420" w:lineRule="atLeast"/>
              <w:jc w:val="center"/>
              <w:rPr>
                <w:rFonts w:hint="eastAsia"/>
                <w:sz w:val="21"/>
                <w:szCs w:val="21"/>
              </w:rPr>
            </w:pPr>
          </w:p>
        </w:tc>
        <w:tc>
          <w:tcPr>
            <w:tcW w:w="366" w:type="dxa"/>
            <w:vAlign w:val="center"/>
          </w:tcPr>
          <w:p w14:paraId="05FD2B34">
            <w:pPr>
              <w:pStyle w:val="42"/>
              <w:spacing w:before="0" w:beforeAutospacing="0" w:after="0" w:afterAutospacing="0" w:line="420" w:lineRule="atLeast"/>
              <w:jc w:val="center"/>
              <w:rPr>
                <w:rFonts w:hint="eastAsia"/>
                <w:sz w:val="21"/>
                <w:szCs w:val="21"/>
              </w:rPr>
            </w:pPr>
          </w:p>
        </w:tc>
        <w:tc>
          <w:tcPr>
            <w:tcW w:w="221" w:type="dxa"/>
            <w:vAlign w:val="center"/>
          </w:tcPr>
          <w:p w14:paraId="5C6F0BAF">
            <w:pPr>
              <w:pStyle w:val="42"/>
              <w:spacing w:before="0" w:beforeAutospacing="0" w:after="0" w:afterAutospacing="0" w:line="420" w:lineRule="atLeast"/>
              <w:jc w:val="center"/>
              <w:rPr>
                <w:rFonts w:hint="eastAsia"/>
                <w:sz w:val="21"/>
                <w:szCs w:val="21"/>
              </w:rPr>
            </w:pPr>
          </w:p>
        </w:tc>
        <w:tc>
          <w:tcPr>
            <w:tcW w:w="221" w:type="dxa"/>
            <w:vAlign w:val="center"/>
          </w:tcPr>
          <w:p w14:paraId="2B200F58">
            <w:pPr>
              <w:pStyle w:val="42"/>
              <w:spacing w:before="0" w:beforeAutospacing="0" w:after="0" w:afterAutospacing="0" w:line="420" w:lineRule="atLeast"/>
              <w:jc w:val="center"/>
              <w:rPr>
                <w:rFonts w:hint="eastAsia"/>
                <w:sz w:val="21"/>
                <w:szCs w:val="21"/>
              </w:rPr>
            </w:pPr>
          </w:p>
        </w:tc>
        <w:tc>
          <w:tcPr>
            <w:tcW w:w="221" w:type="dxa"/>
            <w:vAlign w:val="center"/>
          </w:tcPr>
          <w:p w14:paraId="07F9637C">
            <w:pPr>
              <w:pStyle w:val="42"/>
              <w:spacing w:before="0" w:beforeAutospacing="0" w:after="0" w:afterAutospacing="0" w:line="420" w:lineRule="atLeast"/>
              <w:jc w:val="center"/>
              <w:rPr>
                <w:rFonts w:hint="eastAsia"/>
                <w:sz w:val="21"/>
                <w:szCs w:val="21"/>
              </w:rPr>
            </w:pPr>
          </w:p>
        </w:tc>
        <w:tc>
          <w:tcPr>
            <w:tcW w:w="221" w:type="dxa"/>
            <w:vAlign w:val="center"/>
          </w:tcPr>
          <w:p w14:paraId="056A4E96">
            <w:pPr>
              <w:pStyle w:val="42"/>
              <w:spacing w:before="0" w:beforeAutospacing="0" w:after="0" w:afterAutospacing="0" w:line="420" w:lineRule="atLeast"/>
              <w:jc w:val="center"/>
              <w:rPr>
                <w:rFonts w:hint="eastAsia"/>
                <w:sz w:val="21"/>
                <w:szCs w:val="21"/>
              </w:rPr>
            </w:pPr>
          </w:p>
        </w:tc>
      </w:tr>
      <w:tr w14:paraId="33BF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1F697F1C">
            <w:pPr>
              <w:pStyle w:val="42"/>
              <w:spacing w:before="0" w:beforeAutospacing="0" w:after="0" w:afterAutospacing="0" w:line="420" w:lineRule="atLeast"/>
              <w:jc w:val="center"/>
              <w:rPr>
                <w:rFonts w:hint="eastAsia"/>
                <w:sz w:val="21"/>
                <w:szCs w:val="21"/>
              </w:rPr>
            </w:pPr>
          </w:p>
        </w:tc>
        <w:tc>
          <w:tcPr>
            <w:tcW w:w="366" w:type="dxa"/>
            <w:vAlign w:val="center"/>
          </w:tcPr>
          <w:p w14:paraId="2D3E21FA">
            <w:pPr>
              <w:pStyle w:val="42"/>
              <w:spacing w:before="0" w:beforeAutospacing="0" w:after="0" w:afterAutospacing="0" w:line="420" w:lineRule="atLeast"/>
              <w:jc w:val="center"/>
              <w:rPr>
                <w:rFonts w:hint="eastAsia"/>
                <w:sz w:val="21"/>
                <w:szCs w:val="21"/>
              </w:rPr>
            </w:pPr>
          </w:p>
        </w:tc>
        <w:tc>
          <w:tcPr>
            <w:tcW w:w="366" w:type="dxa"/>
            <w:vAlign w:val="center"/>
          </w:tcPr>
          <w:p w14:paraId="43AA2E44">
            <w:pPr>
              <w:pStyle w:val="42"/>
              <w:spacing w:before="0" w:beforeAutospacing="0" w:after="0" w:afterAutospacing="0" w:line="420" w:lineRule="atLeast"/>
              <w:jc w:val="center"/>
              <w:rPr>
                <w:rFonts w:hint="eastAsia"/>
                <w:sz w:val="21"/>
                <w:szCs w:val="21"/>
              </w:rPr>
            </w:pPr>
          </w:p>
        </w:tc>
        <w:tc>
          <w:tcPr>
            <w:tcW w:w="366" w:type="dxa"/>
            <w:vAlign w:val="center"/>
          </w:tcPr>
          <w:p w14:paraId="72BDB440">
            <w:pPr>
              <w:pStyle w:val="42"/>
              <w:spacing w:before="0" w:beforeAutospacing="0" w:after="0" w:afterAutospacing="0" w:line="420" w:lineRule="atLeast"/>
              <w:jc w:val="center"/>
              <w:rPr>
                <w:rFonts w:hint="eastAsia"/>
                <w:sz w:val="21"/>
                <w:szCs w:val="21"/>
              </w:rPr>
            </w:pPr>
          </w:p>
        </w:tc>
        <w:tc>
          <w:tcPr>
            <w:tcW w:w="366" w:type="dxa"/>
            <w:vAlign w:val="center"/>
          </w:tcPr>
          <w:p w14:paraId="72B8FB60">
            <w:pPr>
              <w:pStyle w:val="42"/>
              <w:spacing w:before="0" w:beforeAutospacing="0" w:after="0" w:afterAutospacing="0" w:line="420" w:lineRule="atLeast"/>
              <w:jc w:val="center"/>
              <w:rPr>
                <w:rFonts w:hint="eastAsia"/>
                <w:sz w:val="21"/>
                <w:szCs w:val="21"/>
              </w:rPr>
            </w:pPr>
          </w:p>
        </w:tc>
        <w:tc>
          <w:tcPr>
            <w:tcW w:w="516" w:type="dxa"/>
            <w:vAlign w:val="center"/>
          </w:tcPr>
          <w:p w14:paraId="3D908318">
            <w:pPr>
              <w:pStyle w:val="42"/>
              <w:spacing w:before="0" w:beforeAutospacing="0" w:after="0" w:afterAutospacing="0" w:line="420" w:lineRule="atLeast"/>
              <w:jc w:val="center"/>
              <w:rPr>
                <w:rFonts w:hint="eastAsia"/>
                <w:sz w:val="21"/>
                <w:szCs w:val="21"/>
              </w:rPr>
            </w:pPr>
          </w:p>
        </w:tc>
        <w:tc>
          <w:tcPr>
            <w:tcW w:w="366" w:type="dxa"/>
            <w:vAlign w:val="center"/>
          </w:tcPr>
          <w:p w14:paraId="6C01F4E0">
            <w:pPr>
              <w:pStyle w:val="42"/>
              <w:spacing w:before="0" w:beforeAutospacing="0" w:after="0" w:afterAutospacing="0" w:line="420" w:lineRule="atLeast"/>
              <w:jc w:val="center"/>
              <w:rPr>
                <w:rFonts w:hint="eastAsia"/>
                <w:sz w:val="21"/>
                <w:szCs w:val="21"/>
              </w:rPr>
            </w:pPr>
          </w:p>
        </w:tc>
        <w:tc>
          <w:tcPr>
            <w:tcW w:w="366" w:type="dxa"/>
            <w:vAlign w:val="center"/>
          </w:tcPr>
          <w:p w14:paraId="221C2851">
            <w:pPr>
              <w:pStyle w:val="42"/>
              <w:spacing w:before="0" w:beforeAutospacing="0" w:after="0" w:afterAutospacing="0" w:line="420" w:lineRule="atLeast"/>
              <w:jc w:val="center"/>
              <w:rPr>
                <w:rFonts w:hint="eastAsia"/>
                <w:sz w:val="21"/>
                <w:szCs w:val="21"/>
              </w:rPr>
            </w:pPr>
          </w:p>
        </w:tc>
        <w:tc>
          <w:tcPr>
            <w:tcW w:w="516" w:type="dxa"/>
            <w:vAlign w:val="center"/>
          </w:tcPr>
          <w:p w14:paraId="2D43777B">
            <w:pPr>
              <w:pStyle w:val="42"/>
              <w:spacing w:before="0" w:beforeAutospacing="0" w:after="0" w:afterAutospacing="0" w:line="420" w:lineRule="atLeast"/>
              <w:jc w:val="center"/>
              <w:rPr>
                <w:rFonts w:hint="eastAsia"/>
                <w:sz w:val="21"/>
                <w:szCs w:val="21"/>
              </w:rPr>
            </w:pPr>
          </w:p>
        </w:tc>
        <w:tc>
          <w:tcPr>
            <w:tcW w:w="366" w:type="dxa"/>
            <w:vAlign w:val="center"/>
          </w:tcPr>
          <w:p w14:paraId="104B6B2D">
            <w:pPr>
              <w:pStyle w:val="42"/>
              <w:spacing w:before="0" w:beforeAutospacing="0" w:after="0" w:afterAutospacing="0" w:line="420" w:lineRule="atLeast"/>
              <w:jc w:val="center"/>
              <w:rPr>
                <w:rFonts w:hint="eastAsia"/>
                <w:sz w:val="21"/>
                <w:szCs w:val="21"/>
              </w:rPr>
            </w:pPr>
          </w:p>
        </w:tc>
        <w:tc>
          <w:tcPr>
            <w:tcW w:w="516" w:type="dxa"/>
            <w:vAlign w:val="center"/>
          </w:tcPr>
          <w:p w14:paraId="385B4762">
            <w:pPr>
              <w:pStyle w:val="42"/>
              <w:spacing w:before="0" w:beforeAutospacing="0" w:after="0" w:afterAutospacing="0" w:line="420" w:lineRule="atLeast"/>
              <w:jc w:val="center"/>
              <w:rPr>
                <w:rFonts w:hint="eastAsia"/>
                <w:sz w:val="21"/>
                <w:szCs w:val="21"/>
              </w:rPr>
            </w:pPr>
          </w:p>
        </w:tc>
        <w:tc>
          <w:tcPr>
            <w:tcW w:w="366" w:type="dxa"/>
            <w:vAlign w:val="center"/>
          </w:tcPr>
          <w:p w14:paraId="20CE509F">
            <w:pPr>
              <w:pStyle w:val="42"/>
              <w:spacing w:before="0" w:beforeAutospacing="0" w:after="0" w:afterAutospacing="0" w:line="420" w:lineRule="atLeast"/>
              <w:jc w:val="center"/>
              <w:rPr>
                <w:rFonts w:hint="eastAsia"/>
                <w:sz w:val="21"/>
                <w:szCs w:val="21"/>
              </w:rPr>
            </w:pPr>
          </w:p>
        </w:tc>
        <w:tc>
          <w:tcPr>
            <w:tcW w:w="666" w:type="dxa"/>
            <w:vAlign w:val="center"/>
          </w:tcPr>
          <w:p w14:paraId="25F7AB52">
            <w:pPr>
              <w:pStyle w:val="42"/>
              <w:spacing w:before="0" w:beforeAutospacing="0" w:after="0" w:afterAutospacing="0" w:line="420" w:lineRule="atLeast"/>
              <w:jc w:val="center"/>
              <w:rPr>
                <w:rFonts w:hint="eastAsia"/>
                <w:sz w:val="21"/>
                <w:szCs w:val="21"/>
              </w:rPr>
            </w:pPr>
          </w:p>
        </w:tc>
        <w:tc>
          <w:tcPr>
            <w:tcW w:w="516" w:type="dxa"/>
            <w:vAlign w:val="center"/>
          </w:tcPr>
          <w:p w14:paraId="29742E2D">
            <w:pPr>
              <w:pStyle w:val="42"/>
              <w:spacing w:before="0" w:beforeAutospacing="0" w:after="0" w:afterAutospacing="0" w:line="420" w:lineRule="atLeast"/>
              <w:jc w:val="center"/>
              <w:rPr>
                <w:rFonts w:hint="eastAsia"/>
                <w:sz w:val="21"/>
                <w:szCs w:val="21"/>
              </w:rPr>
            </w:pPr>
          </w:p>
        </w:tc>
        <w:tc>
          <w:tcPr>
            <w:tcW w:w="366" w:type="dxa"/>
            <w:vAlign w:val="center"/>
          </w:tcPr>
          <w:p w14:paraId="691C2F77">
            <w:pPr>
              <w:pStyle w:val="42"/>
              <w:spacing w:before="0" w:beforeAutospacing="0" w:after="0" w:afterAutospacing="0" w:line="420" w:lineRule="atLeast"/>
              <w:jc w:val="center"/>
              <w:rPr>
                <w:rFonts w:hint="eastAsia"/>
                <w:sz w:val="21"/>
                <w:szCs w:val="21"/>
              </w:rPr>
            </w:pPr>
          </w:p>
        </w:tc>
        <w:tc>
          <w:tcPr>
            <w:tcW w:w="366" w:type="dxa"/>
            <w:vAlign w:val="center"/>
          </w:tcPr>
          <w:p w14:paraId="7955CE21">
            <w:pPr>
              <w:pStyle w:val="42"/>
              <w:spacing w:before="0" w:beforeAutospacing="0" w:after="0" w:afterAutospacing="0" w:line="420" w:lineRule="atLeast"/>
              <w:jc w:val="center"/>
              <w:rPr>
                <w:rFonts w:hint="eastAsia"/>
                <w:sz w:val="21"/>
                <w:szCs w:val="21"/>
              </w:rPr>
            </w:pPr>
          </w:p>
        </w:tc>
        <w:tc>
          <w:tcPr>
            <w:tcW w:w="516" w:type="dxa"/>
            <w:vAlign w:val="center"/>
          </w:tcPr>
          <w:p w14:paraId="6BD1C963">
            <w:pPr>
              <w:pStyle w:val="42"/>
              <w:spacing w:before="0" w:beforeAutospacing="0" w:after="0" w:afterAutospacing="0" w:line="420" w:lineRule="atLeast"/>
              <w:jc w:val="center"/>
              <w:rPr>
                <w:rFonts w:hint="eastAsia"/>
                <w:sz w:val="21"/>
                <w:szCs w:val="21"/>
              </w:rPr>
            </w:pPr>
          </w:p>
        </w:tc>
        <w:tc>
          <w:tcPr>
            <w:tcW w:w="366" w:type="dxa"/>
            <w:vAlign w:val="center"/>
          </w:tcPr>
          <w:p w14:paraId="6A27CF7A">
            <w:pPr>
              <w:pStyle w:val="42"/>
              <w:spacing w:before="0" w:beforeAutospacing="0" w:after="0" w:afterAutospacing="0" w:line="420" w:lineRule="atLeast"/>
              <w:jc w:val="center"/>
              <w:rPr>
                <w:rFonts w:hint="eastAsia"/>
                <w:sz w:val="21"/>
                <w:szCs w:val="21"/>
              </w:rPr>
            </w:pPr>
          </w:p>
        </w:tc>
        <w:tc>
          <w:tcPr>
            <w:tcW w:w="221" w:type="dxa"/>
            <w:vAlign w:val="center"/>
          </w:tcPr>
          <w:p w14:paraId="144F668C">
            <w:pPr>
              <w:pStyle w:val="42"/>
              <w:spacing w:before="0" w:beforeAutospacing="0" w:after="0" w:afterAutospacing="0" w:line="420" w:lineRule="atLeast"/>
              <w:jc w:val="center"/>
              <w:rPr>
                <w:rFonts w:hint="eastAsia"/>
                <w:sz w:val="21"/>
                <w:szCs w:val="21"/>
              </w:rPr>
            </w:pPr>
          </w:p>
        </w:tc>
        <w:tc>
          <w:tcPr>
            <w:tcW w:w="221" w:type="dxa"/>
            <w:vAlign w:val="center"/>
          </w:tcPr>
          <w:p w14:paraId="451DB990">
            <w:pPr>
              <w:pStyle w:val="42"/>
              <w:spacing w:before="0" w:beforeAutospacing="0" w:after="0" w:afterAutospacing="0" w:line="420" w:lineRule="atLeast"/>
              <w:jc w:val="center"/>
              <w:rPr>
                <w:rFonts w:hint="eastAsia"/>
                <w:sz w:val="21"/>
                <w:szCs w:val="21"/>
              </w:rPr>
            </w:pPr>
          </w:p>
        </w:tc>
        <w:tc>
          <w:tcPr>
            <w:tcW w:w="221" w:type="dxa"/>
            <w:vAlign w:val="center"/>
          </w:tcPr>
          <w:p w14:paraId="2064A5B4">
            <w:pPr>
              <w:pStyle w:val="42"/>
              <w:spacing w:before="0" w:beforeAutospacing="0" w:after="0" w:afterAutospacing="0" w:line="420" w:lineRule="atLeast"/>
              <w:jc w:val="center"/>
              <w:rPr>
                <w:rFonts w:hint="eastAsia"/>
                <w:sz w:val="21"/>
                <w:szCs w:val="21"/>
              </w:rPr>
            </w:pPr>
          </w:p>
        </w:tc>
        <w:tc>
          <w:tcPr>
            <w:tcW w:w="221" w:type="dxa"/>
            <w:vAlign w:val="center"/>
          </w:tcPr>
          <w:p w14:paraId="50359C71">
            <w:pPr>
              <w:pStyle w:val="42"/>
              <w:spacing w:before="0" w:beforeAutospacing="0" w:after="0" w:afterAutospacing="0" w:line="420" w:lineRule="atLeast"/>
              <w:jc w:val="center"/>
              <w:rPr>
                <w:rFonts w:hint="eastAsia"/>
                <w:sz w:val="21"/>
                <w:szCs w:val="21"/>
              </w:rPr>
            </w:pPr>
          </w:p>
        </w:tc>
      </w:tr>
    </w:tbl>
    <w:p w14:paraId="54E28A41">
      <w:pPr>
        <w:pStyle w:val="42"/>
        <w:spacing w:before="0" w:beforeAutospacing="0" w:after="0" w:afterAutospacing="0" w:line="420" w:lineRule="atLeast"/>
        <w:jc w:val="both"/>
        <w:rPr>
          <w:rFonts w:hint="eastAsia"/>
          <w:sz w:val="21"/>
          <w:szCs w:val="21"/>
        </w:rPr>
      </w:pPr>
    </w:p>
    <w:p w14:paraId="11DECD16">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2B6E86EE">
      <w:pPr>
        <w:jc w:val="center"/>
        <w:rPr>
          <w:rFonts w:hint="eastAsia" w:ascii="微软雅黑" w:hAnsi="微软雅黑" w:eastAsia="微软雅黑" w:cs="微软雅黑"/>
          <w:sz w:val="22"/>
          <w:szCs w:val="22"/>
          <w:u w:val="single"/>
        </w:rPr>
      </w:pPr>
      <w:r>
        <w:rPr>
          <w:rFonts w:hint="eastAsia" w:ascii="微软雅黑" w:hAnsi="微软雅黑" w:eastAsia="微软雅黑" w:cs="微软雅黑"/>
          <w:sz w:val="22"/>
          <w:szCs w:val="22"/>
          <w:u w:val="single"/>
        </w:rPr>
        <w:br w:type="page"/>
      </w:r>
    </w:p>
    <w:p w14:paraId="4A3B2C4E">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64E3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5B1F8FFD">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6642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123F4EE3">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21C20D0B">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2C7B29C7">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0BFE7569">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3BEB06E0">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42738F06">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3DCC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285632EE">
            <w:pPr>
              <w:pStyle w:val="42"/>
              <w:spacing w:before="0" w:beforeAutospacing="0" w:after="0" w:afterAutospacing="0" w:line="420" w:lineRule="atLeast"/>
              <w:jc w:val="both"/>
              <w:rPr>
                <w:rFonts w:hint="eastAsia"/>
                <w:sz w:val="21"/>
                <w:szCs w:val="21"/>
              </w:rPr>
            </w:pPr>
            <w:r>
              <w:rPr>
                <w:rFonts w:hint="eastAsia"/>
                <w:sz w:val="21"/>
                <w:szCs w:val="21"/>
              </w:rPr>
              <w:t>XX口SAN交换机（XX档）</w:t>
            </w:r>
          </w:p>
        </w:tc>
        <w:tc>
          <w:tcPr>
            <w:tcW w:w="1775" w:type="dxa"/>
            <w:vAlign w:val="center"/>
          </w:tcPr>
          <w:p w14:paraId="0DEC961A">
            <w:pPr>
              <w:pStyle w:val="42"/>
              <w:spacing w:before="0" w:beforeAutospacing="0" w:after="0" w:afterAutospacing="0" w:line="420" w:lineRule="atLeast"/>
              <w:jc w:val="center"/>
              <w:rPr>
                <w:rFonts w:hint="eastAsia"/>
                <w:sz w:val="21"/>
                <w:szCs w:val="21"/>
              </w:rPr>
            </w:pPr>
          </w:p>
        </w:tc>
        <w:tc>
          <w:tcPr>
            <w:tcW w:w="1420" w:type="dxa"/>
            <w:vAlign w:val="center"/>
          </w:tcPr>
          <w:p w14:paraId="48471B6B">
            <w:pPr>
              <w:pStyle w:val="42"/>
              <w:spacing w:before="0" w:beforeAutospacing="0" w:after="0" w:afterAutospacing="0" w:line="420" w:lineRule="atLeast"/>
              <w:jc w:val="center"/>
              <w:rPr>
                <w:rFonts w:hint="eastAsia"/>
                <w:sz w:val="21"/>
                <w:szCs w:val="21"/>
              </w:rPr>
            </w:pPr>
          </w:p>
        </w:tc>
        <w:tc>
          <w:tcPr>
            <w:tcW w:w="1420" w:type="dxa"/>
            <w:vAlign w:val="center"/>
          </w:tcPr>
          <w:p w14:paraId="6AF3A5A5">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2026999D">
            <w:pPr>
              <w:pStyle w:val="42"/>
              <w:spacing w:before="0" w:beforeAutospacing="0" w:after="0" w:afterAutospacing="0" w:line="420" w:lineRule="atLeast"/>
              <w:jc w:val="center"/>
              <w:rPr>
                <w:rFonts w:hint="eastAsia"/>
                <w:sz w:val="21"/>
                <w:szCs w:val="21"/>
              </w:rPr>
            </w:pPr>
          </w:p>
        </w:tc>
        <w:tc>
          <w:tcPr>
            <w:tcW w:w="1421" w:type="dxa"/>
            <w:vAlign w:val="center"/>
          </w:tcPr>
          <w:p w14:paraId="03DFDA74">
            <w:pPr>
              <w:pStyle w:val="42"/>
              <w:spacing w:before="0" w:beforeAutospacing="0" w:after="0" w:afterAutospacing="0" w:line="420" w:lineRule="atLeast"/>
              <w:jc w:val="center"/>
              <w:rPr>
                <w:rFonts w:hint="eastAsia"/>
                <w:sz w:val="21"/>
                <w:szCs w:val="21"/>
              </w:rPr>
            </w:pPr>
          </w:p>
        </w:tc>
      </w:tr>
      <w:tr w14:paraId="1B68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62A795C4">
            <w:pPr>
              <w:pStyle w:val="42"/>
              <w:spacing w:before="0" w:beforeAutospacing="0" w:after="0" w:afterAutospacing="0" w:line="420" w:lineRule="atLeast"/>
              <w:jc w:val="center"/>
              <w:rPr>
                <w:rFonts w:hint="eastAsia"/>
                <w:sz w:val="21"/>
                <w:szCs w:val="21"/>
              </w:rPr>
            </w:pPr>
          </w:p>
        </w:tc>
        <w:tc>
          <w:tcPr>
            <w:tcW w:w="1775" w:type="dxa"/>
            <w:vAlign w:val="center"/>
          </w:tcPr>
          <w:p w14:paraId="52295EC3">
            <w:pPr>
              <w:pStyle w:val="42"/>
              <w:spacing w:before="0" w:beforeAutospacing="0" w:after="0" w:afterAutospacing="0" w:line="420" w:lineRule="atLeast"/>
              <w:jc w:val="center"/>
              <w:rPr>
                <w:rFonts w:hint="eastAsia"/>
                <w:sz w:val="21"/>
                <w:szCs w:val="21"/>
              </w:rPr>
            </w:pPr>
          </w:p>
        </w:tc>
        <w:tc>
          <w:tcPr>
            <w:tcW w:w="1420" w:type="dxa"/>
            <w:vAlign w:val="center"/>
          </w:tcPr>
          <w:p w14:paraId="18254186">
            <w:pPr>
              <w:pStyle w:val="42"/>
              <w:spacing w:before="0" w:beforeAutospacing="0" w:after="0" w:afterAutospacing="0" w:line="420" w:lineRule="atLeast"/>
              <w:jc w:val="center"/>
              <w:rPr>
                <w:rFonts w:hint="eastAsia"/>
                <w:sz w:val="21"/>
                <w:szCs w:val="21"/>
              </w:rPr>
            </w:pPr>
          </w:p>
        </w:tc>
        <w:tc>
          <w:tcPr>
            <w:tcW w:w="1420" w:type="dxa"/>
            <w:vAlign w:val="center"/>
          </w:tcPr>
          <w:p w14:paraId="684F6D9F">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4A2D5297">
            <w:pPr>
              <w:pStyle w:val="42"/>
              <w:spacing w:before="0" w:beforeAutospacing="0" w:after="0" w:afterAutospacing="0" w:line="420" w:lineRule="atLeast"/>
              <w:jc w:val="center"/>
              <w:rPr>
                <w:rFonts w:hint="eastAsia"/>
                <w:sz w:val="21"/>
                <w:szCs w:val="21"/>
              </w:rPr>
            </w:pPr>
          </w:p>
        </w:tc>
        <w:tc>
          <w:tcPr>
            <w:tcW w:w="1421" w:type="dxa"/>
            <w:vAlign w:val="center"/>
          </w:tcPr>
          <w:p w14:paraId="47C63EED">
            <w:pPr>
              <w:pStyle w:val="42"/>
              <w:spacing w:before="0" w:beforeAutospacing="0" w:after="0" w:afterAutospacing="0" w:line="420" w:lineRule="atLeast"/>
              <w:jc w:val="center"/>
              <w:rPr>
                <w:rFonts w:hint="eastAsia"/>
                <w:sz w:val="21"/>
                <w:szCs w:val="21"/>
              </w:rPr>
            </w:pPr>
          </w:p>
        </w:tc>
      </w:tr>
      <w:tr w14:paraId="77A30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20D80D0E">
            <w:pPr>
              <w:pStyle w:val="42"/>
              <w:spacing w:before="0" w:beforeAutospacing="0" w:after="0" w:afterAutospacing="0" w:line="420" w:lineRule="atLeast"/>
              <w:jc w:val="center"/>
              <w:rPr>
                <w:rFonts w:hint="eastAsia"/>
                <w:sz w:val="21"/>
                <w:szCs w:val="21"/>
              </w:rPr>
            </w:pPr>
          </w:p>
        </w:tc>
        <w:tc>
          <w:tcPr>
            <w:tcW w:w="1775" w:type="dxa"/>
            <w:vAlign w:val="center"/>
          </w:tcPr>
          <w:p w14:paraId="1B798377">
            <w:pPr>
              <w:pStyle w:val="42"/>
              <w:spacing w:before="0" w:beforeAutospacing="0" w:after="0" w:afterAutospacing="0" w:line="420" w:lineRule="atLeast"/>
              <w:jc w:val="center"/>
              <w:rPr>
                <w:rFonts w:hint="eastAsia"/>
                <w:sz w:val="21"/>
                <w:szCs w:val="21"/>
              </w:rPr>
            </w:pPr>
          </w:p>
        </w:tc>
        <w:tc>
          <w:tcPr>
            <w:tcW w:w="1420" w:type="dxa"/>
            <w:vAlign w:val="center"/>
          </w:tcPr>
          <w:p w14:paraId="1FB53A9C">
            <w:pPr>
              <w:pStyle w:val="42"/>
              <w:spacing w:before="0" w:beforeAutospacing="0" w:after="0" w:afterAutospacing="0" w:line="420" w:lineRule="atLeast"/>
              <w:jc w:val="center"/>
              <w:rPr>
                <w:rFonts w:hint="eastAsia"/>
                <w:sz w:val="21"/>
                <w:szCs w:val="21"/>
              </w:rPr>
            </w:pPr>
          </w:p>
        </w:tc>
        <w:tc>
          <w:tcPr>
            <w:tcW w:w="1420" w:type="dxa"/>
            <w:vAlign w:val="center"/>
          </w:tcPr>
          <w:p w14:paraId="06962600">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493C91BC">
            <w:pPr>
              <w:pStyle w:val="42"/>
              <w:spacing w:before="0" w:beforeAutospacing="0" w:after="0" w:afterAutospacing="0" w:line="420" w:lineRule="atLeast"/>
              <w:jc w:val="center"/>
              <w:rPr>
                <w:rFonts w:hint="eastAsia"/>
                <w:sz w:val="21"/>
                <w:szCs w:val="21"/>
              </w:rPr>
            </w:pPr>
          </w:p>
        </w:tc>
        <w:tc>
          <w:tcPr>
            <w:tcW w:w="1421" w:type="dxa"/>
            <w:vAlign w:val="center"/>
          </w:tcPr>
          <w:p w14:paraId="33AFBAEE">
            <w:pPr>
              <w:pStyle w:val="42"/>
              <w:spacing w:before="0" w:beforeAutospacing="0" w:after="0" w:afterAutospacing="0" w:line="420" w:lineRule="atLeast"/>
              <w:jc w:val="center"/>
              <w:rPr>
                <w:rFonts w:hint="eastAsia"/>
                <w:sz w:val="21"/>
                <w:szCs w:val="21"/>
              </w:rPr>
            </w:pPr>
          </w:p>
        </w:tc>
      </w:tr>
      <w:tr w14:paraId="4F44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44C10EFC">
            <w:pPr>
              <w:pStyle w:val="42"/>
              <w:spacing w:before="0" w:beforeAutospacing="0" w:after="0" w:afterAutospacing="0" w:line="420" w:lineRule="atLeast"/>
              <w:jc w:val="center"/>
              <w:rPr>
                <w:rFonts w:hint="eastAsia"/>
                <w:sz w:val="21"/>
                <w:szCs w:val="21"/>
              </w:rPr>
            </w:pPr>
          </w:p>
        </w:tc>
        <w:tc>
          <w:tcPr>
            <w:tcW w:w="1775" w:type="dxa"/>
            <w:vAlign w:val="center"/>
          </w:tcPr>
          <w:p w14:paraId="3D68A872">
            <w:pPr>
              <w:pStyle w:val="42"/>
              <w:spacing w:before="0" w:beforeAutospacing="0" w:after="0" w:afterAutospacing="0" w:line="420" w:lineRule="atLeast"/>
              <w:jc w:val="center"/>
              <w:rPr>
                <w:rFonts w:hint="eastAsia"/>
                <w:sz w:val="21"/>
                <w:szCs w:val="21"/>
              </w:rPr>
            </w:pPr>
          </w:p>
        </w:tc>
        <w:tc>
          <w:tcPr>
            <w:tcW w:w="1420" w:type="dxa"/>
            <w:vAlign w:val="center"/>
          </w:tcPr>
          <w:p w14:paraId="73130184">
            <w:pPr>
              <w:pStyle w:val="42"/>
              <w:spacing w:before="0" w:beforeAutospacing="0" w:after="0" w:afterAutospacing="0" w:line="420" w:lineRule="atLeast"/>
              <w:jc w:val="center"/>
              <w:rPr>
                <w:rFonts w:hint="eastAsia"/>
                <w:sz w:val="21"/>
                <w:szCs w:val="21"/>
              </w:rPr>
            </w:pPr>
          </w:p>
        </w:tc>
        <w:tc>
          <w:tcPr>
            <w:tcW w:w="1420" w:type="dxa"/>
            <w:vAlign w:val="center"/>
          </w:tcPr>
          <w:p w14:paraId="3B2E1891">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72715701">
            <w:pPr>
              <w:pStyle w:val="42"/>
              <w:spacing w:before="0" w:beforeAutospacing="0" w:after="0" w:afterAutospacing="0" w:line="420" w:lineRule="atLeast"/>
              <w:jc w:val="center"/>
              <w:rPr>
                <w:rFonts w:hint="eastAsia"/>
                <w:sz w:val="21"/>
                <w:szCs w:val="21"/>
              </w:rPr>
            </w:pPr>
          </w:p>
        </w:tc>
        <w:tc>
          <w:tcPr>
            <w:tcW w:w="1421" w:type="dxa"/>
            <w:vAlign w:val="center"/>
          </w:tcPr>
          <w:p w14:paraId="0123A386">
            <w:pPr>
              <w:pStyle w:val="42"/>
              <w:spacing w:before="0" w:beforeAutospacing="0" w:after="0" w:afterAutospacing="0" w:line="420" w:lineRule="atLeast"/>
              <w:jc w:val="center"/>
              <w:rPr>
                <w:rFonts w:hint="eastAsia"/>
                <w:sz w:val="21"/>
                <w:szCs w:val="21"/>
              </w:rPr>
            </w:pPr>
          </w:p>
        </w:tc>
      </w:tr>
    </w:tbl>
    <w:p w14:paraId="24B8764F">
      <w:pPr>
        <w:pStyle w:val="42"/>
        <w:spacing w:before="900" w:beforeAutospacing="0" w:after="0" w:afterAutospacing="0" w:line="420" w:lineRule="atLeast"/>
        <w:jc w:val="both"/>
        <w:rPr>
          <w:rFonts w:hint="eastAsia"/>
          <w:sz w:val="28"/>
          <w:szCs w:val="28"/>
        </w:rPr>
      </w:pPr>
    </w:p>
    <w:p w14:paraId="539F895E">
      <w:pPr>
        <w:pStyle w:val="42"/>
        <w:spacing w:before="900" w:beforeAutospacing="0" w:after="0" w:afterAutospacing="0" w:line="420" w:lineRule="atLeast"/>
        <w:jc w:val="both"/>
        <w:rPr>
          <w:rFonts w:hint="eastAsia"/>
          <w:sz w:val="28"/>
          <w:szCs w:val="28"/>
        </w:rPr>
      </w:pPr>
    </w:p>
    <w:p w14:paraId="2A65BEBB">
      <w:pPr>
        <w:pStyle w:val="42"/>
        <w:spacing w:before="900" w:beforeAutospacing="0" w:after="0" w:afterAutospacing="0" w:line="420" w:lineRule="atLeast"/>
        <w:jc w:val="both"/>
        <w:rPr>
          <w:rFonts w:hint="eastAsia"/>
          <w:sz w:val="28"/>
          <w:szCs w:val="28"/>
        </w:rPr>
      </w:pPr>
    </w:p>
    <w:p w14:paraId="1C52CEC6">
      <w:pPr>
        <w:pStyle w:val="42"/>
        <w:spacing w:before="900" w:beforeAutospacing="0" w:after="0" w:afterAutospacing="0" w:line="420" w:lineRule="atLeast"/>
        <w:jc w:val="both"/>
        <w:rPr>
          <w:rFonts w:hint="eastAsia"/>
          <w:sz w:val="28"/>
          <w:szCs w:val="28"/>
        </w:rPr>
      </w:pPr>
    </w:p>
    <w:p w14:paraId="2FD3364E">
      <w:pPr>
        <w:pStyle w:val="42"/>
        <w:spacing w:before="900" w:beforeAutospacing="0" w:after="0" w:afterAutospacing="0" w:line="420" w:lineRule="atLeast"/>
        <w:jc w:val="both"/>
        <w:rPr>
          <w:rFonts w:hint="eastAsia"/>
          <w:sz w:val="28"/>
          <w:szCs w:val="28"/>
        </w:rPr>
      </w:pPr>
    </w:p>
    <w:p w14:paraId="54D726E6">
      <w:pPr>
        <w:pStyle w:val="42"/>
        <w:spacing w:before="900" w:beforeAutospacing="0" w:after="0" w:afterAutospacing="0" w:line="420" w:lineRule="atLeast"/>
        <w:jc w:val="both"/>
        <w:rPr>
          <w:rFonts w:hint="eastAsia"/>
          <w:sz w:val="28"/>
          <w:szCs w:val="28"/>
        </w:rPr>
      </w:pPr>
    </w:p>
    <w:p w14:paraId="53524910">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5897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16C9D909">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390D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56D8C141">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66" w:type="dxa"/>
            <w:vAlign w:val="center"/>
          </w:tcPr>
          <w:p w14:paraId="547AC203">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66" w:type="dxa"/>
            <w:vAlign w:val="center"/>
          </w:tcPr>
          <w:p w14:paraId="0471E069">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66" w:type="dxa"/>
            <w:vAlign w:val="center"/>
          </w:tcPr>
          <w:p w14:paraId="1FBABE2A">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66" w:type="dxa"/>
            <w:vAlign w:val="center"/>
          </w:tcPr>
          <w:p w14:paraId="5A1E1691">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516" w:type="dxa"/>
            <w:vAlign w:val="center"/>
          </w:tcPr>
          <w:p w14:paraId="4F549330">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66" w:type="dxa"/>
            <w:vAlign w:val="center"/>
          </w:tcPr>
          <w:p w14:paraId="7A9F8275">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66" w:type="dxa"/>
            <w:vAlign w:val="center"/>
          </w:tcPr>
          <w:p w14:paraId="545CC388">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16" w:type="dxa"/>
            <w:vAlign w:val="center"/>
          </w:tcPr>
          <w:p w14:paraId="05C60A28">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66" w:type="dxa"/>
            <w:vAlign w:val="center"/>
          </w:tcPr>
          <w:p w14:paraId="19805A87">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516" w:type="dxa"/>
            <w:vAlign w:val="center"/>
          </w:tcPr>
          <w:p w14:paraId="6C1DB725">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66" w:type="dxa"/>
            <w:vAlign w:val="center"/>
          </w:tcPr>
          <w:p w14:paraId="4B07F8EE">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666" w:type="dxa"/>
            <w:vAlign w:val="center"/>
          </w:tcPr>
          <w:p w14:paraId="0BE5B149">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516" w:type="dxa"/>
            <w:vAlign w:val="center"/>
          </w:tcPr>
          <w:p w14:paraId="05CEE370">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66" w:type="dxa"/>
            <w:vAlign w:val="center"/>
          </w:tcPr>
          <w:p w14:paraId="6CF7EFB7">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66" w:type="dxa"/>
            <w:vAlign w:val="center"/>
          </w:tcPr>
          <w:p w14:paraId="7EB429E0">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516" w:type="dxa"/>
            <w:vAlign w:val="center"/>
          </w:tcPr>
          <w:p w14:paraId="60B773E1">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66" w:type="dxa"/>
            <w:vAlign w:val="center"/>
          </w:tcPr>
          <w:p w14:paraId="78E5622A">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12F3E6E3">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221" w:type="dxa"/>
            <w:vAlign w:val="center"/>
          </w:tcPr>
          <w:p w14:paraId="31ED4F3C">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221" w:type="dxa"/>
            <w:vAlign w:val="center"/>
          </w:tcPr>
          <w:p w14:paraId="7805702F">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03ADAE8B">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16CD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5EB99114">
            <w:pPr>
              <w:pStyle w:val="42"/>
              <w:spacing w:before="0" w:beforeAutospacing="0" w:after="0" w:afterAutospacing="0" w:line="420" w:lineRule="atLeast"/>
              <w:jc w:val="center"/>
              <w:rPr>
                <w:rFonts w:hint="eastAsia"/>
                <w:sz w:val="21"/>
                <w:szCs w:val="21"/>
              </w:rPr>
            </w:pPr>
          </w:p>
        </w:tc>
        <w:tc>
          <w:tcPr>
            <w:tcW w:w="366" w:type="dxa"/>
            <w:vAlign w:val="center"/>
          </w:tcPr>
          <w:p w14:paraId="0FFF8369">
            <w:pPr>
              <w:pStyle w:val="42"/>
              <w:spacing w:before="0" w:beforeAutospacing="0" w:after="0" w:afterAutospacing="0" w:line="420" w:lineRule="atLeast"/>
              <w:jc w:val="center"/>
              <w:rPr>
                <w:rFonts w:hint="eastAsia"/>
                <w:sz w:val="21"/>
                <w:szCs w:val="21"/>
              </w:rPr>
            </w:pPr>
          </w:p>
        </w:tc>
        <w:tc>
          <w:tcPr>
            <w:tcW w:w="366" w:type="dxa"/>
            <w:vAlign w:val="center"/>
          </w:tcPr>
          <w:p w14:paraId="58611023">
            <w:pPr>
              <w:pStyle w:val="42"/>
              <w:spacing w:before="0" w:beforeAutospacing="0" w:after="0" w:afterAutospacing="0" w:line="420" w:lineRule="atLeast"/>
              <w:jc w:val="center"/>
              <w:rPr>
                <w:rFonts w:hint="eastAsia"/>
                <w:sz w:val="21"/>
                <w:szCs w:val="21"/>
              </w:rPr>
            </w:pPr>
          </w:p>
        </w:tc>
        <w:tc>
          <w:tcPr>
            <w:tcW w:w="366" w:type="dxa"/>
            <w:vAlign w:val="center"/>
          </w:tcPr>
          <w:p w14:paraId="1EB4E303">
            <w:pPr>
              <w:pStyle w:val="42"/>
              <w:spacing w:before="0" w:beforeAutospacing="0" w:after="0" w:afterAutospacing="0" w:line="420" w:lineRule="atLeast"/>
              <w:jc w:val="center"/>
              <w:rPr>
                <w:rFonts w:hint="eastAsia"/>
                <w:sz w:val="21"/>
                <w:szCs w:val="21"/>
              </w:rPr>
            </w:pPr>
          </w:p>
        </w:tc>
        <w:tc>
          <w:tcPr>
            <w:tcW w:w="366" w:type="dxa"/>
            <w:vAlign w:val="center"/>
          </w:tcPr>
          <w:p w14:paraId="1C75AAD5">
            <w:pPr>
              <w:pStyle w:val="42"/>
              <w:spacing w:before="0" w:beforeAutospacing="0" w:after="0" w:afterAutospacing="0" w:line="420" w:lineRule="atLeast"/>
              <w:jc w:val="center"/>
              <w:rPr>
                <w:rFonts w:hint="eastAsia"/>
                <w:sz w:val="21"/>
                <w:szCs w:val="21"/>
              </w:rPr>
            </w:pPr>
          </w:p>
        </w:tc>
        <w:tc>
          <w:tcPr>
            <w:tcW w:w="516" w:type="dxa"/>
            <w:vAlign w:val="center"/>
          </w:tcPr>
          <w:p w14:paraId="69275E74">
            <w:pPr>
              <w:pStyle w:val="42"/>
              <w:spacing w:before="0" w:beforeAutospacing="0" w:after="0" w:afterAutospacing="0" w:line="420" w:lineRule="atLeast"/>
              <w:jc w:val="center"/>
              <w:rPr>
                <w:rFonts w:hint="eastAsia"/>
                <w:sz w:val="21"/>
                <w:szCs w:val="21"/>
              </w:rPr>
            </w:pPr>
          </w:p>
        </w:tc>
        <w:tc>
          <w:tcPr>
            <w:tcW w:w="366" w:type="dxa"/>
            <w:vAlign w:val="center"/>
          </w:tcPr>
          <w:p w14:paraId="265F875F">
            <w:pPr>
              <w:pStyle w:val="42"/>
              <w:spacing w:before="0" w:beforeAutospacing="0" w:after="0" w:afterAutospacing="0" w:line="420" w:lineRule="atLeast"/>
              <w:jc w:val="center"/>
              <w:rPr>
                <w:rFonts w:hint="eastAsia"/>
                <w:sz w:val="21"/>
                <w:szCs w:val="21"/>
              </w:rPr>
            </w:pPr>
          </w:p>
        </w:tc>
        <w:tc>
          <w:tcPr>
            <w:tcW w:w="366" w:type="dxa"/>
            <w:vAlign w:val="center"/>
          </w:tcPr>
          <w:p w14:paraId="39D90B53">
            <w:pPr>
              <w:pStyle w:val="42"/>
              <w:spacing w:before="0" w:beforeAutospacing="0" w:after="0" w:afterAutospacing="0" w:line="420" w:lineRule="atLeast"/>
              <w:jc w:val="center"/>
              <w:rPr>
                <w:rFonts w:hint="eastAsia"/>
                <w:sz w:val="21"/>
                <w:szCs w:val="21"/>
              </w:rPr>
            </w:pPr>
          </w:p>
        </w:tc>
        <w:tc>
          <w:tcPr>
            <w:tcW w:w="516" w:type="dxa"/>
            <w:vAlign w:val="center"/>
          </w:tcPr>
          <w:p w14:paraId="56943163">
            <w:pPr>
              <w:pStyle w:val="42"/>
              <w:spacing w:before="0" w:beforeAutospacing="0" w:after="0" w:afterAutospacing="0" w:line="420" w:lineRule="atLeast"/>
              <w:jc w:val="center"/>
              <w:rPr>
                <w:rFonts w:hint="eastAsia"/>
                <w:sz w:val="21"/>
                <w:szCs w:val="21"/>
              </w:rPr>
            </w:pPr>
          </w:p>
        </w:tc>
        <w:tc>
          <w:tcPr>
            <w:tcW w:w="366" w:type="dxa"/>
            <w:vAlign w:val="center"/>
          </w:tcPr>
          <w:p w14:paraId="0E3792B0">
            <w:pPr>
              <w:pStyle w:val="42"/>
              <w:spacing w:before="0" w:beforeAutospacing="0" w:after="0" w:afterAutospacing="0" w:line="420" w:lineRule="atLeast"/>
              <w:jc w:val="center"/>
              <w:rPr>
                <w:rFonts w:hint="eastAsia"/>
                <w:sz w:val="21"/>
                <w:szCs w:val="21"/>
              </w:rPr>
            </w:pPr>
          </w:p>
        </w:tc>
        <w:tc>
          <w:tcPr>
            <w:tcW w:w="516" w:type="dxa"/>
            <w:vAlign w:val="center"/>
          </w:tcPr>
          <w:p w14:paraId="050316C0">
            <w:pPr>
              <w:pStyle w:val="42"/>
              <w:spacing w:before="0" w:beforeAutospacing="0" w:after="0" w:afterAutospacing="0" w:line="420" w:lineRule="atLeast"/>
              <w:jc w:val="center"/>
              <w:rPr>
                <w:rFonts w:hint="eastAsia"/>
                <w:sz w:val="21"/>
                <w:szCs w:val="21"/>
              </w:rPr>
            </w:pPr>
          </w:p>
        </w:tc>
        <w:tc>
          <w:tcPr>
            <w:tcW w:w="366" w:type="dxa"/>
            <w:vAlign w:val="center"/>
          </w:tcPr>
          <w:p w14:paraId="628C68B0">
            <w:pPr>
              <w:pStyle w:val="42"/>
              <w:spacing w:before="0" w:beforeAutospacing="0" w:after="0" w:afterAutospacing="0" w:line="420" w:lineRule="atLeast"/>
              <w:jc w:val="center"/>
              <w:rPr>
                <w:rFonts w:hint="eastAsia"/>
                <w:sz w:val="21"/>
                <w:szCs w:val="21"/>
              </w:rPr>
            </w:pPr>
          </w:p>
        </w:tc>
        <w:tc>
          <w:tcPr>
            <w:tcW w:w="666" w:type="dxa"/>
            <w:vAlign w:val="center"/>
          </w:tcPr>
          <w:p w14:paraId="3F9916D5">
            <w:pPr>
              <w:pStyle w:val="42"/>
              <w:spacing w:before="0" w:beforeAutospacing="0" w:after="0" w:afterAutospacing="0" w:line="420" w:lineRule="atLeast"/>
              <w:jc w:val="center"/>
              <w:rPr>
                <w:rFonts w:hint="eastAsia"/>
                <w:sz w:val="21"/>
                <w:szCs w:val="21"/>
              </w:rPr>
            </w:pPr>
          </w:p>
        </w:tc>
        <w:tc>
          <w:tcPr>
            <w:tcW w:w="516" w:type="dxa"/>
            <w:vAlign w:val="center"/>
          </w:tcPr>
          <w:p w14:paraId="6F0DBC9F">
            <w:pPr>
              <w:pStyle w:val="42"/>
              <w:spacing w:before="0" w:beforeAutospacing="0" w:after="0" w:afterAutospacing="0" w:line="420" w:lineRule="atLeast"/>
              <w:jc w:val="center"/>
              <w:rPr>
                <w:rFonts w:hint="eastAsia"/>
                <w:sz w:val="21"/>
                <w:szCs w:val="21"/>
              </w:rPr>
            </w:pPr>
          </w:p>
        </w:tc>
        <w:tc>
          <w:tcPr>
            <w:tcW w:w="366" w:type="dxa"/>
            <w:vAlign w:val="center"/>
          </w:tcPr>
          <w:p w14:paraId="7D0A1865">
            <w:pPr>
              <w:pStyle w:val="42"/>
              <w:spacing w:before="0" w:beforeAutospacing="0" w:after="0" w:afterAutospacing="0" w:line="420" w:lineRule="atLeast"/>
              <w:jc w:val="center"/>
              <w:rPr>
                <w:rFonts w:hint="eastAsia"/>
                <w:sz w:val="21"/>
                <w:szCs w:val="21"/>
              </w:rPr>
            </w:pPr>
          </w:p>
        </w:tc>
        <w:tc>
          <w:tcPr>
            <w:tcW w:w="366" w:type="dxa"/>
            <w:vAlign w:val="center"/>
          </w:tcPr>
          <w:p w14:paraId="0756C59E">
            <w:pPr>
              <w:pStyle w:val="42"/>
              <w:spacing w:before="0" w:beforeAutospacing="0" w:after="0" w:afterAutospacing="0" w:line="420" w:lineRule="atLeast"/>
              <w:jc w:val="center"/>
              <w:rPr>
                <w:rFonts w:hint="eastAsia"/>
                <w:sz w:val="21"/>
                <w:szCs w:val="21"/>
              </w:rPr>
            </w:pPr>
          </w:p>
        </w:tc>
        <w:tc>
          <w:tcPr>
            <w:tcW w:w="516" w:type="dxa"/>
            <w:vAlign w:val="center"/>
          </w:tcPr>
          <w:p w14:paraId="26E7F9AB">
            <w:pPr>
              <w:pStyle w:val="42"/>
              <w:spacing w:before="0" w:beforeAutospacing="0" w:after="0" w:afterAutospacing="0" w:line="420" w:lineRule="atLeast"/>
              <w:jc w:val="center"/>
              <w:rPr>
                <w:rFonts w:hint="eastAsia"/>
                <w:sz w:val="21"/>
                <w:szCs w:val="21"/>
              </w:rPr>
            </w:pPr>
          </w:p>
        </w:tc>
        <w:tc>
          <w:tcPr>
            <w:tcW w:w="366" w:type="dxa"/>
            <w:vAlign w:val="center"/>
          </w:tcPr>
          <w:p w14:paraId="2C61E299">
            <w:pPr>
              <w:pStyle w:val="42"/>
              <w:spacing w:before="0" w:beforeAutospacing="0" w:after="0" w:afterAutospacing="0" w:line="420" w:lineRule="atLeast"/>
              <w:jc w:val="center"/>
              <w:rPr>
                <w:rFonts w:hint="eastAsia"/>
                <w:sz w:val="21"/>
                <w:szCs w:val="21"/>
              </w:rPr>
            </w:pPr>
          </w:p>
        </w:tc>
        <w:tc>
          <w:tcPr>
            <w:tcW w:w="221" w:type="dxa"/>
            <w:vAlign w:val="center"/>
          </w:tcPr>
          <w:p w14:paraId="423EDA61">
            <w:pPr>
              <w:pStyle w:val="42"/>
              <w:spacing w:before="0" w:beforeAutospacing="0" w:after="0" w:afterAutospacing="0" w:line="420" w:lineRule="atLeast"/>
              <w:jc w:val="center"/>
              <w:rPr>
                <w:rFonts w:hint="eastAsia"/>
                <w:sz w:val="21"/>
                <w:szCs w:val="21"/>
              </w:rPr>
            </w:pPr>
          </w:p>
        </w:tc>
        <w:tc>
          <w:tcPr>
            <w:tcW w:w="221" w:type="dxa"/>
            <w:vAlign w:val="center"/>
          </w:tcPr>
          <w:p w14:paraId="004C8A11">
            <w:pPr>
              <w:pStyle w:val="42"/>
              <w:spacing w:before="0" w:beforeAutospacing="0" w:after="0" w:afterAutospacing="0" w:line="420" w:lineRule="atLeast"/>
              <w:jc w:val="center"/>
              <w:rPr>
                <w:rFonts w:hint="eastAsia"/>
                <w:sz w:val="21"/>
                <w:szCs w:val="21"/>
              </w:rPr>
            </w:pPr>
          </w:p>
        </w:tc>
        <w:tc>
          <w:tcPr>
            <w:tcW w:w="221" w:type="dxa"/>
            <w:vAlign w:val="center"/>
          </w:tcPr>
          <w:p w14:paraId="135964F4">
            <w:pPr>
              <w:pStyle w:val="42"/>
              <w:spacing w:before="0" w:beforeAutospacing="0" w:after="0" w:afterAutospacing="0" w:line="420" w:lineRule="atLeast"/>
              <w:jc w:val="center"/>
              <w:rPr>
                <w:rFonts w:hint="eastAsia"/>
                <w:sz w:val="21"/>
                <w:szCs w:val="21"/>
              </w:rPr>
            </w:pPr>
          </w:p>
        </w:tc>
        <w:tc>
          <w:tcPr>
            <w:tcW w:w="221" w:type="dxa"/>
            <w:vAlign w:val="center"/>
          </w:tcPr>
          <w:p w14:paraId="67828FA6">
            <w:pPr>
              <w:pStyle w:val="42"/>
              <w:spacing w:before="0" w:beforeAutospacing="0" w:after="0" w:afterAutospacing="0" w:line="420" w:lineRule="atLeast"/>
              <w:jc w:val="center"/>
              <w:rPr>
                <w:rFonts w:hint="eastAsia"/>
                <w:sz w:val="21"/>
                <w:szCs w:val="21"/>
              </w:rPr>
            </w:pPr>
          </w:p>
        </w:tc>
      </w:tr>
      <w:tr w14:paraId="19466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6F209400">
            <w:pPr>
              <w:pStyle w:val="42"/>
              <w:spacing w:before="0" w:beforeAutospacing="0" w:after="0" w:afterAutospacing="0" w:line="420" w:lineRule="atLeast"/>
              <w:jc w:val="center"/>
              <w:rPr>
                <w:rFonts w:hint="eastAsia"/>
                <w:sz w:val="21"/>
                <w:szCs w:val="21"/>
              </w:rPr>
            </w:pPr>
          </w:p>
        </w:tc>
        <w:tc>
          <w:tcPr>
            <w:tcW w:w="366" w:type="dxa"/>
            <w:vAlign w:val="center"/>
          </w:tcPr>
          <w:p w14:paraId="4FDAC5C6">
            <w:pPr>
              <w:pStyle w:val="42"/>
              <w:spacing w:before="0" w:beforeAutospacing="0" w:after="0" w:afterAutospacing="0" w:line="420" w:lineRule="atLeast"/>
              <w:jc w:val="center"/>
              <w:rPr>
                <w:rFonts w:hint="eastAsia"/>
                <w:sz w:val="21"/>
                <w:szCs w:val="21"/>
              </w:rPr>
            </w:pPr>
          </w:p>
        </w:tc>
        <w:tc>
          <w:tcPr>
            <w:tcW w:w="366" w:type="dxa"/>
            <w:vAlign w:val="center"/>
          </w:tcPr>
          <w:p w14:paraId="16E22DD9">
            <w:pPr>
              <w:pStyle w:val="42"/>
              <w:spacing w:before="0" w:beforeAutospacing="0" w:after="0" w:afterAutospacing="0" w:line="420" w:lineRule="atLeast"/>
              <w:jc w:val="center"/>
              <w:rPr>
                <w:rFonts w:hint="eastAsia"/>
                <w:sz w:val="21"/>
                <w:szCs w:val="21"/>
              </w:rPr>
            </w:pPr>
          </w:p>
        </w:tc>
        <w:tc>
          <w:tcPr>
            <w:tcW w:w="366" w:type="dxa"/>
            <w:vAlign w:val="center"/>
          </w:tcPr>
          <w:p w14:paraId="7E05AD67">
            <w:pPr>
              <w:pStyle w:val="42"/>
              <w:spacing w:before="0" w:beforeAutospacing="0" w:after="0" w:afterAutospacing="0" w:line="420" w:lineRule="atLeast"/>
              <w:jc w:val="center"/>
              <w:rPr>
                <w:rFonts w:hint="eastAsia"/>
                <w:sz w:val="21"/>
                <w:szCs w:val="21"/>
              </w:rPr>
            </w:pPr>
          </w:p>
        </w:tc>
        <w:tc>
          <w:tcPr>
            <w:tcW w:w="366" w:type="dxa"/>
            <w:vAlign w:val="center"/>
          </w:tcPr>
          <w:p w14:paraId="3ADA44E0">
            <w:pPr>
              <w:pStyle w:val="42"/>
              <w:spacing w:before="0" w:beforeAutospacing="0" w:after="0" w:afterAutospacing="0" w:line="420" w:lineRule="atLeast"/>
              <w:jc w:val="center"/>
              <w:rPr>
                <w:rFonts w:hint="eastAsia"/>
                <w:sz w:val="21"/>
                <w:szCs w:val="21"/>
              </w:rPr>
            </w:pPr>
          </w:p>
        </w:tc>
        <w:tc>
          <w:tcPr>
            <w:tcW w:w="516" w:type="dxa"/>
            <w:vAlign w:val="center"/>
          </w:tcPr>
          <w:p w14:paraId="629113F9">
            <w:pPr>
              <w:pStyle w:val="42"/>
              <w:spacing w:before="0" w:beforeAutospacing="0" w:after="0" w:afterAutospacing="0" w:line="420" w:lineRule="atLeast"/>
              <w:jc w:val="center"/>
              <w:rPr>
                <w:rFonts w:hint="eastAsia"/>
                <w:sz w:val="21"/>
                <w:szCs w:val="21"/>
              </w:rPr>
            </w:pPr>
          </w:p>
        </w:tc>
        <w:tc>
          <w:tcPr>
            <w:tcW w:w="366" w:type="dxa"/>
            <w:vAlign w:val="center"/>
          </w:tcPr>
          <w:p w14:paraId="72B8260C">
            <w:pPr>
              <w:pStyle w:val="42"/>
              <w:spacing w:before="0" w:beforeAutospacing="0" w:after="0" w:afterAutospacing="0" w:line="420" w:lineRule="atLeast"/>
              <w:jc w:val="center"/>
              <w:rPr>
                <w:rFonts w:hint="eastAsia"/>
                <w:sz w:val="21"/>
                <w:szCs w:val="21"/>
              </w:rPr>
            </w:pPr>
          </w:p>
        </w:tc>
        <w:tc>
          <w:tcPr>
            <w:tcW w:w="366" w:type="dxa"/>
            <w:vAlign w:val="center"/>
          </w:tcPr>
          <w:p w14:paraId="1D989E76">
            <w:pPr>
              <w:pStyle w:val="42"/>
              <w:spacing w:before="0" w:beforeAutospacing="0" w:after="0" w:afterAutospacing="0" w:line="420" w:lineRule="atLeast"/>
              <w:jc w:val="center"/>
              <w:rPr>
                <w:rFonts w:hint="eastAsia"/>
                <w:sz w:val="21"/>
                <w:szCs w:val="21"/>
              </w:rPr>
            </w:pPr>
          </w:p>
        </w:tc>
        <w:tc>
          <w:tcPr>
            <w:tcW w:w="516" w:type="dxa"/>
            <w:vAlign w:val="center"/>
          </w:tcPr>
          <w:p w14:paraId="0303D157">
            <w:pPr>
              <w:pStyle w:val="42"/>
              <w:spacing w:before="0" w:beforeAutospacing="0" w:after="0" w:afterAutospacing="0" w:line="420" w:lineRule="atLeast"/>
              <w:jc w:val="center"/>
              <w:rPr>
                <w:rFonts w:hint="eastAsia"/>
                <w:sz w:val="21"/>
                <w:szCs w:val="21"/>
              </w:rPr>
            </w:pPr>
          </w:p>
        </w:tc>
        <w:tc>
          <w:tcPr>
            <w:tcW w:w="366" w:type="dxa"/>
            <w:vAlign w:val="center"/>
          </w:tcPr>
          <w:p w14:paraId="44829A1F">
            <w:pPr>
              <w:pStyle w:val="42"/>
              <w:spacing w:before="0" w:beforeAutospacing="0" w:after="0" w:afterAutospacing="0" w:line="420" w:lineRule="atLeast"/>
              <w:jc w:val="center"/>
              <w:rPr>
                <w:rFonts w:hint="eastAsia"/>
                <w:sz w:val="21"/>
                <w:szCs w:val="21"/>
              </w:rPr>
            </w:pPr>
          </w:p>
        </w:tc>
        <w:tc>
          <w:tcPr>
            <w:tcW w:w="516" w:type="dxa"/>
            <w:vAlign w:val="center"/>
          </w:tcPr>
          <w:p w14:paraId="615F74D9">
            <w:pPr>
              <w:pStyle w:val="42"/>
              <w:spacing w:before="0" w:beforeAutospacing="0" w:after="0" w:afterAutospacing="0" w:line="420" w:lineRule="atLeast"/>
              <w:jc w:val="center"/>
              <w:rPr>
                <w:rFonts w:hint="eastAsia"/>
                <w:sz w:val="21"/>
                <w:szCs w:val="21"/>
              </w:rPr>
            </w:pPr>
          </w:p>
        </w:tc>
        <w:tc>
          <w:tcPr>
            <w:tcW w:w="366" w:type="dxa"/>
            <w:vAlign w:val="center"/>
          </w:tcPr>
          <w:p w14:paraId="261294A8">
            <w:pPr>
              <w:pStyle w:val="42"/>
              <w:spacing w:before="0" w:beforeAutospacing="0" w:after="0" w:afterAutospacing="0" w:line="420" w:lineRule="atLeast"/>
              <w:jc w:val="center"/>
              <w:rPr>
                <w:rFonts w:hint="eastAsia"/>
                <w:sz w:val="21"/>
                <w:szCs w:val="21"/>
              </w:rPr>
            </w:pPr>
          </w:p>
        </w:tc>
        <w:tc>
          <w:tcPr>
            <w:tcW w:w="666" w:type="dxa"/>
            <w:vAlign w:val="center"/>
          </w:tcPr>
          <w:p w14:paraId="31DDB31F">
            <w:pPr>
              <w:pStyle w:val="42"/>
              <w:spacing w:before="0" w:beforeAutospacing="0" w:after="0" w:afterAutospacing="0" w:line="420" w:lineRule="atLeast"/>
              <w:jc w:val="center"/>
              <w:rPr>
                <w:rFonts w:hint="eastAsia"/>
                <w:sz w:val="21"/>
                <w:szCs w:val="21"/>
              </w:rPr>
            </w:pPr>
          </w:p>
        </w:tc>
        <w:tc>
          <w:tcPr>
            <w:tcW w:w="516" w:type="dxa"/>
            <w:vAlign w:val="center"/>
          </w:tcPr>
          <w:p w14:paraId="212D67AF">
            <w:pPr>
              <w:pStyle w:val="42"/>
              <w:spacing w:before="0" w:beforeAutospacing="0" w:after="0" w:afterAutospacing="0" w:line="420" w:lineRule="atLeast"/>
              <w:jc w:val="center"/>
              <w:rPr>
                <w:rFonts w:hint="eastAsia"/>
                <w:sz w:val="21"/>
                <w:szCs w:val="21"/>
              </w:rPr>
            </w:pPr>
          </w:p>
        </w:tc>
        <w:tc>
          <w:tcPr>
            <w:tcW w:w="366" w:type="dxa"/>
            <w:vAlign w:val="center"/>
          </w:tcPr>
          <w:p w14:paraId="65EF599F">
            <w:pPr>
              <w:pStyle w:val="42"/>
              <w:spacing w:before="0" w:beforeAutospacing="0" w:after="0" w:afterAutospacing="0" w:line="420" w:lineRule="atLeast"/>
              <w:jc w:val="center"/>
              <w:rPr>
                <w:rFonts w:hint="eastAsia"/>
                <w:sz w:val="21"/>
                <w:szCs w:val="21"/>
              </w:rPr>
            </w:pPr>
          </w:p>
        </w:tc>
        <w:tc>
          <w:tcPr>
            <w:tcW w:w="366" w:type="dxa"/>
            <w:vAlign w:val="center"/>
          </w:tcPr>
          <w:p w14:paraId="2A4E19AE">
            <w:pPr>
              <w:pStyle w:val="42"/>
              <w:spacing w:before="0" w:beforeAutospacing="0" w:after="0" w:afterAutospacing="0" w:line="420" w:lineRule="atLeast"/>
              <w:jc w:val="center"/>
              <w:rPr>
                <w:rFonts w:hint="eastAsia"/>
                <w:sz w:val="21"/>
                <w:szCs w:val="21"/>
              </w:rPr>
            </w:pPr>
          </w:p>
        </w:tc>
        <w:tc>
          <w:tcPr>
            <w:tcW w:w="516" w:type="dxa"/>
            <w:vAlign w:val="center"/>
          </w:tcPr>
          <w:p w14:paraId="113BF7CA">
            <w:pPr>
              <w:pStyle w:val="42"/>
              <w:spacing w:before="0" w:beforeAutospacing="0" w:after="0" w:afterAutospacing="0" w:line="420" w:lineRule="atLeast"/>
              <w:jc w:val="center"/>
              <w:rPr>
                <w:rFonts w:hint="eastAsia"/>
                <w:sz w:val="21"/>
                <w:szCs w:val="21"/>
              </w:rPr>
            </w:pPr>
          </w:p>
        </w:tc>
        <w:tc>
          <w:tcPr>
            <w:tcW w:w="366" w:type="dxa"/>
            <w:vAlign w:val="center"/>
          </w:tcPr>
          <w:p w14:paraId="449DB01D">
            <w:pPr>
              <w:pStyle w:val="42"/>
              <w:spacing w:before="0" w:beforeAutospacing="0" w:after="0" w:afterAutospacing="0" w:line="420" w:lineRule="atLeast"/>
              <w:jc w:val="center"/>
              <w:rPr>
                <w:rFonts w:hint="eastAsia"/>
                <w:sz w:val="21"/>
                <w:szCs w:val="21"/>
              </w:rPr>
            </w:pPr>
          </w:p>
        </w:tc>
        <w:tc>
          <w:tcPr>
            <w:tcW w:w="221" w:type="dxa"/>
            <w:vAlign w:val="center"/>
          </w:tcPr>
          <w:p w14:paraId="707A170F">
            <w:pPr>
              <w:pStyle w:val="42"/>
              <w:spacing w:before="0" w:beforeAutospacing="0" w:after="0" w:afterAutospacing="0" w:line="420" w:lineRule="atLeast"/>
              <w:jc w:val="center"/>
              <w:rPr>
                <w:rFonts w:hint="eastAsia"/>
                <w:sz w:val="21"/>
                <w:szCs w:val="21"/>
              </w:rPr>
            </w:pPr>
          </w:p>
        </w:tc>
        <w:tc>
          <w:tcPr>
            <w:tcW w:w="221" w:type="dxa"/>
            <w:vAlign w:val="center"/>
          </w:tcPr>
          <w:p w14:paraId="16D38214">
            <w:pPr>
              <w:pStyle w:val="42"/>
              <w:spacing w:before="0" w:beforeAutospacing="0" w:after="0" w:afterAutospacing="0" w:line="420" w:lineRule="atLeast"/>
              <w:jc w:val="center"/>
              <w:rPr>
                <w:rFonts w:hint="eastAsia"/>
                <w:sz w:val="21"/>
                <w:szCs w:val="21"/>
              </w:rPr>
            </w:pPr>
          </w:p>
        </w:tc>
        <w:tc>
          <w:tcPr>
            <w:tcW w:w="221" w:type="dxa"/>
            <w:vAlign w:val="center"/>
          </w:tcPr>
          <w:p w14:paraId="4B31F4D5">
            <w:pPr>
              <w:pStyle w:val="42"/>
              <w:spacing w:before="0" w:beforeAutospacing="0" w:after="0" w:afterAutospacing="0" w:line="420" w:lineRule="atLeast"/>
              <w:jc w:val="center"/>
              <w:rPr>
                <w:rFonts w:hint="eastAsia"/>
                <w:sz w:val="21"/>
                <w:szCs w:val="21"/>
              </w:rPr>
            </w:pPr>
          </w:p>
        </w:tc>
        <w:tc>
          <w:tcPr>
            <w:tcW w:w="221" w:type="dxa"/>
            <w:vAlign w:val="center"/>
          </w:tcPr>
          <w:p w14:paraId="568A78BA">
            <w:pPr>
              <w:pStyle w:val="42"/>
              <w:spacing w:before="0" w:beforeAutospacing="0" w:after="0" w:afterAutospacing="0" w:line="420" w:lineRule="atLeast"/>
              <w:jc w:val="center"/>
              <w:rPr>
                <w:rFonts w:hint="eastAsia"/>
                <w:sz w:val="21"/>
                <w:szCs w:val="21"/>
              </w:rPr>
            </w:pPr>
          </w:p>
        </w:tc>
      </w:tr>
    </w:tbl>
    <w:p w14:paraId="3BE72136">
      <w:pPr>
        <w:pStyle w:val="42"/>
        <w:spacing w:before="0" w:beforeAutospacing="0" w:after="0" w:afterAutospacing="0" w:line="420" w:lineRule="atLeast"/>
        <w:jc w:val="both"/>
        <w:rPr>
          <w:rFonts w:hint="eastAsia"/>
          <w:sz w:val="21"/>
          <w:szCs w:val="21"/>
        </w:rPr>
      </w:pPr>
    </w:p>
    <w:p w14:paraId="2CF1E3AB">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56B7E2CC">
      <w:pPr>
        <w:spacing w:before="0" w:after="0" w:line="420" w:lineRule="atLeast"/>
        <w:rPr>
          <w:sz w:val="21"/>
          <w:szCs w:val="21"/>
        </w:rPr>
      </w:pPr>
      <w:r>
        <w:rPr>
          <w:rFonts w:hint="eastAsia"/>
          <w:sz w:val="21"/>
          <w:szCs w:val="21"/>
        </w:rPr>
        <w:br w:type="page"/>
      </w:r>
    </w:p>
    <w:p w14:paraId="6784977B">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6F6FE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64B42EAF">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0208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337400CB">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044F4B95">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711352D1">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0D5D04E7">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4491D7D3">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2A11A58D">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25FBC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28D11074">
            <w:pPr>
              <w:pStyle w:val="42"/>
              <w:spacing w:before="0" w:beforeAutospacing="0" w:after="0" w:afterAutospacing="0" w:line="420" w:lineRule="atLeast"/>
              <w:jc w:val="both"/>
              <w:rPr>
                <w:rFonts w:hint="eastAsia"/>
                <w:sz w:val="21"/>
                <w:szCs w:val="21"/>
              </w:rPr>
            </w:pPr>
            <w:r>
              <w:rPr>
                <w:rFonts w:hint="eastAsia"/>
                <w:sz w:val="21"/>
                <w:szCs w:val="21"/>
              </w:rPr>
              <w:t>48口SAN交换机</w:t>
            </w:r>
          </w:p>
        </w:tc>
        <w:tc>
          <w:tcPr>
            <w:tcW w:w="1775" w:type="dxa"/>
            <w:vAlign w:val="center"/>
          </w:tcPr>
          <w:p w14:paraId="77710DED">
            <w:pPr>
              <w:pStyle w:val="42"/>
              <w:spacing w:before="0" w:beforeAutospacing="0" w:after="0" w:afterAutospacing="0" w:line="420" w:lineRule="atLeast"/>
              <w:jc w:val="center"/>
              <w:rPr>
                <w:rFonts w:hint="eastAsia"/>
                <w:sz w:val="21"/>
                <w:szCs w:val="21"/>
              </w:rPr>
            </w:pPr>
          </w:p>
        </w:tc>
        <w:tc>
          <w:tcPr>
            <w:tcW w:w="1420" w:type="dxa"/>
            <w:vAlign w:val="center"/>
          </w:tcPr>
          <w:p w14:paraId="4730417F">
            <w:pPr>
              <w:pStyle w:val="42"/>
              <w:spacing w:before="0" w:beforeAutospacing="0" w:after="0" w:afterAutospacing="0" w:line="420" w:lineRule="atLeast"/>
              <w:jc w:val="center"/>
              <w:rPr>
                <w:rFonts w:hint="eastAsia"/>
                <w:sz w:val="21"/>
                <w:szCs w:val="21"/>
              </w:rPr>
            </w:pPr>
          </w:p>
        </w:tc>
        <w:tc>
          <w:tcPr>
            <w:tcW w:w="1420" w:type="dxa"/>
            <w:vAlign w:val="center"/>
          </w:tcPr>
          <w:p w14:paraId="214D7D7B">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34D39114">
            <w:pPr>
              <w:pStyle w:val="42"/>
              <w:spacing w:before="0" w:beforeAutospacing="0" w:after="0" w:afterAutospacing="0" w:line="420" w:lineRule="atLeast"/>
              <w:jc w:val="center"/>
              <w:rPr>
                <w:rFonts w:hint="eastAsia"/>
                <w:sz w:val="21"/>
                <w:szCs w:val="21"/>
              </w:rPr>
            </w:pPr>
          </w:p>
        </w:tc>
        <w:tc>
          <w:tcPr>
            <w:tcW w:w="1421" w:type="dxa"/>
            <w:vAlign w:val="center"/>
          </w:tcPr>
          <w:p w14:paraId="33718B5A">
            <w:pPr>
              <w:pStyle w:val="42"/>
              <w:spacing w:before="0" w:beforeAutospacing="0" w:after="0" w:afterAutospacing="0" w:line="420" w:lineRule="atLeast"/>
              <w:jc w:val="center"/>
              <w:rPr>
                <w:rFonts w:hint="eastAsia"/>
                <w:sz w:val="21"/>
                <w:szCs w:val="21"/>
              </w:rPr>
            </w:pPr>
          </w:p>
        </w:tc>
      </w:tr>
      <w:tr w14:paraId="1F60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465EBB6B">
            <w:pPr>
              <w:pStyle w:val="42"/>
              <w:spacing w:before="0" w:beforeAutospacing="0" w:after="0" w:afterAutospacing="0" w:line="420" w:lineRule="atLeast"/>
              <w:jc w:val="center"/>
              <w:rPr>
                <w:rFonts w:hint="eastAsia"/>
                <w:sz w:val="21"/>
                <w:szCs w:val="21"/>
              </w:rPr>
            </w:pPr>
          </w:p>
        </w:tc>
        <w:tc>
          <w:tcPr>
            <w:tcW w:w="1775" w:type="dxa"/>
            <w:vAlign w:val="center"/>
          </w:tcPr>
          <w:p w14:paraId="3B48E052">
            <w:pPr>
              <w:pStyle w:val="42"/>
              <w:spacing w:before="0" w:beforeAutospacing="0" w:after="0" w:afterAutospacing="0" w:line="420" w:lineRule="atLeast"/>
              <w:jc w:val="center"/>
              <w:rPr>
                <w:rFonts w:hint="eastAsia"/>
                <w:sz w:val="21"/>
                <w:szCs w:val="21"/>
              </w:rPr>
            </w:pPr>
          </w:p>
        </w:tc>
        <w:tc>
          <w:tcPr>
            <w:tcW w:w="1420" w:type="dxa"/>
            <w:vAlign w:val="center"/>
          </w:tcPr>
          <w:p w14:paraId="75D28B91">
            <w:pPr>
              <w:pStyle w:val="42"/>
              <w:spacing w:before="0" w:beforeAutospacing="0" w:after="0" w:afterAutospacing="0" w:line="420" w:lineRule="atLeast"/>
              <w:jc w:val="center"/>
              <w:rPr>
                <w:rFonts w:hint="eastAsia"/>
                <w:sz w:val="21"/>
                <w:szCs w:val="21"/>
              </w:rPr>
            </w:pPr>
          </w:p>
        </w:tc>
        <w:tc>
          <w:tcPr>
            <w:tcW w:w="1420" w:type="dxa"/>
            <w:vAlign w:val="center"/>
          </w:tcPr>
          <w:p w14:paraId="29413B74">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46929BB2">
            <w:pPr>
              <w:pStyle w:val="42"/>
              <w:spacing w:before="0" w:beforeAutospacing="0" w:after="0" w:afterAutospacing="0" w:line="420" w:lineRule="atLeast"/>
              <w:jc w:val="center"/>
              <w:rPr>
                <w:rFonts w:hint="eastAsia"/>
                <w:sz w:val="21"/>
                <w:szCs w:val="21"/>
              </w:rPr>
            </w:pPr>
          </w:p>
        </w:tc>
        <w:tc>
          <w:tcPr>
            <w:tcW w:w="1421" w:type="dxa"/>
            <w:vAlign w:val="center"/>
          </w:tcPr>
          <w:p w14:paraId="016BCB3E">
            <w:pPr>
              <w:pStyle w:val="42"/>
              <w:spacing w:before="0" w:beforeAutospacing="0" w:after="0" w:afterAutospacing="0" w:line="420" w:lineRule="atLeast"/>
              <w:jc w:val="center"/>
              <w:rPr>
                <w:rFonts w:hint="eastAsia"/>
                <w:sz w:val="21"/>
                <w:szCs w:val="21"/>
              </w:rPr>
            </w:pPr>
          </w:p>
        </w:tc>
      </w:tr>
      <w:tr w14:paraId="0AC4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5CAFC123">
            <w:pPr>
              <w:pStyle w:val="42"/>
              <w:spacing w:before="0" w:beforeAutospacing="0" w:after="0" w:afterAutospacing="0" w:line="420" w:lineRule="atLeast"/>
              <w:jc w:val="center"/>
              <w:rPr>
                <w:rFonts w:hint="eastAsia"/>
                <w:sz w:val="21"/>
                <w:szCs w:val="21"/>
              </w:rPr>
            </w:pPr>
          </w:p>
        </w:tc>
        <w:tc>
          <w:tcPr>
            <w:tcW w:w="1775" w:type="dxa"/>
            <w:vAlign w:val="center"/>
          </w:tcPr>
          <w:p w14:paraId="5D914ED7">
            <w:pPr>
              <w:pStyle w:val="42"/>
              <w:spacing w:before="0" w:beforeAutospacing="0" w:after="0" w:afterAutospacing="0" w:line="420" w:lineRule="atLeast"/>
              <w:jc w:val="center"/>
              <w:rPr>
                <w:rFonts w:hint="eastAsia"/>
                <w:sz w:val="21"/>
                <w:szCs w:val="21"/>
              </w:rPr>
            </w:pPr>
          </w:p>
        </w:tc>
        <w:tc>
          <w:tcPr>
            <w:tcW w:w="1420" w:type="dxa"/>
            <w:vAlign w:val="center"/>
          </w:tcPr>
          <w:p w14:paraId="2A8A7EA6">
            <w:pPr>
              <w:pStyle w:val="42"/>
              <w:spacing w:before="0" w:beforeAutospacing="0" w:after="0" w:afterAutospacing="0" w:line="420" w:lineRule="atLeast"/>
              <w:jc w:val="center"/>
              <w:rPr>
                <w:rFonts w:hint="eastAsia"/>
                <w:sz w:val="21"/>
                <w:szCs w:val="21"/>
              </w:rPr>
            </w:pPr>
          </w:p>
        </w:tc>
        <w:tc>
          <w:tcPr>
            <w:tcW w:w="1420" w:type="dxa"/>
            <w:vAlign w:val="center"/>
          </w:tcPr>
          <w:p w14:paraId="1E297967">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382328C1">
            <w:pPr>
              <w:pStyle w:val="42"/>
              <w:spacing w:before="0" w:beforeAutospacing="0" w:after="0" w:afterAutospacing="0" w:line="420" w:lineRule="atLeast"/>
              <w:jc w:val="center"/>
              <w:rPr>
                <w:rFonts w:hint="eastAsia"/>
                <w:sz w:val="21"/>
                <w:szCs w:val="21"/>
              </w:rPr>
            </w:pPr>
          </w:p>
        </w:tc>
        <w:tc>
          <w:tcPr>
            <w:tcW w:w="1421" w:type="dxa"/>
            <w:vAlign w:val="center"/>
          </w:tcPr>
          <w:p w14:paraId="37DF40C4">
            <w:pPr>
              <w:pStyle w:val="42"/>
              <w:spacing w:before="0" w:beforeAutospacing="0" w:after="0" w:afterAutospacing="0" w:line="420" w:lineRule="atLeast"/>
              <w:jc w:val="center"/>
              <w:rPr>
                <w:rFonts w:hint="eastAsia"/>
                <w:sz w:val="21"/>
                <w:szCs w:val="21"/>
              </w:rPr>
            </w:pPr>
          </w:p>
        </w:tc>
      </w:tr>
      <w:tr w14:paraId="6136A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2D5918B2">
            <w:pPr>
              <w:pStyle w:val="42"/>
              <w:spacing w:before="0" w:beforeAutospacing="0" w:after="0" w:afterAutospacing="0" w:line="420" w:lineRule="atLeast"/>
              <w:jc w:val="center"/>
              <w:rPr>
                <w:rFonts w:hint="eastAsia"/>
                <w:sz w:val="21"/>
                <w:szCs w:val="21"/>
              </w:rPr>
            </w:pPr>
          </w:p>
        </w:tc>
        <w:tc>
          <w:tcPr>
            <w:tcW w:w="1775" w:type="dxa"/>
            <w:vAlign w:val="center"/>
          </w:tcPr>
          <w:p w14:paraId="4E153DAE">
            <w:pPr>
              <w:pStyle w:val="42"/>
              <w:spacing w:before="0" w:beforeAutospacing="0" w:after="0" w:afterAutospacing="0" w:line="420" w:lineRule="atLeast"/>
              <w:jc w:val="center"/>
              <w:rPr>
                <w:rFonts w:hint="eastAsia"/>
                <w:sz w:val="21"/>
                <w:szCs w:val="21"/>
              </w:rPr>
            </w:pPr>
          </w:p>
        </w:tc>
        <w:tc>
          <w:tcPr>
            <w:tcW w:w="1420" w:type="dxa"/>
            <w:vAlign w:val="center"/>
          </w:tcPr>
          <w:p w14:paraId="1FEC0DF6">
            <w:pPr>
              <w:pStyle w:val="42"/>
              <w:spacing w:before="0" w:beforeAutospacing="0" w:after="0" w:afterAutospacing="0" w:line="420" w:lineRule="atLeast"/>
              <w:jc w:val="center"/>
              <w:rPr>
                <w:rFonts w:hint="eastAsia"/>
                <w:sz w:val="21"/>
                <w:szCs w:val="21"/>
              </w:rPr>
            </w:pPr>
          </w:p>
        </w:tc>
        <w:tc>
          <w:tcPr>
            <w:tcW w:w="1420" w:type="dxa"/>
            <w:vAlign w:val="center"/>
          </w:tcPr>
          <w:p w14:paraId="3DE0505D">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6177C9E3">
            <w:pPr>
              <w:pStyle w:val="42"/>
              <w:spacing w:before="0" w:beforeAutospacing="0" w:after="0" w:afterAutospacing="0" w:line="420" w:lineRule="atLeast"/>
              <w:jc w:val="center"/>
              <w:rPr>
                <w:rFonts w:hint="eastAsia"/>
                <w:sz w:val="21"/>
                <w:szCs w:val="21"/>
              </w:rPr>
            </w:pPr>
          </w:p>
        </w:tc>
        <w:tc>
          <w:tcPr>
            <w:tcW w:w="1421" w:type="dxa"/>
            <w:vAlign w:val="center"/>
          </w:tcPr>
          <w:p w14:paraId="4B88FBF4">
            <w:pPr>
              <w:pStyle w:val="42"/>
              <w:spacing w:before="0" w:beforeAutospacing="0" w:after="0" w:afterAutospacing="0" w:line="420" w:lineRule="atLeast"/>
              <w:jc w:val="center"/>
              <w:rPr>
                <w:rFonts w:hint="eastAsia"/>
                <w:sz w:val="21"/>
                <w:szCs w:val="21"/>
              </w:rPr>
            </w:pPr>
          </w:p>
        </w:tc>
      </w:tr>
    </w:tbl>
    <w:p w14:paraId="09CFB126">
      <w:pPr>
        <w:pStyle w:val="42"/>
        <w:spacing w:before="900" w:beforeAutospacing="0" w:after="0" w:afterAutospacing="0" w:line="420" w:lineRule="atLeast"/>
        <w:jc w:val="both"/>
        <w:rPr>
          <w:rFonts w:hint="eastAsia"/>
          <w:sz w:val="28"/>
          <w:szCs w:val="28"/>
        </w:rPr>
      </w:pPr>
    </w:p>
    <w:p w14:paraId="7FCBAED5">
      <w:pPr>
        <w:pStyle w:val="42"/>
        <w:spacing w:before="900" w:beforeAutospacing="0" w:after="0" w:afterAutospacing="0" w:line="420" w:lineRule="atLeast"/>
        <w:jc w:val="both"/>
        <w:rPr>
          <w:rFonts w:hint="eastAsia"/>
          <w:sz w:val="28"/>
          <w:szCs w:val="28"/>
        </w:rPr>
      </w:pPr>
    </w:p>
    <w:p w14:paraId="43FF0BC7">
      <w:pPr>
        <w:pStyle w:val="42"/>
        <w:spacing w:before="900" w:beforeAutospacing="0" w:after="0" w:afterAutospacing="0" w:line="420" w:lineRule="atLeast"/>
        <w:jc w:val="both"/>
        <w:rPr>
          <w:rFonts w:hint="eastAsia"/>
          <w:sz w:val="28"/>
          <w:szCs w:val="28"/>
        </w:rPr>
      </w:pPr>
    </w:p>
    <w:p w14:paraId="2A73A870">
      <w:pPr>
        <w:pStyle w:val="42"/>
        <w:spacing w:before="900" w:beforeAutospacing="0" w:after="0" w:afterAutospacing="0" w:line="420" w:lineRule="atLeast"/>
        <w:jc w:val="both"/>
        <w:rPr>
          <w:rFonts w:hint="eastAsia"/>
          <w:sz w:val="28"/>
          <w:szCs w:val="28"/>
        </w:rPr>
      </w:pPr>
    </w:p>
    <w:p w14:paraId="32118DAE">
      <w:pPr>
        <w:pStyle w:val="42"/>
        <w:spacing w:before="900" w:beforeAutospacing="0" w:after="0" w:afterAutospacing="0" w:line="420" w:lineRule="atLeast"/>
        <w:jc w:val="both"/>
        <w:rPr>
          <w:rFonts w:hint="eastAsia"/>
          <w:sz w:val="28"/>
          <w:szCs w:val="28"/>
        </w:rPr>
      </w:pPr>
    </w:p>
    <w:p w14:paraId="66752081">
      <w:pPr>
        <w:pStyle w:val="42"/>
        <w:spacing w:before="900" w:beforeAutospacing="0" w:after="0" w:afterAutospacing="0" w:line="420" w:lineRule="atLeast"/>
        <w:jc w:val="both"/>
        <w:rPr>
          <w:rFonts w:hint="eastAsia"/>
          <w:sz w:val="28"/>
          <w:szCs w:val="28"/>
        </w:rPr>
      </w:pPr>
    </w:p>
    <w:p w14:paraId="093F6A2D">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7DE9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60D8F2D9">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3E3A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7C0863F6">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66" w:type="dxa"/>
            <w:vAlign w:val="center"/>
          </w:tcPr>
          <w:p w14:paraId="68EFC415">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66" w:type="dxa"/>
            <w:vAlign w:val="center"/>
          </w:tcPr>
          <w:p w14:paraId="5142533D">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66" w:type="dxa"/>
            <w:vAlign w:val="center"/>
          </w:tcPr>
          <w:p w14:paraId="78801D6E">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66" w:type="dxa"/>
            <w:vAlign w:val="center"/>
          </w:tcPr>
          <w:p w14:paraId="65F5EFBB">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516" w:type="dxa"/>
            <w:vAlign w:val="center"/>
          </w:tcPr>
          <w:p w14:paraId="26FAD2FE">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66" w:type="dxa"/>
            <w:vAlign w:val="center"/>
          </w:tcPr>
          <w:p w14:paraId="7F7D2FFD">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66" w:type="dxa"/>
            <w:vAlign w:val="center"/>
          </w:tcPr>
          <w:p w14:paraId="00A6F553">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16" w:type="dxa"/>
            <w:vAlign w:val="center"/>
          </w:tcPr>
          <w:p w14:paraId="201E20BC">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66" w:type="dxa"/>
            <w:vAlign w:val="center"/>
          </w:tcPr>
          <w:p w14:paraId="3EDA8CE3">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516" w:type="dxa"/>
            <w:vAlign w:val="center"/>
          </w:tcPr>
          <w:p w14:paraId="615BB578">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66" w:type="dxa"/>
            <w:vAlign w:val="center"/>
          </w:tcPr>
          <w:p w14:paraId="164DAC64">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666" w:type="dxa"/>
            <w:vAlign w:val="center"/>
          </w:tcPr>
          <w:p w14:paraId="3CDB2C1B">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516" w:type="dxa"/>
            <w:vAlign w:val="center"/>
          </w:tcPr>
          <w:p w14:paraId="3F37CEFE">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66" w:type="dxa"/>
            <w:vAlign w:val="center"/>
          </w:tcPr>
          <w:p w14:paraId="5B0CAF2D">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66" w:type="dxa"/>
            <w:vAlign w:val="center"/>
          </w:tcPr>
          <w:p w14:paraId="10A94770">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516" w:type="dxa"/>
            <w:vAlign w:val="center"/>
          </w:tcPr>
          <w:p w14:paraId="4926515A">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66" w:type="dxa"/>
            <w:vAlign w:val="center"/>
          </w:tcPr>
          <w:p w14:paraId="5E0BD657">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072AAFFC">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221" w:type="dxa"/>
            <w:vAlign w:val="center"/>
          </w:tcPr>
          <w:p w14:paraId="0BAE0B00">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221" w:type="dxa"/>
            <w:vAlign w:val="center"/>
          </w:tcPr>
          <w:p w14:paraId="2EE8B82C">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30EE3A2A">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0C20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595DD764">
            <w:pPr>
              <w:pStyle w:val="42"/>
              <w:spacing w:before="0" w:beforeAutospacing="0" w:after="0" w:afterAutospacing="0" w:line="420" w:lineRule="atLeast"/>
              <w:jc w:val="center"/>
              <w:rPr>
                <w:rFonts w:hint="eastAsia"/>
                <w:sz w:val="21"/>
                <w:szCs w:val="21"/>
              </w:rPr>
            </w:pPr>
          </w:p>
        </w:tc>
        <w:tc>
          <w:tcPr>
            <w:tcW w:w="366" w:type="dxa"/>
            <w:vAlign w:val="center"/>
          </w:tcPr>
          <w:p w14:paraId="001D0A59">
            <w:pPr>
              <w:pStyle w:val="42"/>
              <w:spacing w:before="0" w:beforeAutospacing="0" w:after="0" w:afterAutospacing="0" w:line="420" w:lineRule="atLeast"/>
              <w:jc w:val="center"/>
              <w:rPr>
                <w:rFonts w:hint="eastAsia"/>
                <w:sz w:val="21"/>
                <w:szCs w:val="21"/>
              </w:rPr>
            </w:pPr>
          </w:p>
        </w:tc>
        <w:tc>
          <w:tcPr>
            <w:tcW w:w="366" w:type="dxa"/>
            <w:vAlign w:val="center"/>
          </w:tcPr>
          <w:p w14:paraId="7522A4D6">
            <w:pPr>
              <w:pStyle w:val="42"/>
              <w:spacing w:before="0" w:beforeAutospacing="0" w:after="0" w:afterAutospacing="0" w:line="420" w:lineRule="atLeast"/>
              <w:jc w:val="center"/>
              <w:rPr>
                <w:rFonts w:hint="eastAsia"/>
                <w:sz w:val="21"/>
                <w:szCs w:val="21"/>
              </w:rPr>
            </w:pPr>
          </w:p>
        </w:tc>
        <w:tc>
          <w:tcPr>
            <w:tcW w:w="366" w:type="dxa"/>
            <w:vAlign w:val="center"/>
          </w:tcPr>
          <w:p w14:paraId="4D1AA1E6">
            <w:pPr>
              <w:pStyle w:val="42"/>
              <w:spacing w:before="0" w:beforeAutospacing="0" w:after="0" w:afterAutospacing="0" w:line="420" w:lineRule="atLeast"/>
              <w:jc w:val="center"/>
              <w:rPr>
                <w:rFonts w:hint="eastAsia"/>
                <w:sz w:val="21"/>
                <w:szCs w:val="21"/>
              </w:rPr>
            </w:pPr>
          </w:p>
        </w:tc>
        <w:tc>
          <w:tcPr>
            <w:tcW w:w="366" w:type="dxa"/>
            <w:vAlign w:val="center"/>
          </w:tcPr>
          <w:p w14:paraId="11C1DC09">
            <w:pPr>
              <w:pStyle w:val="42"/>
              <w:spacing w:before="0" w:beforeAutospacing="0" w:after="0" w:afterAutospacing="0" w:line="420" w:lineRule="atLeast"/>
              <w:jc w:val="center"/>
              <w:rPr>
                <w:rFonts w:hint="eastAsia"/>
                <w:sz w:val="21"/>
                <w:szCs w:val="21"/>
              </w:rPr>
            </w:pPr>
          </w:p>
        </w:tc>
        <w:tc>
          <w:tcPr>
            <w:tcW w:w="516" w:type="dxa"/>
            <w:vAlign w:val="center"/>
          </w:tcPr>
          <w:p w14:paraId="5522F2D3">
            <w:pPr>
              <w:pStyle w:val="42"/>
              <w:spacing w:before="0" w:beforeAutospacing="0" w:after="0" w:afterAutospacing="0" w:line="420" w:lineRule="atLeast"/>
              <w:jc w:val="center"/>
              <w:rPr>
                <w:rFonts w:hint="eastAsia"/>
                <w:sz w:val="21"/>
                <w:szCs w:val="21"/>
              </w:rPr>
            </w:pPr>
          </w:p>
        </w:tc>
        <w:tc>
          <w:tcPr>
            <w:tcW w:w="366" w:type="dxa"/>
            <w:vAlign w:val="center"/>
          </w:tcPr>
          <w:p w14:paraId="38CA7347">
            <w:pPr>
              <w:pStyle w:val="42"/>
              <w:spacing w:before="0" w:beforeAutospacing="0" w:after="0" w:afterAutospacing="0" w:line="420" w:lineRule="atLeast"/>
              <w:jc w:val="center"/>
              <w:rPr>
                <w:rFonts w:hint="eastAsia"/>
                <w:sz w:val="21"/>
                <w:szCs w:val="21"/>
              </w:rPr>
            </w:pPr>
          </w:p>
        </w:tc>
        <w:tc>
          <w:tcPr>
            <w:tcW w:w="366" w:type="dxa"/>
            <w:vAlign w:val="center"/>
          </w:tcPr>
          <w:p w14:paraId="49B5307A">
            <w:pPr>
              <w:pStyle w:val="42"/>
              <w:spacing w:before="0" w:beforeAutospacing="0" w:after="0" w:afterAutospacing="0" w:line="420" w:lineRule="atLeast"/>
              <w:jc w:val="center"/>
              <w:rPr>
                <w:rFonts w:hint="eastAsia"/>
                <w:sz w:val="21"/>
                <w:szCs w:val="21"/>
              </w:rPr>
            </w:pPr>
          </w:p>
        </w:tc>
        <w:tc>
          <w:tcPr>
            <w:tcW w:w="516" w:type="dxa"/>
            <w:vAlign w:val="center"/>
          </w:tcPr>
          <w:p w14:paraId="47118F50">
            <w:pPr>
              <w:pStyle w:val="42"/>
              <w:spacing w:before="0" w:beforeAutospacing="0" w:after="0" w:afterAutospacing="0" w:line="420" w:lineRule="atLeast"/>
              <w:jc w:val="center"/>
              <w:rPr>
                <w:rFonts w:hint="eastAsia"/>
                <w:sz w:val="21"/>
                <w:szCs w:val="21"/>
              </w:rPr>
            </w:pPr>
          </w:p>
        </w:tc>
        <w:tc>
          <w:tcPr>
            <w:tcW w:w="366" w:type="dxa"/>
            <w:vAlign w:val="center"/>
          </w:tcPr>
          <w:p w14:paraId="07B3C57C">
            <w:pPr>
              <w:pStyle w:val="42"/>
              <w:spacing w:before="0" w:beforeAutospacing="0" w:after="0" w:afterAutospacing="0" w:line="420" w:lineRule="atLeast"/>
              <w:jc w:val="center"/>
              <w:rPr>
                <w:rFonts w:hint="eastAsia"/>
                <w:sz w:val="21"/>
                <w:szCs w:val="21"/>
              </w:rPr>
            </w:pPr>
          </w:p>
        </w:tc>
        <w:tc>
          <w:tcPr>
            <w:tcW w:w="516" w:type="dxa"/>
            <w:vAlign w:val="center"/>
          </w:tcPr>
          <w:p w14:paraId="16ABDC39">
            <w:pPr>
              <w:pStyle w:val="42"/>
              <w:spacing w:before="0" w:beforeAutospacing="0" w:after="0" w:afterAutospacing="0" w:line="420" w:lineRule="atLeast"/>
              <w:jc w:val="center"/>
              <w:rPr>
                <w:rFonts w:hint="eastAsia"/>
                <w:sz w:val="21"/>
                <w:szCs w:val="21"/>
              </w:rPr>
            </w:pPr>
          </w:p>
        </w:tc>
        <w:tc>
          <w:tcPr>
            <w:tcW w:w="366" w:type="dxa"/>
            <w:vAlign w:val="center"/>
          </w:tcPr>
          <w:p w14:paraId="5A2C36B2">
            <w:pPr>
              <w:pStyle w:val="42"/>
              <w:spacing w:before="0" w:beforeAutospacing="0" w:after="0" w:afterAutospacing="0" w:line="420" w:lineRule="atLeast"/>
              <w:jc w:val="center"/>
              <w:rPr>
                <w:rFonts w:hint="eastAsia"/>
                <w:sz w:val="21"/>
                <w:szCs w:val="21"/>
              </w:rPr>
            </w:pPr>
          </w:p>
        </w:tc>
        <w:tc>
          <w:tcPr>
            <w:tcW w:w="666" w:type="dxa"/>
            <w:vAlign w:val="center"/>
          </w:tcPr>
          <w:p w14:paraId="6D3B2925">
            <w:pPr>
              <w:pStyle w:val="42"/>
              <w:spacing w:before="0" w:beforeAutospacing="0" w:after="0" w:afterAutospacing="0" w:line="420" w:lineRule="atLeast"/>
              <w:jc w:val="center"/>
              <w:rPr>
                <w:rFonts w:hint="eastAsia"/>
                <w:sz w:val="21"/>
                <w:szCs w:val="21"/>
              </w:rPr>
            </w:pPr>
          </w:p>
        </w:tc>
        <w:tc>
          <w:tcPr>
            <w:tcW w:w="516" w:type="dxa"/>
            <w:vAlign w:val="center"/>
          </w:tcPr>
          <w:p w14:paraId="11A67285">
            <w:pPr>
              <w:pStyle w:val="42"/>
              <w:spacing w:before="0" w:beforeAutospacing="0" w:after="0" w:afterAutospacing="0" w:line="420" w:lineRule="atLeast"/>
              <w:jc w:val="center"/>
              <w:rPr>
                <w:rFonts w:hint="eastAsia"/>
                <w:sz w:val="21"/>
                <w:szCs w:val="21"/>
              </w:rPr>
            </w:pPr>
          </w:p>
        </w:tc>
        <w:tc>
          <w:tcPr>
            <w:tcW w:w="366" w:type="dxa"/>
            <w:vAlign w:val="center"/>
          </w:tcPr>
          <w:p w14:paraId="39841861">
            <w:pPr>
              <w:pStyle w:val="42"/>
              <w:spacing w:before="0" w:beforeAutospacing="0" w:after="0" w:afterAutospacing="0" w:line="420" w:lineRule="atLeast"/>
              <w:jc w:val="center"/>
              <w:rPr>
                <w:rFonts w:hint="eastAsia"/>
                <w:sz w:val="21"/>
                <w:szCs w:val="21"/>
              </w:rPr>
            </w:pPr>
          </w:p>
        </w:tc>
        <w:tc>
          <w:tcPr>
            <w:tcW w:w="366" w:type="dxa"/>
            <w:vAlign w:val="center"/>
          </w:tcPr>
          <w:p w14:paraId="1BA826B2">
            <w:pPr>
              <w:pStyle w:val="42"/>
              <w:spacing w:before="0" w:beforeAutospacing="0" w:after="0" w:afterAutospacing="0" w:line="420" w:lineRule="atLeast"/>
              <w:jc w:val="center"/>
              <w:rPr>
                <w:rFonts w:hint="eastAsia"/>
                <w:sz w:val="21"/>
                <w:szCs w:val="21"/>
              </w:rPr>
            </w:pPr>
          </w:p>
        </w:tc>
        <w:tc>
          <w:tcPr>
            <w:tcW w:w="516" w:type="dxa"/>
            <w:vAlign w:val="center"/>
          </w:tcPr>
          <w:p w14:paraId="1CE12BE5">
            <w:pPr>
              <w:pStyle w:val="42"/>
              <w:spacing w:before="0" w:beforeAutospacing="0" w:after="0" w:afterAutospacing="0" w:line="420" w:lineRule="atLeast"/>
              <w:jc w:val="center"/>
              <w:rPr>
                <w:rFonts w:hint="eastAsia"/>
                <w:sz w:val="21"/>
                <w:szCs w:val="21"/>
              </w:rPr>
            </w:pPr>
          </w:p>
        </w:tc>
        <w:tc>
          <w:tcPr>
            <w:tcW w:w="366" w:type="dxa"/>
            <w:vAlign w:val="center"/>
          </w:tcPr>
          <w:p w14:paraId="055DB0A2">
            <w:pPr>
              <w:pStyle w:val="42"/>
              <w:spacing w:before="0" w:beforeAutospacing="0" w:after="0" w:afterAutospacing="0" w:line="420" w:lineRule="atLeast"/>
              <w:jc w:val="center"/>
              <w:rPr>
                <w:rFonts w:hint="eastAsia"/>
                <w:sz w:val="21"/>
                <w:szCs w:val="21"/>
              </w:rPr>
            </w:pPr>
          </w:p>
        </w:tc>
        <w:tc>
          <w:tcPr>
            <w:tcW w:w="221" w:type="dxa"/>
            <w:vAlign w:val="center"/>
          </w:tcPr>
          <w:p w14:paraId="764DF26B">
            <w:pPr>
              <w:pStyle w:val="42"/>
              <w:spacing w:before="0" w:beforeAutospacing="0" w:after="0" w:afterAutospacing="0" w:line="420" w:lineRule="atLeast"/>
              <w:jc w:val="center"/>
              <w:rPr>
                <w:rFonts w:hint="eastAsia"/>
                <w:sz w:val="21"/>
                <w:szCs w:val="21"/>
              </w:rPr>
            </w:pPr>
          </w:p>
        </w:tc>
        <w:tc>
          <w:tcPr>
            <w:tcW w:w="221" w:type="dxa"/>
            <w:vAlign w:val="center"/>
          </w:tcPr>
          <w:p w14:paraId="2759DC39">
            <w:pPr>
              <w:pStyle w:val="42"/>
              <w:spacing w:before="0" w:beforeAutospacing="0" w:after="0" w:afterAutospacing="0" w:line="420" w:lineRule="atLeast"/>
              <w:jc w:val="center"/>
              <w:rPr>
                <w:rFonts w:hint="eastAsia"/>
                <w:sz w:val="21"/>
                <w:szCs w:val="21"/>
              </w:rPr>
            </w:pPr>
          </w:p>
        </w:tc>
        <w:tc>
          <w:tcPr>
            <w:tcW w:w="221" w:type="dxa"/>
            <w:vAlign w:val="center"/>
          </w:tcPr>
          <w:p w14:paraId="3D62392B">
            <w:pPr>
              <w:pStyle w:val="42"/>
              <w:spacing w:before="0" w:beforeAutospacing="0" w:after="0" w:afterAutospacing="0" w:line="420" w:lineRule="atLeast"/>
              <w:jc w:val="center"/>
              <w:rPr>
                <w:rFonts w:hint="eastAsia"/>
                <w:sz w:val="21"/>
                <w:szCs w:val="21"/>
              </w:rPr>
            </w:pPr>
          </w:p>
        </w:tc>
        <w:tc>
          <w:tcPr>
            <w:tcW w:w="221" w:type="dxa"/>
            <w:vAlign w:val="center"/>
          </w:tcPr>
          <w:p w14:paraId="7C3804E1">
            <w:pPr>
              <w:pStyle w:val="42"/>
              <w:spacing w:before="0" w:beforeAutospacing="0" w:after="0" w:afterAutospacing="0" w:line="420" w:lineRule="atLeast"/>
              <w:jc w:val="center"/>
              <w:rPr>
                <w:rFonts w:hint="eastAsia"/>
                <w:sz w:val="21"/>
                <w:szCs w:val="21"/>
              </w:rPr>
            </w:pPr>
          </w:p>
        </w:tc>
      </w:tr>
      <w:tr w14:paraId="30FA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46686F25">
            <w:pPr>
              <w:pStyle w:val="42"/>
              <w:spacing w:before="0" w:beforeAutospacing="0" w:after="0" w:afterAutospacing="0" w:line="420" w:lineRule="atLeast"/>
              <w:jc w:val="center"/>
              <w:rPr>
                <w:rFonts w:hint="eastAsia"/>
                <w:sz w:val="21"/>
                <w:szCs w:val="21"/>
              </w:rPr>
            </w:pPr>
          </w:p>
        </w:tc>
        <w:tc>
          <w:tcPr>
            <w:tcW w:w="366" w:type="dxa"/>
            <w:vAlign w:val="center"/>
          </w:tcPr>
          <w:p w14:paraId="2F7CC9BD">
            <w:pPr>
              <w:pStyle w:val="42"/>
              <w:spacing w:before="0" w:beforeAutospacing="0" w:after="0" w:afterAutospacing="0" w:line="420" w:lineRule="atLeast"/>
              <w:jc w:val="center"/>
              <w:rPr>
                <w:rFonts w:hint="eastAsia"/>
                <w:sz w:val="21"/>
                <w:szCs w:val="21"/>
              </w:rPr>
            </w:pPr>
          </w:p>
        </w:tc>
        <w:tc>
          <w:tcPr>
            <w:tcW w:w="366" w:type="dxa"/>
            <w:vAlign w:val="center"/>
          </w:tcPr>
          <w:p w14:paraId="615435B2">
            <w:pPr>
              <w:pStyle w:val="42"/>
              <w:spacing w:before="0" w:beforeAutospacing="0" w:after="0" w:afterAutospacing="0" w:line="420" w:lineRule="atLeast"/>
              <w:jc w:val="center"/>
              <w:rPr>
                <w:rFonts w:hint="eastAsia"/>
                <w:sz w:val="21"/>
                <w:szCs w:val="21"/>
              </w:rPr>
            </w:pPr>
          </w:p>
        </w:tc>
        <w:tc>
          <w:tcPr>
            <w:tcW w:w="366" w:type="dxa"/>
            <w:vAlign w:val="center"/>
          </w:tcPr>
          <w:p w14:paraId="769CC5ED">
            <w:pPr>
              <w:pStyle w:val="42"/>
              <w:spacing w:before="0" w:beforeAutospacing="0" w:after="0" w:afterAutospacing="0" w:line="420" w:lineRule="atLeast"/>
              <w:jc w:val="center"/>
              <w:rPr>
                <w:rFonts w:hint="eastAsia"/>
                <w:sz w:val="21"/>
                <w:szCs w:val="21"/>
              </w:rPr>
            </w:pPr>
          </w:p>
        </w:tc>
        <w:tc>
          <w:tcPr>
            <w:tcW w:w="366" w:type="dxa"/>
            <w:vAlign w:val="center"/>
          </w:tcPr>
          <w:p w14:paraId="7762143F">
            <w:pPr>
              <w:pStyle w:val="42"/>
              <w:spacing w:before="0" w:beforeAutospacing="0" w:after="0" w:afterAutospacing="0" w:line="420" w:lineRule="atLeast"/>
              <w:jc w:val="center"/>
              <w:rPr>
                <w:rFonts w:hint="eastAsia"/>
                <w:sz w:val="21"/>
                <w:szCs w:val="21"/>
              </w:rPr>
            </w:pPr>
          </w:p>
        </w:tc>
        <w:tc>
          <w:tcPr>
            <w:tcW w:w="516" w:type="dxa"/>
            <w:vAlign w:val="center"/>
          </w:tcPr>
          <w:p w14:paraId="08AFBE89">
            <w:pPr>
              <w:pStyle w:val="42"/>
              <w:spacing w:before="0" w:beforeAutospacing="0" w:after="0" w:afterAutospacing="0" w:line="420" w:lineRule="atLeast"/>
              <w:jc w:val="center"/>
              <w:rPr>
                <w:rFonts w:hint="eastAsia"/>
                <w:sz w:val="21"/>
                <w:szCs w:val="21"/>
              </w:rPr>
            </w:pPr>
          </w:p>
        </w:tc>
        <w:tc>
          <w:tcPr>
            <w:tcW w:w="366" w:type="dxa"/>
            <w:vAlign w:val="center"/>
          </w:tcPr>
          <w:p w14:paraId="592D34CE">
            <w:pPr>
              <w:pStyle w:val="42"/>
              <w:spacing w:before="0" w:beforeAutospacing="0" w:after="0" w:afterAutospacing="0" w:line="420" w:lineRule="atLeast"/>
              <w:jc w:val="center"/>
              <w:rPr>
                <w:rFonts w:hint="eastAsia"/>
                <w:sz w:val="21"/>
                <w:szCs w:val="21"/>
              </w:rPr>
            </w:pPr>
          </w:p>
        </w:tc>
        <w:tc>
          <w:tcPr>
            <w:tcW w:w="366" w:type="dxa"/>
            <w:vAlign w:val="center"/>
          </w:tcPr>
          <w:p w14:paraId="364FB507">
            <w:pPr>
              <w:pStyle w:val="42"/>
              <w:spacing w:before="0" w:beforeAutospacing="0" w:after="0" w:afterAutospacing="0" w:line="420" w:lineRule="atLeast"/>
              <w:jc w:val="center"/>
              <w:rPr>
                <w:rFonts w:hint="eastAsia"/>
                <w:sz w:val="21"/>
                <w:szCs w:val="21"/>
              </w:rPr>
            </w:pPr>
          </w:p>
        </w:tc>
        <w:tc>
          <w:tcPr>
            <w:tcW w:w="516" w:type="dxa"/>
            <w:vAlign w:val="center"/>
          </w:tcPr>
          <w:p w14:paraId="2AE0A07D">
            <w:pPr>
              <w:pStyle w:val="42"/>
              <w:spacing w:before="0" w:beforeAutospacing="0" w:after="0" w:afterAutospacing="0" w:line="420" w:lineRule="atLeast"/>
              <w:jc w:val="center"/>
              <w:rPr>
                <w:rFonts w:hint="eastAsia"/>
                <w:sz w:val="21"/>
                <w:szCs w:val="21"/>
              </w:rPr>
            </w:pPr>
          </w:p>
        </w:tc>
        <w:tc>
          <w:tcPr>
            <w:tcW w:w="366" w:type="dxa"/>
            <w:vAlign w:val="center"/>
          </w:tcPr>
          <w:p w14:paraId="0679B82D">
            <w:pPr>
              <w:pStyle w:val="42"/>
              <w:spacing w:before="0" w:beforeAutospacing="0" w:after="0" w:afterAutospacing="0" w:line="420" w:lineRule="atLeast"/>
              <w:jc w:val="center"/>
              <w:rPr>
                <w:rFonts w:hint="eastAsia"/>
                <w:sz w:val="21"/>
                <w:szCs w:val="21"/>
              </w:rPr>
            </w:pPr>
          </w:p>
        </w:tc>
        <w:tc>
          <w:tcPr>
            <w:tcW w:w="516" w:type="dxa"/>
            <w:vAlign w:val="center"/>
          </w:tcPr>
          <w:p w14:paraId="069B44E2">
            <w:pPr>
              <w:pStyle w:val="42"/>
              <w:spacing w:before="0" w:beforeAutospacing="0" w:after="0" w:afterAutospacing="0" w:line="420" w:lineRule="atLeast"/>
              <w:jc w:val="center"/>
              <w:rPr>
                <w:rFonts w:hint="eastAsia"/>
                <w:sz w:val="21"/>
                <w:szCs w:val="21"/>
              </w:rPr>
            </w:pPr>
          </w:p>
        </w:tc>
        <w:tc>
          <w:tcPr>
            <w:tcW w:w="366" w:type="dxa"/>
            <w:vAlign w:val="center"/>
          </w:tcPr>
          <w:p w14:paraId="0DAE3DDD">
            <w:pPr>
              <w:pStyle w:val="42"/>
              <w:spacing w:before="0" w:beforeAutospacing="0" w:after="0" w:afterAutospacing="0" w:line="420" w:lineRule="atLeast"/>
              <w:jc w:val="center"/>
              <w:rPr>
                <w:rFonts w:hint="eastAsia"/>
                <w:sz w:val="21"/>
                <w:szCs w:val="21"/>
              </w:rPr>
            </w:pPr>
          </w:p>
        </w:tc>
        <w:tc>
          <w:tcPr>
            <w:tcW w:w="666" w:type="dxa"/>
            <w:vAlign w:val="center"/>
          </w:tcPr>
          <w:p w14:paraId="7087FDC1">
            <w:pPr>
              <w:pStyle w:val="42"/>
              <w:spacing w:before="0" w:beforeAutospacing="0" w:after="0" w:afterAutospacing="0" w:line="420" w:lineRule="atLeast"/>
              <w:jc w:val="center"/>
              <w:rPr>
                <w:rFonts w:hint="eastAsia"/>
                <w:sz w:val="21"/>
                <w:szCs w:val="21"/>
              </w:rPr>
            </w:pPr>
          </w:p>
        </w:tc>
        <w:tc>
          <w:tcPr>
            <w:tcW w:w="516" w:type="dxa"/>
            <w:vAlign w:val="center"/>
          </w:tcPr>
          <w:p w14:paraId="2C1ED757">
            <w:pPr>
              <w:pStyle w:val="42"/>
              <w:spacing w:before="0" w:beforeAutospacing="0" w:after="0" w:afterAutospacing="0" w:line="420" w:lineRule="atLeast"/>
              <w:jc w:val="center"/>
              <w:rPr>
                <w:rFonts w:hint="eastAsia"/>
                <w:sz w:val="21"/>
                <w:szCs w:val="21"/>
              </w:rPr>
            </w:pPr>
          </w:p>
        </w:tc>
        <w:tc>
          <w:tcPr>
            <w:tcW w:w="366" w:type="dxa"/>
            <w:vAlign w:val="center"/>
          </w:tcPr>
          <w:p w14:paraId="3637F2C2">
            <w:pPr>
              <w:pStyle w:val="42"/>
              <w:spacing w:before="0" w:beforeAutospacing="0" w:after="0" w:afterAutospacing="0" w:line="420" w:lineRule="atLeast"/>
              <w:jc w:val="center"/>
              <w:rPr>
                <w:rFonts w:hint="eastAsia"/>
                <w:sz w:val="21"/>
                <w:szCs w:val="21"/>
              </w:rPr>
            </w:pPr>
          </w:p>
        </w:tc>
        <w:tc>
          <w:tcPr>
            <w:tcW w:w="366" w:type="dxa"/>
            <w:vAlign w:val="center"/>
          </w:tcPr>
          <w:p w14:paraId="1B68C143">
            <w:pPr>
              <w:pStyle w:val="42"/>
              <w:spacing w:before="0" w:beforeAutospacing="0" w:after="0" w:afterAutospacing="0" w:line="420" w:lineRule="atLeast"/>
              <w:jc w:val="center"/>
              <w:rPr>
                <w:rFonts w:hint="eastAsia"/>
                <w:sz w:val="21"/>
                <w:szCs w:val="21"/>
              </w:rPr>
            </w:pPr>
          </w:p>
        </w:tc>
        <w:tc>
          <w:tcPr>
            <w:tcW w:w="516" w:type="dxa"/>
            <w:vAlign w:val="center"/>
          </w:tcPr>
          <w:p w14:paraId="1CCAF771">
            <w:pPr>
              <w:pStyle w:val="42"/>
              <w:spacing w:before="0" w:beforeAutospacing="0" w:after="0" w:afterAutospacing="0" w:line="420" w:lineRule="atLeast"/>
              <w:jc w:val="center"/>
              <w:rPr>
                <w:rFonts w:hint="eastAsia"/>
                <w:sz w:val="21"/>
                <w:szCs w:val="21"/>
              </w:rPr>
            </w:pPr>
          </w:p>
        </w:tc>
        <w:tc>
          <w:tcPr>
            <w:tcW w:w="366" w:type="dxa"/>
            <w:vAlign w:val="center"/>
          </w:tcPr>
          <w:p w14:paraId="31836432">
            <w:pPr>
              <w:pStyle w:val="42"/>
              <w:spacing w:before="0" w:beforeAutospacing="0" w:after="0" w:afterAutospacing="0" w:line="420" w:lineRule="atLeast"/>
              <w:jc w:val="center"/>
              <w:rPr>
                <w:rFonts w:hint="eastAsia"/>
                <w:sz w:val="21"/>
                <w:szCs w:val="21"/>
              </w:rPr>
            </w:pPr>
          </w:p>
        </w:tc>
        <w:tc>
          <w:tcPr>
            <w:tcW w:w="221" w:type="dxa"/>
            <w:vAlign w:val="center"/>
          </w:tcPr>
          <w:p w14:paraId="18A7AA35">
            <w:pPr>
              <w:pStyle w:val="42"/>
              <w:spacing w:before="0" w:beforeAutospacing="0" w:after="0" w:afterAutospacing="0" w:line="420" w:lineRule="atLeast"/>
              <w:jc w:val="center"/>
              <w:rPr>
                <w:rFonts w:hint="eastAsia"/>
                <w:sz w:val="21"/>
                <w:szCs w:val="21"/>
              </w:rPr>
            </w:pPr>
          </w:p>
        </w:tc>
        <w:tc>
          <w:tcPr>
            <w:tcW w:w="221" w:type="dxa"/>
            <w:vAlign w:val="center"/>
          </w:tcPr>
          <w:p w14:paraId="73397723">
            <w:pPr>
              <w:pStyle w:val="42"/>
              <w:spacing w:before="0" w:beforeAutospacing="0" w:after="0" w:afterAutospacing="0" w:line="420" w:lineRule="atLeast"/>
              <w:jc w:val="center"/>
              <w:rPr>
                <w:rFonts w:hint="eastAsia"/>
                <w:sz w:val="21"/>
                <w:szCs w:val="21"/>
              </w:rPr>
            </w:pPr>
          </w:p>
        </w:tc>
        <w:tc>
          <w:tcPr>
            <w:tcW w:w="221" w:type="dxa"/>
            <w:vAlign w:val="center"/>
          </w:tcPr>
          <w:p w14:paraId="7E9C6948">
            <w:pPr>
              <w:pStyle w:val="42"/>
              <w:spacing w:before="0" w:beforeAutospacing="0" w:after="0" w:afterAutospacing="0" w:line="420" w:lineRule="atLeast"/>
              <w:jc w:val="center"/>
              <w:rPr>
                <w:rFonts w:hint="eastAsia"/>
                <w:sz w:val="21"/>
                <w:szCs w:val="21"/>
              </w:rPr>
            </w:pPr>
          </w:p>
        </w:tc>
        <w:tc>
          <w:tcPr>
            <w:tcW w:w="221" w:type="dxa"/>
            <w:vAlign w:val="center"/>
          </w:tcPr>
          <w:p w14:paraId="517FDAD4">
            <w:pPr>
              <w:pStyle w:val="42"/>
              <w:spacing w:before="0" w:beforeAutospacing="0" w:after="0" w:afterAutospacing="0" w:line="420" w:lineRule="atLeast"/>
              <w:jc w:val="center"/>
              <w:rPr>
                <w:rFonts w:hint="eastAsia"/>
                <w:sz w:val="21"/>
                <w:szCs w:val="21"/>
              </w:rPr>
            </w:pPr>
          </w:p>
        </w:tc>
      </w:tr>
    </w:tbl>
    <w:p w14:paraId="2147F1F0">
      <w:pPr>
        <w:pStyle w:val="42"/>
        <w:spacing w:before="0" w:beforeAutospacing="0" w:after="0" w:afterAutospacing="0" w:line="420" w:lineRule="atLeast"/>
        <w:jc w:val="both"/>
        <w:rPr>
          <w:rFonts w:hint="eastAsia"/>
          <w:sz w:val="21"/>
          <w:szCs w:val="21"/>
        </w:rPr>
      </w:pPr>
    </w:p>
    <w:p w14:paraId="60195ABA">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47BA89E8">
      <w:pPr>
        <w:pStyle w:val="42"/>
        <w:spacing w:before="900" w:beforeAutospacing="0" w:after="0" w:afterAutospacing="0" w:line="420" w:lineRule="atLeast"/>
        <w:jc w:val="both"/>
        <w:rPr>
          <w:rFonts w:hint="eastAsia"/>
          <w:sz w:val="28"/>
          <w:szCs w:val="28"/>
        </w:rPr>
      </w:pPr>
    </w:p>
    <w:p w14:paraId="5A49582E">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1299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4AC8C0D1">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6408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3413A59A">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70C4E021">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4BD7545D">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1ECC4FB9">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1F1B412E">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73A0346F">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2CBB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35F29CA8">
            <w:pPr>
              <w:pStyle w:val="42"/>
              <w:spacing w:before="0" w:beforeAutospacing="0" w:after="0" w:afterAutospacing="0" w:line="420" w:lineRule="atLeast"/>
              <w:jc w:val="both"/>
              <w:rPr>
                <w:rFonts w:hint="eastAsia"/>
                <w:sz w:val="21"/>
                <w:szCs w:val="21"/>
              </w:rPr>
            </w:pPr>
            <w:r>
              <w:rPr>
                <w:rFonts w:hint="eastAsia"/>
                <w:sz w:val="21"/>
                <w:szCs w:val="21"/>
              </w:rPr>
              <w:t>核心交换机(一档XX类)</w:t>
            </w:r>
          </w:p>
        </w:tc>
        <w:tc>
          <w:tcPr>
            <w:tcW w:w="1775" w:type="dxa"/>
            <w:vAlign w:val="center"/>
          </w:tcPr>
          <w:p w14:paraId="3770A383">
            <w:pPr>
              <w:pStyle w:val="42"/>
              <w:spacing w:before="0" w:beforeAutospacing="0" w:after="0" w:afterAutospacing="0" w:line="420" w:lineRule="atLeast"/>
              <w:jc w:val="center"/>
              <w:rPr>
                <w:rFonts w:hint="eastAsia"/>
                <w:sz w:val="21"/>
                <w:szCs w:val="21"/>
              </w:rPr>
            </w:pPr>
          </w:p>
        </w:tc>
        <w:tc>
          <w:tcPr>
            <w:tcW w:w="1420" w:type="dxa"/>
            <w:vAlign w:val="center"/>
          </w:tcPr>
          <w:p w14:paraId="773DA131">
            <w:pPr>
              <w:pStyle w:val="42"/>
              <w:spacing w:before="0" w:beforeAutospacing="0" w:after="0" w:afterAutospacing="0" w:line="420" w:lineRule="atLeast"/>
              <w:jc w:val="center"/>
              <w:rPr>
                <w:rFonts w:hint="eastAsia"/>
                <w:sz w:val="21"/>
                <w:szCs w:val="21"/>
              </w:rPr>
            </w:pPr>
          </w:p>
        </w:tc>
        <w:tc>
          <w:tcPr>
            <w:tcW w:w="1420" w:type="dxa"/>
            <w:vAlign w:val="center"/>
          </w:tcPr>
          <w:p w14:paraId="125DD561">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34CFB864">
            <w:pPr>
              <w:pStyle w:val="42"/>
              <w:spacing w:before="0" w:beforeAutospacing="0" w:after="0" w:afterAutospacing="0" w:line="420" w:lineRule="atLeast"/>
              <w:jc w:val="center"/>
              <w:rPr>
                <w:rFonts w:hint="eastAsia"/>
                <w:sz w:val="21"/>
                <w:szCs w:val="21"/>
              </w:rPr>
            </w:pPr>
          </w:p>
        </w:tc>
        <w:tc>
          <w:tcPr>
            <w:tcW w:w="1421" w:type="dxa"/>
            <w:vAlign w:val="center"/>
          </w:tcPr>
          <w:p w14:paraId="1FE1991D">
            <w:pPr>
              <w:pStyle w:val="42"/>
              <w:spacing w:before="0" w:beforeAutospacing="0" w:after="0" w:afterAutospacing="0" w:line="420" w:lineRule="atLeast"/>
              <w:jc w:val="center"/>
              <w:rPr>
                <w:rFonts w:hint="eastAsia"/>
                <w:sz w:val="21"/>
                <w:szCs w:val="21"/>
              </w:rPr>
            </w:pPr>
          </w:p>
        </w:tc>
      </w:tr>
      <w:tr w14:paraId="69E85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3966D05C">
            <w:pPr>
              <w:pStyle w:val="42"/>
              <w:spacing w:before="0" w:beforeAutospacing="0" w:after="0" w:afterAutospacing="0" w:line="420" w:lineRule="atLeast"/>
              <w:jc w:val="center"/>
              <w:rPr>
                <w:rFonts w:hint="eastAsia"/>
                <w:sz w:val="21"/>
                <w:szCs w:val="21"/>
              </w:rPr>
            </w:pPr>
          </w:p>
        </w:tc>
        <w:tc>
          <w:tcPr>
            <w:tcW w:w="1775" w:type="dxa"/>
            <w:vAlign w:val="center"/>
          </w:tcPr>
          <w:p w14:paraId="38543177">
            <w:pPr>
              <w:pStyle w:val="42"/>
              <w:spacing w:before="0" w:beforeAutospacing="0" w:after="0" w:afterAutospacing="0" w:line="420" w:lineRule="atLeast"/>
              <w:jc w:val="center"/>
              <w:rPr>
                <w:rFonts w:hint="eastAsia"/>
                <w:sz w:val="21"/>
                <w:szCs w:val="21"/>
              </w:rPr>
            </w:pPr>
          </w:p>
        </w:tc>
        <w:tc>
          <w:tcPr>
            <w:tcW w:w="1420" w:type="dxa"/>
            <w:vAlign w:val="center"/>
          </w:tcPr>
          <w:p w14:paraId="10FA661E">
            <w:pPr>
              <w:pStyle w:val="42"/>
              <w:spacing w:before="0" w:beforeAutospacing="0" w:after="0" w:afterAutospacing="0" w:line="420" w:lineRule="atLeast"/>
              <w:jc w:val="center"/>
              <w:rPr>
                <w:rFonts w:hint="eastAsia"/>
                <w:sz w:val="21"/>
                <w:szCs w:val="21"/>
              </w:rPr>
            </w:pPr>
          </w:p>
        </w:tc>
        <w:tc>
          <w:tcPr>
            <w:tcW w:w="1420" w:type="dxa"/>
            <w:vAlign w:val="center"/>
          </w:tcPr>
          <w:p w14:paraId="712C561A">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4CF00F0B">
            <w:pPr>
              <w:pStyle w:val="42"/>
              <w:spacing w:before="0" w:beforeAutospacing="0" w:after="0" w:afterAutospacing="0" w:line="420" w:lineRule="atLeast"/>
              <w:jc w:val="center"/>
              <w:rPr>
                <w:rFonts w:hint="eastAsia"/>
                <w:sz w:val="21"/>
                <w:szCs w:val="21"/>
              </w:rPr>
            </w:pPr>
          </w:p>
        </w:tc>
        <w:tc>
          <w:tcPr>
            <w:tcW w:w="1421" w:type="dxa"/>
            <w:vAlign w:val="center"/>
          </w:tcPr>
          <w:p w14:paraId="307DEC8B">
            <w:pPr>
              <w:pStyle w:val="42"/>
              <w:spacing w:before="0" w:beforeAutospacing="0" w:after="0" w:afterAutospacing="0" w:line="420" w:lineRule="atLeast"/>
              <w:jc w:val="center"/>
              <w:rPr>
                <w:rFonts w:hint="eastAsia"/>
                <w:sz w:val="21"/>
                <w:szCs w:val="21"/>
              </w:rPr>
            </w:pPr>
          </w:p>
        </w:tc>
      </w:tr>
      <w:tr w14:paraId="0A0F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118F7616">
            <w:pPr>
              <w:pStyle w:val="42"/>
              <w:spacing w:before="0" w:beforeAutospacing="0" w:after="0" w:afterAutospacing="0" w:line="420" w:lineRule="atLeast"/>
              <w:jc w:val="center"/>
              <w:rPr>
                <w:rFonts w:hint="eastAsia"/>
                <w:sz w:val="21"/>
                <w:szCs w:val="21"/>
              </w:rPr>
            </w:pPr>
          </w:p>
        </w:tc>
        <w:tc>
          <w:tcPr>
            <w:tcW w:w="1775" w:type="dxa"/>
            <w:vAlign w:val="center"/>
          </w:tcPr>
          <w:p w14:paraId="47B1D8BF">
            <w:pPr>
              <w:pStyle w:val="42"/>
              <w:spacing w:before="0" w:beforeAutospacing="0" w:after="0" w:afterAutospacing="0" w:line="420" w:lineRule="atLeast"/>
              <w:jc w:val="center"/>
              <w:rPr>
                <w:rFonts w:hint="eastAsia"/>
                <w:sz w:val="21"/>
                <w:szCs w:val="21"/>
              </w:rPr>
            </w:pPr>
          </w:p>
        </w:tc>
        <w:tc>
          <w:tcPr>
            <w:tcW w:w="1420" w:type="dxa"/>
            <w:vAlign w:val="center"/>
          </w:tcPr>
          <w:p w14:paraId="0CD4FE6B">
            <w:pPr>
              <w:pStyle w:val="42"/>
              <w:spacing w:before="0" w:beforeAutospacing="0" w:after="0" w:afterAutospacing="0" w:line="420" w:lineRule="atLeast"/>
              <w:jc w:val="center"/>
              <w:rPr>
                <w:rFonts w:hint="eastAsia"/>
                <w:sz w:val="21"/>
                <w:szCs w:val="21"/>
              </w:rPr>
            </w:pPr>
          </w:p>
        </w:tc>
        <w:tc>
          <w:tcPr>
            <w:tcW w:w="1420" w:type="dxa"/>
            <w:vAlign w:val="center"/>
          </w:tcPr>
          <w:p w14:paraId="6230F8FB">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0BCC922C">
            <w:pPr>
              <w:pStyle w:val="42"/>
              <w:spacing w:before="0" w:beforeAutospacing="0" w:after="0" w:afterAutospacing="0" w:line="420" w:lineRule="atLeast"/>
              <w:jc w:val="center"/>
              <w:rPr>
                <w:rFonts w:hint="eastAsia"/>
                <w:sz w:val="21"/>
                <w:szCs w:val="21"/>
              </w:rPr>
            </w:pPr>
          </w:p>
        </w:tc>
        <w:tc>
          <w:tcPr>
            <w:tcW w:w="1421" w:type="dxa"/>
            <w:vAlign w:val="center"/>
          </w:tcPr>
          <w:p w14:paraId="4210656C">
            <w:pPr>
              <w:pStyle w:val="42"/>
              <w:spacing w:before="0" w:beforeAutospacing="0" w:after="0" w:afterAutospacing="0" w:line="420" w:lineRule="atLeast"/>
              <w:jc w:val="center"/>
              <w:rPr>
                <w:rFonts w:hint="eastAsia"/>
                <w:sz w:val="21"/>
                <w:szCs w:val="21"/>
              </w:rPr>
            </w:pPr>
          </w:p>
        </w:tc>
      </w:tr>
      <w:tr w14:paraId="07BD4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155FDF3D">
            <w:pPr>
              <w:pStyle w:val="42"/>
              <w:spacing w:before="0" w:beforeAutospacing="0" w:after="0" w:afterAutospacing="0" w:line="420" w:lineRule="atLeast"/>
              <w:jc w:val="center"/>
              <w:rPr>
                <w:rFonts w:hint="eastAsia"/>
                <w:sz w:val="21"/>
                <w:szCs w:val="21"/>
              </w:rPr>
            </w:pPr>
          </w:p>
        </w:tc>
        <w:tc>
          <w:tcPr>
            <w:tcW w:w="1775" w:type="dxa"/>
            <w:vAlign w:val="center"/>
          </w:tcPr>
          <w:p w14:paraId="1A03D219">
            <w:pPr>
              <w:pStyle w:val="42"/>
              <w:spacing w:before="0" w:beforeAutospacing="0" w:after="0" w:afterAutospacing="0" w:line="420" w:lineRule="atLeast"/>
              <w:jc w:val="center"/>
              <w:rPr>
                <w:rFonts w:hint="eastAsia"/>
                <w:sz w:val="21"/>
                <w:szCs w:val="21"/>
              </w:rPr>
            </w:pPr>
          </w:p>
        </w:tc>
        <w:tc>
          <w:tcPr>
            <w:tcW w:w="1420" w:type="dxa"/>
            <w:vAlign w:val="center"/>
          </w:tcPr>
          <w:p w14:paraId="1F9FBFA2">
            <w:pPr>
              <w:pStyle w:val="42"/>
              <w:spacing w:before="0" w:beforeAutospacing="0" w:after="0" w:afterAutospacing="0" w:line="420" w:lineRule="atLeast"/>
              <w:jc w:val="center"/>
              <w:rPr>
                <w:rFonts w:hint="eastAsia"/>
                <w:sz w:val="21"/>
                <w:szCs w:val="21"/>
              </w:rPr>
            </w:pPr>
          </w:p>
        </w:tc>
        <w:tc>
          <w:tcPr>
            <w:tcW w:w="1420" w:type="dxa"/>
            <w:vAlign w:val="center"/>
          </w:tcPr>
          <w:p w14:paraId="4E876651">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3B6D21AB">
            <w:pPr>
              <w:pStyle w:val="42"/>
              <w:spacing w:before="0" w:beforeAutospacing="0" w:after="0" w:afterAutospacing="0" w:line="420" w:lineRule="atLeast"/>
              <w:jc w:val="center"/>
              <w:rPr>
                <w:rFonts w:hint="eastAsia"/>
                <w:sz w:val="21"/>
                <w:szCs w:val="21"/>
              </w:rPr>
            </w:pPr>
          </w:p>
        </w:tc>
        <w:tc>
          <w:tcPr>
            <w:tcW w:w="1421" w:type="dxa"/>
            <w:vAlign w:val="center"/>
          </w:tcPr>
          <w:p w14:paraId="64B17AB4">
            <w:pPr>
              <w:pStyle w:val="42"/>
              <w:spacing w:before="0" w:beforeAutospacing="0" w:after="0" w:afterAutospacing="0" w:line="420" w:lineRule="atLeast"/>
              <w:jc w:val="center"/>
              <w:rPr>
                <w:rFonts w:hint="eastAsia"/>
                <w:sz w:val="21"/>
                <w:szCs w:val="21"/>
              </w:rPr>
            </w:pPr>
          </w:p>
        </w:tc>
      </w:tr>
    </w:tbl>
    <w:p w14:paraId="0349408F">
      <w:pPr>
        <w:pStyle w:val="42"/>
        <w:spacing w:before="900" w:beforeAutospacing="0" w:after="0" w:afterAutospacing="0" w:line="420" w:lineRule="atLeast"/>
        <w:jc w:val="both"/>
        <w:rPr>
          <w:rFonts w:hint="eastAsia"/>
          <w:sz w:val="28"/>
          <w:szCs w:val="28"/>
        </w:rPr>
      </w:pPr>
    </w:p>
    <w:p w14:paraId="2C3E688B">
      <w:pPr>
        <w:pStyle w:val="42"/>
        <w:spacing w:before="900" w:beforeAutospacing="0" w:after="0" w:afterAutospacing="0" w:line="420" w:lineRule="atLeast"/>
        <w:jc w:val="both"/>
        <w:rPr>
          <w:rFonts w:hint="eastAsia"/>
          <w:sz w:val="28"/>
          <w:szCs w:val="28"/>
        </w:rPr>
      </w:pPr>
    </w:p>
    <w:p w14:paraId="713D77FC">
      <w:pPr>
        <w:pStyle w:val="42"/>
        <w:spacing w:before="900" w:beforeAutospacing="0" w:after="0" w:afterAutospacing="0" w:line="420" w:lineRule="atLeast"/>
        <w:jc w:val="both"/>
        <w:rPr>
          <w:rFonts w:hint="eastAsia"/>
          <w:sz w:val="28"/>
          <w:szCs w:val="28"/>
        </w:rPr>
      </w:pPr>
    </w:p>
    <w:p w14:paraId="5E30E712">
      <w:pPr>
        <w:pStyle w:val="42"/>
        <w:spacing w:before="900" w:beforeAutospacing="0" w:after="0" w:afterAutospacing="0" w:line="420" w:lineRule="atLeast"/>
        <w:jc w:val="both"/>
        <w:rPr>
          <w:rFonts w:hint="eastAsia"/>
          <w:sz w:val="28"/>
          <w:szCs w:val="28"/>
        </w:rPr>
      </w:pPr>
    </w:p>
    <w:p w14:paraId="487B9F2B">
      <w:pPr>
        <w:pStyle w:val="42"/>
        <w:spacing w:before="900" w:beforeAutospacing="0" w:after="0" w:afterAutospacing="0" w:line="420" w:lineRule="atLeast"/>
        <w:jc w:val="both"/>
        <w:rPr>
          <w:rFonts w:hint="eastAsia"/>
          <w:sz w:val="28"/>
          <w:szCs w:val="28"/>
        </w:rPr>
      </w:pPr>
    </w:p>
    <w:p w14:paraId="75751CBD">
      <w:pPr>
        <w:pStyle w:val="42"/>
        <w:spacing w:before="900" w:beforeAutospacing="0" w:after="0" w:afterAutospacing="0" w:line="420" w:lineRule="atLeast"/>
        <w:jc w:val="both"/>
        <w:rPr>
          <w:rFonts w:hint="eastAsia"/>
          <w:sz w:val="28"/>
          <w:szCs w:val="28"/>
        </w:rPr>
      </w:pPr>
    </w:p>
    <w:p w14:paraId="4996010C">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6220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1AB30DB1">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61E6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264D9F9D">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66" w:type="dxa"/>
            <w:vAlign w:val="center"/>
          </w:tcPr>
          <w:p w14:paraId="0AF0FFFD">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66" w:type="dxa"/>
            <w:vAlign w:val="center"/>
          </w:tcPr>
          <w:p w14:paraId="5A9937FE">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66" w:type="dxa"/>
            <w:vAlign w:val="center"/>
          </w:tcPr>
          <w:p w14:paraId="4305F61F">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66" w:type="dxa"/>
            <w:vAlign w:val="center"/>
          </w:tcPr>
          <w:p w14:paraId="56BFDDD9">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516" w:type="dxa"/>
            <w:vAlign w:val="center"/>
          </w:tcPr>
          <w:p w14:paraId="19AEBED4">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66" w:type="dxa"/>
            <w:vAlign w:val="center"/>
          </w:tcPr>
          <w:p w14:paraId="5FDB7B31">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66" w:type="dxa"/>
            <w:vAlign w:val="center"/>
          </w:tcPr>
          <w:p w14:paraId="0211FF24">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16" w:type="dxa"/>
            <w:vAlign w:val="center"/>
          </w:tcPr>
          <w:p w14:paraId="0775B09E">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66" w:type="dxa"/>
            <w:vAlign w:val="center"/>
          </w:tcPr>
          <w:p w14:paraId="49055B24">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516" w:type="dxa"/>
            <w:vAlign w:val="center"/>
          </w:tcPr>
          <w:p w14:paraId="6D865852">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66" w:type="dxa"/>
            <w:vAlign w:val="center"/>
          </w:tcPr>
          <w:p w14:paraId="55F7340E">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666" w:type="dxa"/>
            <w:vAlign w:val="center"/>
          </w:tcPr>
          <w:p w14:paraId="0794D714">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516" w:type="dxa"/>
            <w:vAlign w:val="center"/>
          </w:tcPr>
          <w:p w14:paraId="740BD382">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66" w:type="dxa"/>
            <w:vAlign w:val="center"/>
          </w:tcPr>
          <w:p w14:paraId="04BE19BE">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66" w:type="dxa"/>
            <w:vAlign w:val="center"/>
          </w:tcPr>
          <w:p w14:paraId="0BEE36B7">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516" w:type="dxa"/>
            <w:vAlign w:val="center"/>
          </w:tcPr>
          <w:p w14:paraId="4CB5AFCB">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66" w:type="dxa"/>
            <w:vAlign w:val="center"/>
          </w:tcPr>
          <w:p w14:paraId="7125EA1E">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569365E7">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221" w:type="dxa"/>
            <w:vAlign w:val="center"/>
          </w:tcPr>
          <w:p w14:paraId="6FB9230F">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221" w:type="dxa"/>
            <w:vAlign w:val="center"/>
          </w:tcPr>
          <w:p w14:paraId="2C82F5FB">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372357A8">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24100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63F186D1">
            <w:pPr>
              <w:pStyle w:val="42"/>
              <w:spacing w:before="0" w:beforeAutospacing="0" w:after="0" w:afterAutospacing="0" w:line="420" w:lineRule="atLeast"/>
              <w:jc w:val="center"/>
              <w:rPr>
                <w:rFonts w:hint="eastAsia"/>
                <w:sz w:val="21"/>
                <w:szCs w:val="21"/>
              </w:rPr>
            </w:pPr>
          </w:p>
        </w:tc>
        <w:tc>
          <w:tcPr>
            <w:tcW w:w="366" w:type="dxa"/>
            <w:vAlign w:val="center"/>
          </w:tcPr>
          <w:p w14:paraId="43CDEC1F">
            <w:pPr>
              <w:pStyle w:val="42"/>
              <w:spacing w:before="0" w:beforeAutospacing="0" w:after="0" w:afterAutospacing="0" w:line="420" w:lineRule="atLeast"/>
              <w:jc w:val="center"/>
              <w:rPr>
                <w:rFonts w:hint="eastAsia"/>
                <w:sz w:val="21"/>
                <w:szCs w:val="21"/>
              </w:rPr>
            </w:pPr>
          </w:p>
        </w:tc>
        <w:tc>
          <w:tcPr>
            <w:tcW w:w="366" w:type="dxa"/>
            <w:vAlign w:val="center"/>
          </w:tcPr>
          <w:p w14:paraId="4DE84631">
            <w:pPr>
              <w:pStyle w:val="42"/>
              <w:spacing w:before="0" w:beforeAutospacing="0" w:after="0" w:afterAutospacing="0" w:line="420" w:lineRule="atLeast"/>
              <w:jc w:val="center"/>
              <w:rPr>
                <w:rFonts w:hint="eastAsia"/>
                <w:sz w:val="21"/>
                <w:szCs w:val="21"/>
              </w:rPr>
            </w:pPr>
          </w:p>
        </w:tc>
        <w:tc>
          <w:tcPr>
            <w:tcW w:w="366" w:type="dxa"/>
            <w:vAlign w:val="center"/>
          </w:tcPr>
          <w:p w14:paraId="62D992FA">
            <w:pPr>
              <w:pStyle w:val="42"/>
              <w:spacing w:before="0" w:beforeAutospacing="0" w:after="0" w:afterAutospacing="0" w:line="420" w:lineRule="atLeast"/>
              <w:jc w:val="center"/>
              <w:rPr>
                <w:rFonts w:hint="eastAsia"/>
                <w:sz w:val="21"/>
                <w:szCs w:val="21"/>
              </w:rPr>
            </w:pPr>
          </w:p>
        </w:tc>
        <w:tc>
          <w:tcPr>
            <w:tcW w:w="366" w:type="dxa"/>
            <w:vAlign w:val="center"/>
          </w:tcPr>
          <w:p w14:paraId="4FE85E1B">
            <w:pPr>
              <w:pStyle w:val="42"/>
              <w:spacing w:before="0" w:beforeAutospacing="0" w:after="0" w:afterAutospacing="0" w:line="420" w:lineRule="atLeast"/>
              <w:jc w:val="center"/>
              <w:rPr>
                <w:rFonts w:hint="eastAsia"/>
                <w:sz w:val="21"/>
                <w:szCs w:val="21"/>
              </w:rPr>
            </w:pPr>
          </w:p>
        </w:tc>
        <w:tc>
          <w:tcPr>
            <w:tcW w:w="516" w:type="dxa"/>
            <w:vAlign w:val="center"/>
          </w:tcPr>
          <w:p w14:paraId="206F111F">
            <w:pPr>
              <w:pStyle w:val="42"/>
              <w:spacing w:before="0" w:beforeAutospacing="0" w:after="0" w:afterAutospacing="0" w:line="420" w:lineRule="atLeast"/>
              <w:jc w:val="center"/>
              <w:rPr>
                <w:rFonts w:hint="eastAsia"/>
                <w:sz w:val="21"/>
                <w:szCs w:val="21"/>
              </w:rPr>
            </w:pPr>
          </w:p>
        </w:tc>
        <w:tc>
          <w:tcPr>
            <w:tcW w:w="366" w:type="dxa"/>
            <w:vAlign w:val="center"/>
          </w:tcPr>
          <w:p w14:paraId="5FF08789">
            <w:pPr>
              <w:pStyle w:val="42"/>
              <w:spacing w:before="0" w:beforeAutospacing="0" w:after="0" w:afterAutospacing="0" w:line="420" w:lineRule="atLeast"/>
              <w:jc w:val="center"/>
              <w:rPr>
                <w:rFonts w:hint="eastAsia"/>
                <w:sz w:val="21"/>
                <w:szCs w:val="21"/>
              </w:rPr>
            </w:pPr>
          </w:p>
        </w:tc>
        <w:tc>
          <w:tcPr>
            <w:tcW w:w="366" w:type="dxa"/>
            <w:vAlign w:val="center"/>
          </w:tcPr>
          <w:p w14:paraId="298C723B">
            <w:pPr>
              <w:pStyle w:val="42"/>
              <w:spacing w:before="0" w:beforeAutospacing="0" w:after="0" w:afterAutospacing="0" w:line="420" w:lineRule="atLeast"/>
              <w:jc w:val="center"/>
              <w:rPr>
                <w:rFonts w:hint="eastAsia"/>
                <w:sz w:val="21"/>
                <w:szCs w:val="21"/>
              </w:rPr>
            </w:pPr>
          </w:p>
        </w:tc>
        <w:tc>
          <w:tcPr>
            <w:tcW w:w="516" w:type="dxa"/>
            <w:vAlign w:val="center"/>
          </w:tcPr>
          <w:p w14:paraId="0C0704A6">
            <w:pPr>
              <w:pStyle w:val="42"/>
              <w:spacing w:before="0" w:beforeAutospacing="0" w:after="0" w:afterAutospacing="0" w:line="420" w:lineRule="atLeast"/>
              <w:jc w:val="center"/>
              <w:rPr>
                <w:rFonts w:hint="eastAsia"/>
                <w:sz w:val="21"/>
                <w:szCs w:val="21"/>
              </w:rPr>
            </w:pPr>
          </w:p>
        </w:tc>
        <w:tc>
          <w:tcPr>
            <w:tcW w:w="366" w:type="dxa"/>
            <w:vAlign w:val="center"/>
          </w:tcPr>
          <w:p w14:paraId="044A0529">
            <w:pPr>
              <w:pStyle w:val="42"/>
              <w:spacing w:before="0" w:beforeAutospacing="0" w:after="0" w:afterAutospacing="0" w:line="420" w:lineRule="atLeast"/>
              <w:jc w:val="center"/>
              <w:rPr>
                <w:rFonts w:hint="eastAsia"/>
                <w:sz w:val="21"/>
                <w:szCs w:val="21"/>
              </w:rPr>
            </w:pPr>
          </w:p>
        </w:tc>
        <w:tc>
          <w:tcPr>
            <w:tcW w:w="516" w:type="dxa"/>
            <w:vAlign w:val="center"/>
          </w:tcPr>
          <w:p w14:paraId="26B4B9DB">
            <w:pPr>
              <w:pStyle w:val="42"/>
              <w:spacing w:before="0" w:beforeAutospacing="0" w:after="0" w:afterAutospacing="0" w:line="420" w:lineRule="atLeast"/>
              <w:jc w:val="center"/>
              <w:rPr>
                <w:rFonts w:hint="eastAsia"/>
                <w:sz w:val="21"/>
                <w:szCs w:val="21"/>
              </w:rPr>
            </w:pPr>
          </w:p>
        </w:tc>
        <w:tc>
          <w:tcPr>
            <w:tcW w:w="366" w:type="dxa"/>
            <w:vAlign w:val="center"/>
          </w:tcPr>
          <w:p w14:paraId="7E4AD6BA">
            <w:pPr>
              <w:pStyle w:val="42"/>
              <w:spacing w:before="0" w:beforeAutospacing="0" w:after="0" w:afterAutospacing="0" w:line="420" w:lineRule="atLeast"/>
              <w:jc w:val="center"/>
              <w:rPr>
                <w:rFonts w:hint="eastAsia"/>
                <w:sz w:val="21"/>
                <w:szCs w:val="21"/>
              </w:rPr>
            </w:pPr>
          </w:p>
        </w:tc>
        <w:tc>
          <w:tcPr>
            <w:tcW w:w="666" w:type="dxa"/>
            <w:vAlign w:val="center"/>
          </w:tcPr>
          <w:p w14:paraId="181CAB6A">
            <w:pPr>
              <w:pStyle w:val="42"/>
              <w:spacing w:before="0" w:beforeAutospacing="0" w:after="0" w:afterAutospacing="0" w:line="420" w:lineRule="atLeast"/>
              <w:jc w:val="center"/>
              <w:rPr>
                <w:rFonts w:hint="eastAsia"/>
                <w:sz w:val="21"/>
                <w:szCs w:val="21"/>
              </w:rPr>
            </w:pPr>
          </w:p>
        </w:tc>
        <w:tc>
          <w:tcPr>
            <w:tcW w:w="516" w:type="dxa"/>
            <w:vAlign w:val="center"/>
          </w:tcPr>
          <w:p w14:paraId="1EE8AF24">
            <w:pPr>
              <w:pStyle w:val="42"/>
              <w:spacing w:before="0" w:beforeAutospacing="0" w:after="0" w:afterAutospacing="0" w:line="420" w:lineRule="atLeast"/>
              <w:jc w:val="center"/>
              <w:rPr>
                <w:rFonts w:hint="eastAsia"/>
                <w:sz w:val="21"/>
                <w:szCs w:val="21"/>
              </w:rPr>
            </w:pPr>
          </w:p>
        </w:tc>
        <w:tc>
          <w:tcPr>
            <w:tcW w:w="366" w:type="dxa"/>
            <w:vAlign w:val="center"/>
          </w:tcPr>
          <w:p w14:paraId="5F93C34E">
            <w:pPr>
              <w:pStyle w:val="42"/>
              <w:spacing w:before="0" w:beforeAutospacing="0" w:after="0" w:afterAutospacing="0" w:line="420" w:lineRule="atLeast"/>
              <w:jc w:val="center"/>
              <w:rPr>
                <w:rFonts w:hint="eastAsia"/>
                <w:sz w:val="21"/>
                <w:szCs w:val="21"/>
              </w:rPr>
            </w:pPr>
          </w:p>
        </w:tc>
        <w:tc>
          <w:tcPr>
            <w:tcW w:w="366" w:type="dxa"/>
            <w:vAlign w:val="center"/>
          </w:tcPr>
          <w:p w14:paraId="42B86F43">
            <w:pPr>
              <w:pStyle w:val="42"/>
              <w:spacing w:before="0" w:beforeAutospacing="0" w:after="0" w:afterAutospacing="0" w:line="420" w:lineRule="atLeast"/>
              <w:jc w:val="center"/>
              <w:rPr>
                <w:rFonts w:hint="eastAsia"/>
                <w:sz w:val="21"/>
                <w:szCs w:val="21"/>
              </w:rPr>
            </w:pPr>
          </w:p>
        </w:tc>
        <w:tc>
          <w:tcPr>
            <w:tcW w:w="516" w:type="dxa"/>
            <w:vAlign w:val="center"/>
          </w:tcPr>
          <w:p w14:paraId="389134B5">
            <w:pPr>
              <w:pStyle w:val="42"/>
              <w:spacing w:before="0" w:beforeAutospacing="0" w:after="0" w:afterAutospacing="0" w:line="420" w:lineRule="atLeast"/>
              <w:jc w:val="center"/>
              <w:rPr>
                <w:rFonts w:hint="eastAsia"/>
                <w:sz w:val="21"/>
                <w:szCs w:val="21"/>
              </w:rPr>
            </w:pPr>
          </w:p>
        </w:tc>
        <w:tc>
          <w:tcPr>
            <w:tcW w:w="366" w:type="dxa"/>
            <w:vAlign w:val="center"/>
          </w:tcPr>
          <w:p w14:paraId="359FD5A7">
            <w:pPr>
              <w:pStyle w:val="42"/>
              <w:spacing w:before="0" w:beforeAutospacing="0" w:after="0" w:afterAutospacing="0" w:line="420" w:lineRule="atLeast"/>
              <w:jc w:val="center"/>
              <w:rPr>
                <w:rFonts w:hint="eastAsia"/>
                <w:sz w:val="21"/>
                <w:szCs w:val="21"/>
              </w:rPr>
            </w:pPr>
          </w:p>
        </w:tc>
        <w:tc>
          <w:tcPr>
            <w:tcW w:w="221" w:type="dxa"/>
            <w:vAlign w:val="center"/>
          </w:tcPr>
          <w:p w14:paraId="4FD42F99">
            <w:pPr>
              <w:pStyle w:val="42"/>
              <w:spacing w:before="0" w:beforeAutospacing="0" w:after="0" w:afterAutospacing="0" w:line="420" w:lineRule="atLeast"/>
              <w:jc w:val="center"/>
              <w:rPr>
                <w:rFonts w:hint="eastAsia"/>
                <w:sz w:val="21"/>
                <w:szCs w:val="21"/>
              </w:rPr>
            </w:pPr>
          </w:p>
        </w:tc>
        <w:tc>
          <w:tcPr>
            <w:tcW w:w="221" w:type="dxa"/>
            <w:vAlign w:val="center"/>
          </w:tcPr>
          <w:p w14:paraId="1A32E8CF">
            <w:pPr>
              <w:pStyle w:val="42"/>
              <w:spacing w:before="0" w:beforeAutospacing="0" w:after="0" w:afterAutospacing="0" w:line="420" w:lineRule="atLeast"/>
              <w:jc w:val="center"/>
              <w:rPr>
                <w:rFonts w:hint="eastAsia"/>
                <w:sz w:val="21"/>
                <w:szCs w:val="21"/>
              </w:rPr>
            </w:pPr>
          </w:p>
        </w:tc>
        <w:tc>
          <w:tcPr>
            <w:tcW w:w="221" w:type="dxa"/>
            <w:vAlign w:val="center"/>
          </w:tcPr>
          <w:p w14:paraId="2E1A1A14">
            <w:pPr>
              <w:pStyle w:val="42"/>
              <w:spacing w:before="0" w:beforeAutospacing="0" w:after="0" w:afterAutospacing="0" w:line="420" w:lineRule="atLeast"/>
              <w:jc w:val="center"/>
              <w:rPr>
                <w:rFonts w:hint="eastAsia"/>
                <w:sz w:val="21"/>
                <w:szCs w:val="21"/>
              </w:rPr>
            </w:pPr>
          </w:p>
        </w:tc>
        <w:tc>
          <w:tcPr>
            <w:tcW w:w="221" w:type="dxa"/>
            <w:vAlign w:val="center"/>
          </w:tcPr>
          <w:p w14:paraId="3A6732AE">
            <w:pPr>
              <w:pStyle w:val="42"/>
              <w:spacing w:before="0" w:beforeAutospacing="0" w:after="0" w:afterAutospacing="0" w:line="420" w:lineRule="atLeast"/>
              <w:jc w:val="center"/>
              <w:rPr>
                <w:rFonts w:hint="eastAsia"/>
                <w:sz w:val="21"/>
                <w:szCs w:val="21"/>
              </w:rPr>
            </w:pPr>
          </w:p>
        </w:tc>
      </w:tr>
      <w:tr w14:paraId="2546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15DB9BB8">
            <w:pPr>
              <w:pStyle w:val="42"/>
              <w:spacing w:before="0" w:beforeAutospacing="0" w:after="0" w:afterAutospacing="0" w:line="420" w:lineRule="atLeast"/>
              <w:jc w:val="center"/>
              <w:rPr>
                <w:rFonts w:hint="eastAsia"/>
                <w:sz w:val="21"/>
                <w:szCs w:val="21"/>
              </w:rPr>
            </w:pPr>
          </w:p>
        </w:tc>
        <w:tc>
          <w:tcPr>
            <w:tcW w:w="366" w:type="dxa"/>
            <w:vAlign w:val="center"/>
          </w:tcPr>
          <w:p w14:paraId="24F1A907">
            <w:pPr>
              <w:pStyle w:val="42"/>
              <w:spacing w:before="0" w:beforeAutospacing="0" w:after="0" w:afterAutospacing="0" w:line="420" w:lineRule="atLeast"/>
              <w:jc w:val="center"/>
              <w:rPr>
                <w:rFonts w:hint="eastAsia"/>
                <w:sz w:val="21"/>
                <w:szCs w:val="21"/>
              </w:rPr>
            </w:pPr>
          </w:p>
        </w:tc>
        <w:tc>
          <w:tcPr>
            <w:tcW w:w="366" w:type="dxa"/>
            <w:vAlign w:val="center"/>
          </w:tcPr>
          <w:p w14:paraId="65EE3A72">
            <w:pPr>
              <w:pStyle w:val="42"/>
              <w:spacing w:before="0" w:beforeAutospacing="0" w:after="0" w:afterAutospacing="0" w:line="420" w:lineRule="atLeast"/>
              <w:jc w:val="center"/>
              <w:rPr>
                <w:rFonts w:hint="eastAsia"/>
                <w:sz w:val="21"/>
                <w:szCs w:val="21"/>
              </w:rPr>
            </w:pPr>
          </w:p>
        </w:tc>
        <w:tc>
          <w:tcPr>
            <w:tcW w:w="366" w:type="dxa"/>
            <w:vAlign w:val="center"/>
          </w:tcPr>
          <w:p w14:paraId="7F451D7F">
            <w:pPr>
              <w:pStyle w:val="42"/>
              <w:spacing w:before="0" w:beforeAutospacing="0" w:after="0" w:afterAutospacing="0" w:line="420" w:lineRule="atLeast"/>
              <w:jc w:val="center"/>
              <w:rPr>
                <w:rFonts w:hint="eastAsia"/>
                <w:sz w:val="21"/>
                <w:szCs w:val="21"/>
              </w:rPr>
            </w:pPr>
          </w:p>
        </w:tc>
        <w:tc>
          <w:tcPr>
            <w:tcW w:w="366" w:type="dxa"/>
            <w:vAlign w:val="center"/>
          </w:tcPr>
          <w:p w14:paraId="19899B88">
            <w:pPr>
              <w:pStyle w:val="42"/>
              <w:spacing w:before="0" w:beforeAutospacing="0" w:after="0" w:afterAutospacing="0" w:line="420" w:lineRule="atLeast"/>
              <w:jc w:val="center"/>
              <w:rPr>
                <w:rFonts w:hint="eastAsia"/>
                <w:sz w:val="21"/>
                <w:szCs w:val="21"/>
              </w:rPr>
            </w:pPr>
          </w:p>
        </w:tc>
        <w:tc>
          <w:tcPr>
            <w:tcW w:w="516" w:type="dxa"/>
            <w:vAlign w:val="center"/>
          </w:tcPr>
          <w:p w14:paraId="4F2076C3">
            <w:pPr>
              <w:pStyle w:val="42"/>
              <w:spacing w:before="0" w:beforeAutospacing="0" w:after="0" w:afterAutospacing="0" w:line="420" w:lineRule="atLeast"/>
              <w:jc w:val="center"/>
              <w:rPr>
                <w:rFonts w:hint="eastAsia"/>
                <w:sz w:val="21"/>
                <w:szCs w:val="21"/>
              </w:rPr>
            </w:pPr>
          </w:p>
        </w:tc>
        <w:tc>
          <w:tcPr>
            <w:tcW w:w="366" w:type="dxa"/>
            <w:vAlign w:val="center"/>
          </w:tcPr>
          <w:p w14:paraId="2B79062F">
            <w:pPr>
              <w:pStyle w:val="42"/>
              <w:spacing w:before="0" w:beforeAutospacing="0" w:after="0" w:afterAutospacing="0" w:line="420" w:lineRule="atLeast"/>
              <w:jc w:val="center"/>
              <w:rPr>
                <w:rFonts w:hint="eastAsia"/>
                <w:sz w:val="21"/>
                <w:szCs w:val="21"/>
              </w:rPr>
            </w:pPr>
          </w:p>
        </w:tc>
        <w:tc>
          <w:tcPr>
            <w:tcW w:w="366" w:type="dxa"/>
            <w:vAlign w:val="center"/>
          </w:tcPr>
          <w:p w14:paraId="5CEF0FC4">
            <w:pPr>
              <w:pStyle w:val="42"/>
              <w:spacing w:before="0" w:beforeAutospacing="0" w:after="0" w:afterAutospacing="0" w:line="420" w:lineRule="atLeast"/>
              <w:jc w:val="center"/>
              <w:rPr>
                <w:rFonts w:hint="eastAsia"/>
                <w:sz w:val="21"/>
                <w:szCs w:val="21"/>
              </w:rPr>
            </w:pPr>
          </w:p>
        </w:tc>
        <w:tc>
          <w:tcPr>
            <w:tcW w:w="516" w:type="dxa"/>
            <w:vAlign w:val="center"/>
          </w:tcPr>
          <w:p w14:paraId="5A3CB21C">
            <w:pPr>
              <w:pStyle w:val="42"/>
              <w:spacing w:before="0" w:beforeAutospacing="0" w:after="0" w:afterAutospacing="0" w:line="420" w:lineRule="atLeast"/>
              <w:jc w:val="center"/>
              <w:rPr>
                <w:rFonts w:hint="eastAsia"/>
                <w:sz w:val="21"/>
                <w:szCs w:val="21"/>
              </w:rPr>
            </w:pPr>
          </w:p>
        </w:tc>
        <w:tc>
          <w:tcPr>
            <w:tcW w:w="366" w:type="dxa"/>
            <w:vAlign w:val="center"/>
          </w:tcPr>
          <w:p w14:paraId="6589C931">
            <w:pPr>
              <w:pStyle w:val="42"/>
              <w:spacing w:before="0" w:beforeAutospacing="0" w:after="0" w:afterAutospacing="0" w:line="420" w:lineRule="atLeast"/>
              <w:jc w:val="center"/>
              <w:rPr>
                <w:rFonts w:hint="eastAsia"/>
                <w:sz w:val="21"/>
                <w:szCs w:val="21"/>
              </w:rPr>
            </w:pPr>
          </w:p>
        </w:tc>
        <w:tc>
          <w:tcPr>
            <w:tcW w:w="516" w:type="dxa"/>
            <w:vAlign w:val="center"/>
          </w:tcPr>
          <w:p w14:paraId="71F841A7">
            <w:pPr>
              <w:pStyle w:val="42"/>
              <w:spacing w:before="0" w:beforeAutospacing="0" w:after="0" w:afterAutospacing="0" w:line="420" w:lineRule="atLeast"/>
              <w:jc w:val="center"/>
              <w:rPr>
                <w:rFonts w:hint="eastAsia"/>
                <w:sz w:val="21"/>
                <w:szCs w:val="21"/>
              </w:rPr>
            </w:pPr>
          </w:p>
        </w:tc>
        <w:tc>
          <w:tcPr>
            <w:tcW w:w="366" w:type="dxa"/>
            <w:vAlign w:val="center"/>
          </w:tcPr>
          <w:p w14:paraId="5BFB903D">
            <w:pPr>
              <w:pStyle w:val="42"/>
              <w:spacing w:before="0" w:beforeAutospacing="0" w:after="0" w:afterAutospacing="0" w:line="420" w:lineRule="atLeast"/>
              <w:jc w:val="center"/>
              <w:rPr>
                <w:rFonts w:hint="eastAsia"/>
                <w:sz w:val="21"/>
                <w:szCs w:val="21"/>
              </w:rPr>
            </w:pPr>
          </w:p>
        </w:tc>
        <w:tc>
          <w:tcPr>
            <w:tcW w:w="666" w:type="dxa"/>
            <w:vAlign w:val="center"/>
          </w:tcPr>
          <w:p w14:paraId="5CD955A4">
            <w:pPr>
              <w:pStyle w:val="42"/>
              <w:spacing w:before="0" w:beforeAutospacing="0" w:after="0" w:afterAutospacing="0" w:line="420" w:lineRule="atLeast"/>
              <w:jc w:val="center"/>
              <w:rPr>
                <w:rFonts w:hint="eastAsia"/>
                <w:sz w:val="21"/>
                <w:szCs w:val="21"/>
              </w:rPr>
            </w:pPr>
          </w:p>
        </w:tc>
        <w:tc>
          <w:tcPr>
            <w:tcW w:w="516" w:type="dxa"/>
            <w:vAlign w:val="center"/>
          </w:tcPr>
          <w:p w14:paraId="18B75A7C">
            <w:pPr>
              <w:pStyle w:val="42"/>
              <w:spacing w:before="0" w:beforeAutospacing="0" w:after="0" w:afterAutospacing="0" w:line="420" w:lineRule="atLeast"/>
              <w:jc w:val="center"/>
              <w:rPr>
                <w:rFonts w:hint="eastAsia"/>
                <w:sz w:val="21"/>
                <w:szCs w:val="21"/>
              </w:rPr>
            </w:pPr>
          </w:p>
        </w:tc>
        <w:tc>
          <w:tcPr>
            <w:tcW w:w="366" w:type="dxa"/>
            <w:vAlign w:val="center"/>
          </w:tcPr>
          <w:p w14:paraId="4D16FBB9">
            <w:pPr>
              <w:pStyle w:val="42"/>
              <w:spacing w:before="0" w:beforeAutospacing="0" w:after="0" w:afterAutospacing="0" w:line="420" w:lineRule="atLeast"/>
              <w:jc w:val="center"/>
              <w:rPr>
                <w:rFonts w:hint="eastAsia"/>
                <w:sz w:val="21"/>
                <w:szCs w:val="21"/>
              </w:rPr>
            </w:pPr>
          </w:p>
        </w:tc>
        <w:tc>
          <w:tcPr>
            <w:tcW w:w="366" w:type="dxa"/>
            <w:vAlign w:val="center"/>
          </w:tcPr>
          <w:p w14:paraId="05C3B649">
            <w:pPr>
              <w:pStyle w:val="42"/>
              <w:spacing w:before="0" w:beforeAutospacing="0" w:after="0" w:afterAutospacing="0" w:line="420" w:lineRule="atLeast"/>
              <w:jc w:val="center"/>
              <w:rPr>
                <w:rFonts w:hint="eastAsia"/>
                <w:sz w:val="21"/>
                <w:szCs w:val="21"/>
              </w:rPr>
            </w:pPr>
          </w:p>
        </w:tc>
        <w:tc>
          <w:tcPr>
            <w:tcW w:w="516" w:type="dxa"/>
            <w:vAlign w:val="center"/>
          </w:tcPr>
          <w:p w14:paraId="4034CC56">
            <w:pPr>
              <w:pStyle w:val="42"/>
              <w:spacing w:before="0" w:beforeAutospacing="0" w:after="0" w:afterAutospacing="0" w:line="420" w:lineRule="atLeast"/>
              <w:jc w:val="center"/>
              <w:rPr>
                <w:rFonts w:hint="eastAsia"/>
                <w:sz w:val="21"/>
                <w:szCs w:val="21"/>
              </w:rPr>
            </w:pPr>
          </w:p>
        </w:tc>
        <w:tc>
          <w:tcPr>
            <w:tcW w:w="366" w:type="dxa"/>
            <w:vAlign w:val="center"/>
          </w:tcPr>
          <w:p w14:paraId="448FD376">
            <w:pPr>
              <w:pStyle w:val="42"/>
              <w:spacing w:before="0" w:beforeAutospacing="0" w:after="0" w:afterAutospacing="0" w:line="420" w:lineRule="atLeast"/>
              <w:jc w:val="center"/>
              <w:rPr>
                <w:rFonts w:hint="eastAsia"/>
                <w:sz w:val="21"/>
                <w:szCs w:val="21"/>
              </w:rPr>
            </w:pPr>
          </w:p>
        </w:tc>
        <w:tc>
          <w:tcPr>
            <w:tcW w:w="221" w:type="dxa"/>
            <w:vAlign w:val="center"/>
          </w:tcPr>
          <w:p w14:paraId="5CB03600">
            <w:pPr>
              <w:pStyle w:val="42"/>
              <w:spacing w:before="0" w:beforeAutospacing="0" w:after="0" w:afterAutospacing="0" w:line="420" w:lineRule="atLeast"/>
              <w:jc w:val="center"/>
              <w:rPr>
                <w:rFonts w:hint="eastAsia"/>
                <w:sz w:val="21"/>
                <w:szCs w:val="21"/>
              </w:rPr>
            </w:pPr>
          </w:p>
        </w:tc>
        <w:tc>
          <w:tcPr>
            <w:tcW w:w="221" w:type="dxa"/>
            <w:vAlign w:val="center"/>
          </w:tcPr>
          <w:p w14:paraId="6F14798F">
            <w:pPr>
              <w:pStyle w:val="42"/>
              <w:spacing w:before="0" w:beforeAutospacing="0" w:after="0" w:afterAutospacing="0" w:line="420" w:lineRule="atLeast"/>
              <w:jc w:val="center"/>
              <w:rPr>
                <w:rFonts w:hint="eastAsia"/>
                <w:sz w:val="21"/>
                <w:szCs w:val="21"/>
              </w:rPr>
            </w:pPr>
          </w:p>
        </w:tc>
        <w:tc>
          <w:tcPr>
            <w:tcW w:w="221" w:type="dxa"/>
            <w:vAlign w:val="center"/>
          </w:tcPr>
          <w:p w14:paraId="7F8861CD">
            <w:pPr>
              <w:pStyle w:val="42"/>
              <w:spacing w:before="0" w:beforeAutospacing="0" w:after="0" w:afterAutospacing="0" w:line="420" w:lineRule="atLeast"/>
              <w:jc w:val="center"/>
              <w:rPr>
                <w:rFonts w:hint="eastAsia"/>
                <w:sz w:val="21"/>
                <w:szCs w:val="21"/>
              </w:rPr>
            </w:pPr>
          </w:p>
        </w:tc>
        <w:tc>
          <w:tcPr>
            <w:tcW w:w="221" w:type="dxa"/>
            <w:vAlign w:val="center"/>
          </w:tcPr>
          <w:p w14:paraId="2E1CE33E">
            <w:pPr>
              <w:pStyle w:val="42"/>
              <w:spacing w:before="0" w:beforeAutospacing="0" w:after="0" w:afterAutospacing="0" w:line="420" w:lineRule="atLeast"/>
              <w:jc w:val="center"/>
              <w:rPr>
                <w:rFonts w:hint="eastAsia"/>
                <w:sz w:val="21"/>
                <w:szCs w:val="21"/>
              </w:rPr>
            </w:pPr>
          </w:p>
        </w:tc>
      </w:tr>
    </w:tbl>
    <w:p w14:paraId="215E497A">
      <w:pPr>
        <w:pStyle w:val="42"/>
        <w:spacing w:before="0" w:beforeAutospacing="0" w:after="0" w:afterAutospacing="0" w:line="420" w:lineRule="atLeast"/>
        <w:jc w:val="both"/>
        <w:rPr>
          <w:rFonts w:hint="eastAsia"/>
          <w:sz w:val="21"/>
          <w:szCs w:val="21"/>
        </w:rPr>
      </w:pPr>
    </w:p>
    <w:p w14:paraId="393587FD">
      <w:pPr>
        <w:jc w:val="center"/>
        <w:rPr>
          <w:rFonts w:hint="eastAsia" w:ascii="微软雅黑" w:hAnsi="微软雅黑" w:eastAsia="微软雅黑" w:cs="微软雅黑"/>
          <w:sz w:val="22"/>
          <w:szCs w:val="22"/>
          <w:u w:val="single"/>
        </w:rPr>
      </w:pPr>
      <w:r>
        <w:rPr>
          <w:rFonts w:hint="eastAsia"/>
          <w:sz w:val="21"/>
          <w:szCs w:val="21"/>
        </w:rPr>
        <w:t>备注，如果封装测试在一起，就写同样的信息即可</w:t>
      </w:r>
      <w:r>
        <w:rPr>
          <w:rFonts w:hint="eastAsia" w:ascii="微软雅黑" w:hAnsi="微软雅黑" w:eastAsia="微软雅黑" w:cs="微软雅黑"/>
          <w:sz w:val="22"/>
          <w:szCs w:val="22"/>
          <w:u w:val="single"/>
        </w:rPr>
        <w:br w:type="page"/>
      </w:r>
    </w:p>
    <w:p w14:paraId="55AED75D">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359A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2F88FE8D">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2A79D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77A54CAA">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1B7B18E3">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5C766B25">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45F94A80">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07ABE519">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6880A654">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64167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1E73D91C">
            <w:pPr>
              <w:pStyle w:val="42"/>
              <w:spacing w:before="0" w:beforeAutospacing="0" w:after="0" w:afterAutospacing="0" w:line="420" w:lineRule="atLeast"/>
              <w:jc w:val="both"/>
              <w:rPr>
                <w:rFonts w:hint="eastAsia"/>
                <w:sz w:val="21"/>
                <w:szCs w:val="21"/>
              </w:rPr>
            </w:pPr>
            <w:r>
              <w:rPr>
                <w:rFonts w:hint="eastAsia"/>
                <w:sz w:val="21"/>
                <w:szCs w:val="21"/>
              </w:rPr>
              <w:t>核心交换机(二档)</w:t>
            </w:r>
          </w:p>
        </w:tc>
        <w:tc>
          <w:tcPr>
            <w:tcW w:w="1775" w:type="dxa"/>
            <w:vAlign w:val="center"/>
          </w:tcPr>
          <w:p w14:paraId="5D5CBCE5">
            <w:pPr>
              <w:pStyle w:val="42"/>
              <w:spacing w:before="0" w:beforeAutospacing="0" w:after="0" w:afterAutospacing="0" w:line="420" w:lineRule="atLeast"/>
              <w:jc w:val="center"/>
              <w:rPr>
                <w:rFonts w:hint="eastAsia"/>
                <w:sz w:val="21"/>
                <w:szCs w:val="21"/>
              </w:rPr>
            </w:pPr>
          </w:p>
        </w:tc>
        <w:tc>
          <w:tcPr>
            <w:tcW w:w="1420" w:type="dxa"/>
            <w:vAlign w:val="center"/>
          </w:tcPr>
          <w:p w14:paraId="49C78019">
            <w:pPr>
              <w:pStyle w:val="42"/>
              <w:spacing w:before="0" w:beforeAutospacing="0" w:after="0" w:afterAutospacing="0" w:line="420" w:lineRule="atLeast"/>
              <w:jc w:val="center"/>
              <w:rPr>
                <w:rFonts w:hint="eastAsia"/>
                <w:sz w:val="21"/>
                <w:szCs w:val="21"/>
              </w:rPr>
            </w:pPr>
          </w:p>
        </w:tc>
        <w:tc>
          <w:tcPr>
            <w:tcW w:w="1420" w:type="dxa"/>
            <w:vAlign w:val="center"/>
          </w:tcPr>
          <w:p w14:paraId="058A0FEF">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1C91F6EE">
            <w:pPr>
              <w:pStyle w:val="42"/>
              <w:spacing w:before="0" w:beforeAutospacing="0" w:after="0" w:afterAutospacing="0" w:line="420" w:lineRule="atLeast"/>
              <w:jc w:val="center"/>
              <w:rPr>
                <w:rFonts w:hint="eastAsia"/>
                <w:sz w:val="21"/>
                <w:szCs w:val="21"/>
              </w:rPr>
            </w:pPr>
          </w:p>
        </w:tc>
        <w:tc>
          <w:tcPr>
            <w:tcW w:w="1421" w:type="dxa"/>
            <w:vAlign w:val="center"/>
          </w:tcPr>
          <w:p w14:paraId="26BAB74B">
            <w:pPr>
              <w:pStyle w:val="42"/>
              <w:spacing w:before="0" w:beforeAutospacing="0" w:after="0" w:afterAutospacing="0" w:line="420" w:lineRule="atLeast"/>
              <w:jc w:val="center"/>
              <w:rPr>
                <w:rFonts w:hint="eastAsia"/>
                <w:sz w:val="21"/>
                <w:szCs w:val="21"/>
              </w:rPr>
            </w:pPr>
          </w:p>
        </w:tc>
      </w:tr>
      <w:tr w14:paraId="5800A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4E34A717">
            <w:pPr>
              <w:pStyle w:val="42"/>
              <w:spacing w:before="0" w:beforeAutospacing="0" w:after="0" w:afterAutospacing="0" w:line="420" w:lineRule="atLeast"/>
              <w:jc w:val="center"/>
              <w:rPr>
                <w:rFonts w:hint="eastAsia"/>
                <w:sz w:val="21"/>
                <w:szCs w:val="21"/>
              </w:rPr>
            </w:pPr>
          </w:p>
        </w:tc>
        <w:tc>
          <w:tcPr>
            <w:tcW w:w="1775" w:type="dxa"/>
            <w:vAlign w:val="center"/>
          </w:tcPr>
          <w:p w14:paraId="54FAFAB7">
            <w:pPr>
              <w:pStyle w:val="42"/>
              <w:spacing w:before="0" w:beforeAutospacing="0" w:after="0" w:afterAutospacing="0" w:line="420" w:lineRule="atLeast"/>
              <w:jc w:val="center"/>
              <w:rPr>
                <w:rFonts w:hint="eastAsia"/>
                <w:sz w:val="21"/>
                <w:szCs w:val="21"/>
              </w:rPr>
            </w:pPr>
          </w:p>
        </w:tc>
        <w:tc>
          <w:tcPr>
            <w:tcW w:w="1420" w:type="dxa"/>
            <w:vAlign w:val="center"/>
          </w:tcPr>
          <w:p w14:paraId="3B7124C2">
            <w:pPr>
              <w:pStyle w:val="42"/>
              <w:spacing w:before="0" w:beforeAutospacing="0" w:after="0" w:afterAutospacing="0" w:line="420" w:lineRule="atLeast"/>
              <w:jc w:val="center"/>
              <w:rPr>
                <w:rFonts w:hint="eastAsia"/>
                <w:sz w:val="21"/>
                <w:szCs w:val="21"/>
              </w:rPr>
            </w:pPr>
          </w:p>
        </w:tc>
        <w:tc>
          <w:tcPr>
            <w:tcW w:w="1420" w:type="dxa"/>
            <w:vAlign w:val="center"/>
          </w:tcPr>
          <w:p w14:paraId="7E9BFDFD">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416BD91B">
            <w:pPr>
              <w:pStyle w:val="42"/>
              <w:spacing w:before="0" w:beforeAutospacing="0" w:after="0" w:afterAutospacing="0" w:line="420" w:lineRule="atLeast"/>
              <w:jc w:val="center"/>
              <w:rPr>
                <w:rFonts w:hint="eastAsia"/>
                <w:sz w:val="21"/>
                <w:szCs w:val="21"/>
              </w:rPr>
            </w:pPr>
          </w:p>
        </w:tc>
        <w:tc>
          <w:tcPr>
            <w:tcW w:w="1421" w:type="dxa"/>
            <w:vAlign w:val="center"/>
          </w:tcPr>
          <w:p w14:paraId="6174C6EF">
            <w:pPr>
              <w:pStyle w:val="42"/>
              <w:spacing w:before="0" w:beforeAutospacing="0" w:after="0" w:afterAutospacing="0" w:line="420" w:lineRule="atLeast"/>
              <w:jc w:val="center"/>
              <w:rPr>
                <w:rFonts w:hint="eastAsia"/>
                <w:sz w:val="21"/>
                <w:szCs w:val="21"/>
              </w:rPr>
            </w:pPr>
          </w:p>
        </w:tc>
      </w:tr>
      <w:tr w14:paraId="4F29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2D3D7D48">
            <w:pPr>
              <w:pStyle w:val="42"/>
              <w:spacing w:before="0" w:beforeAutospacing="0" w:after="0" w:afterAutospacing="0" w:line="420" w:lineRule="atLeast"/>
              <w:jc w:val="center"/>
              <w:rPr>
                <w:rFonts w:hint="eastAsia"/>
                <w:sz w:val="21"/>
                <w:szCs w:val="21"/>
              </w:rPr>
            </w:pPr>
          </w:p>
        </w:tc>
        <w:tc>
          <w:tcPr>
            <w:tcW w:w="1775" w:type="dxa"/>
            <w:vAlign w:val="center"/>
          </w:tcPr>
          <w:p w14:paraId="2AFBF219">
            <w:pPr>
              <w:pStyle w:val="42"/>
              <w:spacing w:before="0" w:beforeAutospacing="0" w:after="0" w:afterAutospacing="0" w:line="420" w:lineRule="atLeast"/>
              <w:jc w:val="center"/>
              <w:rPr>
                <w:rFonts w:hint="eastAsia"/>
                <w:sz w:val="21"/>
                <w:szCs w:val="21"/>
              </w:rPr>
            </w:pPr>
          </w:p>
        </w:tc>
        <w:tc>
          <w:tcPr>
            <w:tcW w:w="1420" w:type="dxa"/>
            <w:vAlign w:val="center"/>
          </w:tcPr>
          <w:p w14:paraId="1E8372BD">
            <w:pPr>
              <w:pStyle w:val="42"/>
              <w:spacing w:before="0" w:beforeAutospacing="0" w:after="0" w:afterAutospacing="0" w:line="420" w:lineRule="atLeast"/>
              <w:jc w:val="center"/>
              <w:rPr>
                <w:rFonts w:hint="eastAsia"/>
                <w:sz w:val="21"/>
                <w:szCs w:val="21"/>
              </w:rPr>
            </w:pPr>
          </w:p>
        </w:tc>
        <w:tc>
          <w:tcPr>
            <w:tcW w:w="1420" w:type="dxa"/>
            <w:vAlign w:val="center"/>
          </w:tcPr>
          <w:p w14:paraId="33D58557">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21693BCA">
            <w:pPr>
              <w:pStyle w:val="42"/>
              <w:spacing w:before="0" w:beforeAutospacing="0" w:after="0" w:afterAutospacing="0" w:line="420" w:lineRule="atLeast"/>
              <w:jc w:val="center"/>
              <w:rPr>
                <w:rFonts w:hint="eastAsia"/>
                <w:sz w:val="21"/>
                <w:szCs w:val="21"/>
              </w:rPr>
            </w:pPr>
          </w:p>
        </w:tc>
        <w:tc>
          <w:tcPr>
            <w:tcW w:w="1421" w:type="dxa"/>
            <w:vAlign w:val="center"/>
          </w:tcPr>
          <w:p w14:paraId="5D277E69">
            <w:pPr>
              <w:pStyle w:val="42"/>
              <w:spacing w:before="0" w:beforeAutospacing="0" w:after="0" w:afterAutospacing="0" w:line="420" w:lineRule="atLeast"/>
              <w:jc w:val="center"/>
              <w:rPr>
                <w:rFonts w:hint="eastAsia"/>
                <w:sz w:val="21"/>
                <w:szCs w:val="21"/>
              </w:rPr>
            </w:pPr>
          </w:p>
        </w:tc>
      </w:tr>
      <w:tr w14:paraId="282AE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036105B4">
            <w:pPr>
              <w:pStyle w:val="42"/>
              <w:spacing w:before="0" w:beforeAutospacing="0" w:after="0" w:afterAutospacing="0" w:line="420" w:lineRule="atLeast"/>
              <w:jc w:val="center"/>
              <w:rPr>
                <w:rFonts w:hint="eastAsia"/>
                <w:sz w:val="21"/>
                <w:szCs w:val="21"/>
              </w:rPr>
            </w:pPr>
          </w:p>
        </w:tc>
        <w:tc>
          <w:tcPr>
            <w:tcW w:w="1775" w:type="dxa"/>
            <w:vAlign w:val="center"/>
          </w:tcPr>
          <w:p w14:paraId="3C246FEE">
            <w:pPr>
              <w:pStyle w:val="42"/>
              <w:spacing w:before="0" w:beforeAutospacing="0" w:after="0" w:afterAutospacing="0" w:line="420" w:lineRule="atLeast"/>
              <w:jc w:val="center"/>
              <w:rPr>
                <w:rFonts w:hint="eastAsia"/>
                <w:sz w:val="21"/>
                <w:szCs w:val="21"/>
              </w:rPr>
            </w:pPr>
          </w:p>
        </w:tc>
        <w:tc>
          <w:tcPr>
            <w:tcW w:w="1420" w:type="dxa"/>
            <w:vAlign w:val="center"/>
          </w:tcPr>
          <w:p w14:paraId="5CE6D760">
            <w:pPr>
              <w:pStyle w:val="42"/>
              <w:spacing w:before="0" w:beforeAutospacing="0" w:after="0" w:afterAutospacing="0" w:line="420" w:lineRule="atLeast"/>
              <w:jc w:val="center"/>
              <w:rPr>
                <w:rFonts w:hint="eastAsia"/>
                <w:sz w:val="21"/>
                <w:szCs w:val="21"/>
              </w:rPr>
            </w:pPr>
          </w:p>
        </w:tc>
        <w:tc>
          <w:tcPr>
            <w:tcW w:w="1420" w:type="dxa"/>
            <w:vAlign w:val="center"/>
          </w:tcPr>
          <w:p w14:paraId="1EE15684">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45C0DB39">
            <w:pPr>
              <w:pStyle w:val="42"/>
              <w:spacing w:before="0" w:beforeAutospacing="0" w:after="0" w:afterAutospacing="0" w:line="420" w:lineRule="atLeast"/>
              <w:jc w:val="center"/>
              <w:rPr>
                <w:rFonts w:hint="eastAsia"/>
                <w:sz w:val="21"/>
                <w:szCs w:val="21"/>
              </w:rPr>
            </w:pPr>
          </w:p>
        </w:tc>
        <w:tc>
          <w:tcPr>
            <w:tcW w:w="1421" w:type="dxa"/>
            <w:vAlign w:val="center"/>
          </w:tcPr>
          <w:p w14:paraId="12A6E84F">
            <w:pPr>
              <w:pStyle w:val="42"/>
              <w:spacing w:before="0" w:beforeAutospacing="0" w:after="0" w:afterAutospacing="0" w:line="420" w:lineRule="atLeast"/>
              <w:jc w:val="center"/>
              <w:rPr>
                <w:rFonts w:hint="eastAsia"/>
                <w:sz w:val="21"/>
                <w:szCs w:val="21"/>
              </w:rPr>
            </w:pPr>
          </w:p>
        </w:tc>
      </w:tr>
    </w:tbl>
    <w:p w14:paraId="10EA1633">
      <w:pPr>
        <w:pStyle w:val="42"/>
        <w:spacing w:before="900" w:beforeAutospacing="0" w:after="0" w:afterAutospacing="0" w:line="420" w:lineRule="atLeast"/>
        <w:jc w:val="both"/>
        <w:rPr>
          <w:rFonts w:hint="eastAsia"/>
          <w:sz w:val="28"/>
          <w:szCs w:val="28"/>
        </w:rPr>
      </w:pPr>
    </w:p>
    <w:p w14:paraId="7F625EEA">
      <w:pPr>
        <w:pStyle w:val="42"/>
        <w:spacing w:before="900" w:beforeAutospacing="0" w:after="0" w:afterAutospacing="0" w:line="420" w:lineRule="atLeast"/>
        <w:jc w:val="both"/>
        <w:rPr>
          <w:rFonts w:hint="eastAsia"/>
          <w:sz w:val="28"/>
          <w:szCs w:val="28"/>
        </w:rPr>
      </w:pPr>
    </w:p>
    <w:p w14:paraId="7BE046A4">
      <w:pPr>
        <w:pStyle w:val="42"/>
        <w:spacing w:before="900" w:beforeAutospacing="0" w:after="0" w:afterAutospacing="0" w:line="420" w:lineRule="atLeast"/>
        <w:jc w:val="both"/>
        <w:rPr>
          <w:rFonts w:hint="eastAsia"/>
          <w:sz w:val="28"/>
          <w:szCs w:val="28"/>
        </w:rPr>
      </w:pPr>
    </w:p>
    <w:p w14:paraId="660309B9">
      <w:pPr>
        <w:pStyle w:val="42"/>
        <w:spacing w:before="900" w:beforeAutospacing="0" w:after="0" w:afterAutospacing="0" w:line="420" w:lineRule="atLeast"/>
        <w:jc w:val="both"/>
        <w:rPr>
          <w:rFonts w:hint="eastAsia"/>
          <w:sz w:val="28"/>
          <w:szCs w:val="28"/>
        </w:rPr>
      </w:pPr>
    </w:p>
    <w:p w14:paraId="1D98D9B2">
      <w:pPr>
        <w:pStyle w:val="42"/>
        <w:spacing w:before="900" w:beforeAutospacing="0" w:after="0" w:afterAutospacing="0" w:line="420" w:lineRule="atLeast"/>
        <w:jc w:val="both"/>
        <w:rPr>
          <w:rFonts w:hint="eastAsia"/>
          <w:sz w:val="28"/>
          <w:szCs w:val="28"/>
        </w:rPr>
      </w:pPr>
    </w:p>
    <w:p w14:paraId="0BE45331">
      <w:pPr>
        <w:pStyle w:val="42"/>
        <w:spacing w:before="900" w:beforeAutospacing="0" w:after="0" w:afterAutospacing="0" w:line="420" w:lineRule="atLeast"/>
        <w:jc w:val="both"/>
        <w:rPr>
          <w:rFonts w:hint="eastAsia"/>
          <w:sz w:val="28"/>
          <w:szCs w:val="28"/>
        </w:rPr>
      </w:pPr>
    </w:p>
    <w:p w14:paraId="3D65B84C">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1F768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025C069E">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7DD7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214E64D2">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66" w:type="dxa"/>
            <w:vAlign w:val="center"/>
          </w:tcPr>
          <w:p w14:paraId="577E8DB3">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66" w:type="dxa"/>
            <w:vAlign w:val="center"/>
          </w:tcPr>
          <w:p w14:paraId="2D0EFBD2">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66" w:type="dxa"/>
            <w:vAlign w:val="center"/>
          </w:tcPr>
          <w:p w14:paraId="32DF816E">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66" w:type="dxa"/>
            <w:vAlign w:val="center"/>
          </w:tcPr>
          <w:p w14:paraId="43752025">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516" w:type="dxa"/>
            <w:vAlign w:val="center"/>
          </w:tcPr>
          <w:p w14:paraId="7F5EF458">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66" w:type="dxa"/>
            <w:vAlign w:val="center"/>
          </w:tcPr>
          <w:p w14:paraId="78D0CA0D">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66" w:type="dxa"/>
            <w:vAlign w:val="center"/>
          </w:tcPr>
          <w:p w14:paraId="7CE45F1D">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16" w:type="dxa"/>
            <w:vAlign w:val="center"/>
          </w:tcPr>
          <w:p w14:paraId="6021C841">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66" w:type="dxa"/>
            <w:vAlign w:val="center"/>
          </w:tcPr>
          <w:p w14:paraId="0B0C5509">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516" w:type="dxa"/>
            <w:vAlign w:val="center"/>
          </w:tcPr>
          <w:p w14:paraId="7326F190">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66" w:type="dxa"/>
            <w:vAlign w:val="center"/>
          </w:tcPr>
          <w:p w14:paraId="380E2377">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666" w:type="dxa"/>
            <w:vAlign w:val="center"/>
          </w:tcPr>
          <w:p w14:paraId="11735357">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516" w:type="dxa"/>
            <w:vAlign w:val="center"/>
          </w:tcPr>
          <w:p w14:paraId="1050F28C">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66" w:type="dxa"/>
            <w:vAlign w:val="center"/>
          </w:tcPr>
          <w:p w14:paraId="0C759258">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66" w:type="dxa"/>
            <w:vAlign w:val="center"/>
          </w:tcPr>
          <w:p w14:paraId="157BF743">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516" w:type="dxa"/>
            <w:vAlign w:val="center"/>
          </w:tcPr>
          <w:p w14:paraId="4FC98F25">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66" w:type="dxa"/>
            <w:vAlign w:val="center"/>
          </w:tcPr>
          <w:p w14:paraId="02855510">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501CF963">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221" w:type="dxa"/>
            <w:vAlign w:val="center"/>
          </w:tcPr>
          <w:p w14:paraId="02983C1D">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221" w:type="dxa"/>
            <w:vAlign w:val="center"/>
          </w:tcPr>
          <w:p w14:paraId="2546D34B">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221" w:type="dxa"/>
            <w:vAlign w:val="center"/>
          </w:tcPr>
          <w:p w14:paraId="2924A4EA">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2A3C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4B75872E">
            <w:pPr>
              <w:pStyle w:val="42"/>
              <w:spacing w:before="0" w:beforeAutospacing="0" w:after="0" w:afterAutospacing="0" w:line="420" w:lineRule="atLeast"/>
              <w:jc w:val="center"/>
              <w:rPr>
                <w:rFonts w:hint="eastAsia"/>
                <w:sz w:val="21"/>
                <w:szCs w:val="21"/>
              </w:rPr>
            </w:pPr>
          </w:p>
        </w:tc>
        <w:tc>
          <w:tcPr>
            <w:tcW w:w="366" w:type="dxa"/>
            <w:vAlign w:val="center"/>
          </w:tcPr>
          <w:p w14:paraId="76CFDA55">
            <w:pPr>
              <w:pStyle w:val="42"/>
              <w:spacing w:before="0" w:beforeAutospacing="0" w:after="0" w:afterAutospacing="0" w:line="420" w:lineRule="atLeast"/>
              <w:jc w:val="center"/>
              <w:rPr>
                <w:rFonts w:hint="eastAsia"/>
                <w:sz w:val="21"/>
                <w:szCs w:val="21"/>
              </w:rPr>
            </w:pPr>
          </w:p>
        </w:tc>
        <w:tc>
          <w:tcPr>
            <w:tcW w:w="366" w:type="dxa"/>
            <w:vAlign w:val="center"/>
          </w:tcPr>
          <w:p w14:paraId="1EF7DAEE">
            <w:pPr>
              <w:pStyle w:val="42"/>
              <w:spacing w:before="0" w:beforeAutospacing="0" w:after="0" w:afterAutospacing="0" w:line="420" w:lineRule="atLeast"/>
              <w:jc w:val="center"/>
              <w:rPr>
                <w:rFonts w:hint="eastAsia"/>
                <w:sz w:val="21"/>
                <w:szCs w:val="21"/>
              </w:rPr>
            </w:pPr>
          </w:p>
        </w:tc>
        <w:tc>
          <w:tcPr>
            <w:tcW w:w="366" w:type="dxa"/>
            <w:vAlign w:val="center"/>
          </w:tcPr>
          <w:p w14:paraId="25968D3E">
            <w:pPr>
              <w:pStyle w:val="42"/>
              <w:spacing w:before="0" w:beforeAutospacing="0" w:after="0" w:afterAutospacing="0" w:line="420" w:lineRule="atLeast"/>
              <w:jc w:val="center"/>
              <w:rPr>
                <w:rFonts w:hint="eastAsia"/>
                <w:sz w:val="21"/>
                <w:szCs w:val="21"/>
              </w:rPr>
            </w:pPr>
          </w:p>
        </w:tc>
        <w:tc>
          <w:tcPr>
            <w:tcW w:w="366" w:type="dxa"/>
            <w:vAlign w:val="center"/>
          </w:tcPr>
          <w:p w14:paraId="1BB54085">
            <w:pPr>
              <w:pStyle w:val="42"/>
              <w:spacing w:before="0" w:beforeAutospacing="0" w:after="0" w:afterAutospacing="0" w:line="420" w:lineRule="atLeast"/>
              <w:jc w:val="center"/>
              <w:rPr>
                <w:rFonts w:hint="eastAsia"/>
                <w:sz w:val="21"/>
                <w:szCs w:val="21"/>
              </w:rPr>
            </w:pPr>
          </w:p>
        </w:tc>
        <w:tc>
          <w:tcPr>
            <w:tcW w:w="516" w:type="dxa"/>
            <w:vAlign w:val="center"/>
          </w:tcPr>
          <w:p w14:paraId="1378DC40">
            <w:pPr>
              <w:pStyle w:val="42"/>
              <w:spacing w:before="0" w:beforeAutospacing="0" w:after="0" w:afterAutospacing="0" w:line="420" w:lineRule="atLeast"/>
              <w:jc w:val="center"/>
              <w:rPr>
                <w:rFonts w:hint="eastAsia"/>
                <w:sz w:val="21"/>
                <w:szCs w:val="21"/>
              </w:rPr>
            </w:pPr>
          </w:p>
        </w:tc>
        <w:tc>
          <w:tcPr>
            <w:tcW w:w="366" w:type="dxa"/>
            <w:vAlign w:val="center"/>
          </w:tcPr>
          <w:p w14:paraId="1EA643FE">
            <w:pPr>
              <w:pStyle w:val="42"/>
              <w:spacing w:before="0" w:beforeAutospacing="0" w:after="0" w:afterAutospacing="0" w:line="420" w:lineRule="atLeast"/>
              <w:jc w:val="center"/>
              <w:rPr>
                <w:rFonts w:hint="eastAsia"/>
                <w:sz w:val="21"/>
                <w:szCs w:val="21"/>
              </w:rPr>
            </w:pPr>
          </w:p>
        </w:tc>
        <w:tc>
          <w:tcPr>
            <w:tcW w:w="366" w:type="dxa"/>
            <w:vAlign w:val="center"/>
          </w:tcPr>
          <w:p w14:paraId="6B8B1859">
            <w:pPr>
              <w:pStyle w:val="42"/>
              <w:spacing w:before="0" w:beforeAutospacing="0" w:after="0" w:afterAutospacing="0" w:line="420" w:lineRule="atLeast"/>
              <w:jc w:val="center"/>
              <w:rPr>
                <w:rFonts w:hint="eastAsia"/>
                <w:sz w:val="21"/>
                <w:szCs w:val="21"/>
              </w:rPr>
            </w:pPr>
          </w:p>
        </w:tc>
        <w:tc>
          <w:tcPr>
            <w:tcW w:w="516" w:type="dxa"/>
            <w:vAlign w:val="center"/>
          </w:tcPr>
          <w:p w14:paraId="52320D8F">
            <w:pPr>
              <w:pStyle w:val="42"/>
              <w:spacing w:before="0" w:beforeAutospacing="0" w:after="0" w:afterAutospacing="0" w:line="420" w:lineRule="atLeast"/>
              <w:jc w:val="center"/>
              <w:rPr>
                <w:rFonts w:hint="eastAsia"/>
                <w:sz w:val="21"/>
                <w:szCs w:val="21"/>
              </w:rPr>
            </w:pPr>
          </w:p>
        </w:tc>
        <w:tc>
          <w:tcPr>
            <w:tcW w:w="366" w:type="dxa"/>
            <w:vAlign w:val="center"/>
          </w:tcPr>
          <w:p w14:paraId="653F1145">
            <w:pPr>
              <w:pStyle w:val="42"/>
              <w:spacing w:before="0" w:beforeAutospacing="0" w:after="0" w:afterAutospacing="0" w:line="420" w:lineRule="atLeast"/>
              <w:jc w:val="center"/>
              <w:rPr>
                <w:rFonts w:hint="eastAsia"/>
                <w:sz w:val="21"/>
                <w:szCs w:val="21"/>
              </w:rPr>
            </w:pPr>
          </w:p>
        </w:tc>
        <w:tc>
          <w:tcPr>
            <w:tcW w:w="516" w:type="dxa"/>
            <w:vAlign w:val="center"/>
          </w:tcPr>
          <w:p w14:paraId="3F867A9A">
            <w:pPr>
              <w:pStyle w:val="42"/>
              <w:spacing w:before="0" w:beforeAutospacing="0" w:after="0" w:afterAutospacing="0" w:line="420" w:lineRule="atLeast"/>
              <w:jc w:val="center"/>
              <w:rPr>
                <w:rFonts w:hint="eastAsia"/>
                <w:sz w:val="21"/>
                <w:szCs w:val="21"/>
              </w:rPr>
            </w:pPr>
          </w:p>
        </w:tc>
        <w:tc>
          <w:tcPr>
            <w:tcW w:w="366" w:type="dxa"/>
            <w:vAlign w:val="center"/>
          </w:tcPr>
          <w:p w14:paraId="251A4D6C">
            <w:pPr>
              <w:pStyle w:val="42"/>
              <w:spacing w:before="0" w:beforeAutospacing="0" w:after="0" w:afterAutospacing="0" w:line="420" w:lineRule="atLeast"/>
              <w:jc w:val="center"/>
              <w:rPr>
                <w:rFonts w:hint="eastAsia"/>
                <w:sz w:val="21"/>
                <w:szCs w:val="21"/>
              </w:rPr>
            </w:pPr>
          </w:p>
        </w:tc>
        <w:tc>
          <w:tcPr>
            <w:tcW w:w="666" w:type="dxa"/>
            <w:vAlign w:val="center"/>
          </w:tcPr>
          <w:p w14:paraId="7D18FC27">
            <w:pPr>
              <w:pStyle w:val="42"/>
              <w:spacing w:before="0" w:beforeAutospacing="0" w:after="0" w:afterAutospacing="0" w:line="420" w:lineRule="atLeast"/>
              <w:jc w:val="center"/>
              <w:rPr>
                <w:rFonts w:hint="eastAsia"/>
                <w:sz w:val="21"/>
                <w:szCs w:val="21"/>
              </w:rPr>
            </w:pPr>
          </w:p>
        </w:tc>
        <w:tc>
          <w:tcPr>
            <w:tcW w:w="516" w:type="dxa"/>
            <w:vAlign w:val="center"/>
          </w:tcPr>
          <w:p w14:paraId="428E4ECB">
            <w:pPr>
              <w:pStyle w:val="42"/>
              <w:spacing w:before="0" w:beforeAutospacing="0" w:after="0" w:afterAutospacing="0" w:line="420" w:lineRule="atLeast"/>
              <w:jc w:val="center"/>
              <w:rPr>
                <w:rFonts w:hint="eastAsia"/>
                <w:sz w:val="21"/>
                <w:szCs w:val="21"/>
              </w:rPr>
            </w:pPr>
          </w:p>
        </w:tc>
        <w:tc>
          <w:tcPr>
            <w:tcW w:w="366" w:type="dxa"/>
            <w:vAlign w:val="center"/>
          </w:tcPr>
          <w:p w14:paraId="68718781">
            <w:pPr>
              <w:pStyle w:val="42"/>
              <w:spacing w:before="0" w:beforeAutospacing="0" w:after="0" w:afterAutospacing="0" w:line="420" w:lineRule="atLeast"/>
              <w:jc w:val="center"/>
              <w:rPr>
                <w:rFonts w:hint="eastAsia"/>
                <w:sz w:val="21"/>
                <w:szCs w:val="21"/>
              </w:rPr>
            </w:pPr>
          </w:p>
        </w:tc>
        <w:tc>
          <w:tcPr>
            <w:tcW w:w="366" w:type="dxa"/>
            <w:vAlign w:val="center"/>
          </w:tcPr>
          <w:p w14:paraId="66683DD2">
            <w:pPr>
              <w:pStyle w:val="42"/>
              <w:spacing w:before="0" w:beforeAutospacing="0" w:after="0" w:afterAutospacing="0" w:line="420" w:lineRule="atLeast"/>
              <w:jc w:val="center"/>
              <w:rPr>
                <w:rFonts w:hint="eastAsia"/>
                <w:sz w:val="21"/>
                <w:szCs w:val="21"/>
              </w:rPr>
            </w:pPr>
          </w:p>
        </w:tc>
        <w:tc>
          <w:tcPr>
            <w:tcW w:w="516" w:type="dxa"/>
            <w:vAlign w:val="center"/>
          </w:tcPr>
          <w:p w14:paraId="481898F3">
            <w:pPr>
              <w:pStyle w:val="42"/>
              <w:spacing w:before="0" w:beforeAutospacing="0" w:after="0" w:afterAutospacing="0" w:line="420" w:lineRule="atLeast"/>
              <w:jc w:val="center"/>
              <w:rPr>
                <w:rFonts w:hint="eastAsia"/>
                <w:sz w:val="21"/>
                <w:szCs w:val="21"/>
              </w:rPr>
            </w:pPr>
          </w:p>
        </w:tc>
        <w:tc>
          <w:tcPr>
            <w:tcW w:w="366" w:type="dxa"/>
            <w:vAlign w:val="center"/>
          </w:tcPr>
          <w:p w14:paraId="72B07F30">
            <w:pPr>
              <w:pStyle w:val="42"/>
              <w:spacing w:before="0" w:beforeAutospacing="0" w:after="0" w:afterAutospacing="0" w:line="420" w:lineRule="atLeast"/>
              <w:jc w:val="center"/>
              <w:rPr>
                <w:rFonts w:hint="eastAsia"/>
                <w:sz w:val="21"/>
                <w:szCs w:val="21"/>
              </w:rPr>
            </w:pPr>
          </w:p>
        </w:tc>
        <w:tc>
          <w:tcPr>
            <w:tcW w:w="221" w:type="dxa"/>
            <w:vAlign w:val="center"/>
          </w:tcPr>
          <w:p w14:paraId="780C3744">
            <w:pPr>
              <w:pStyle w:val="42"/>
              <w:spacing w:before="0" w:beforeAutospacing="0" w:after="0" w:afterAutospacing="0" w:line="420" w:lineRule="atLeast"/>
              <w:jc w:val="center"/>
              <w:rPr>
                <w:rFonts w:hint="eastAsia"/>
                <w:sz w:val="21"/>
                <w:szCs w:val="21"/>
              </w:rPr>
            </w:pPr>
          </w:p>
        </w:tc>
        <w:tc>
          <w:tcPr>
            <w:tcW w:w="221" w:type="dxa"/>
            <w:vAlign w:val="center"/>
          </w:tcPr>
          <w:p w14:paraId="07B11C06">
            <w:pPr>
              <w:pStyle w:val="42"/>
              <w:spacing w:before="0" w:beforeAutospacing="0" w:after="0" w:afterAutospacing="0" w:line="420" w:lineRule="atLeast"/>
              <w:jc w:val="center"/>
              <w:rPr>
                <w:rFonts w:hint="eastAsia"/>
                <w:sz w:val="21"/>
                <w:szCs w:val="21"/>
              </w:rPr>
            </w:pPr>
          </w:p>
        </w:tc>
        <w:tc>
          <w:tcPr>
            <w:tcW w:w="221" w:type="dxa"/>
            <w:vAlign w:val="center"/>
          </w:tcPr>
          <w:p w14:paraId="308CD072">
            <w:pPr>
              <w:pStyle w:val="42"/>
              <w:spacing w:before="0" w:beforeAutospacing="0" w:after="0" w:afterAutospacing="0" w:line="420" w:lineRule="atLeast"/>
              <w:jc w:val="center"/>
              <w:rPr>
                <w:rFonts w:hint="eastAsia"/>
                <w:sz w:val="21"/>
                <w:szCs w:val="21"/>
              </w:rPr>
            </w:pPr>
          </w:p>
        </w:tc>
        <w:tc>
          <w:tcPr>
            <w:tcW w:w="221" w:type="dxa"/>
            <w:vAlign w:val="center"/>
          </w:tcPr>
          <w:p w14:paraId="25257D15">
            <w:pPr>
              <w:pStyle w:val="42"/>
              <w:spacing w:before="0" w:beforeAutospacing="0" w:after="0" w:afterAutospacing="0" w:line="420" w:lineRule="atLeast"/>
              <w:jc w:val="center"/>
              <w:rPr>
                <w:rFonts w:hint="eastAsia"/>
                <w:sz w:val="21"/>
                <w:szCs w:val="21"/>
              </w:rPr>
            </w:pPr>
          </w:p>
        </w:tc>
      </w:tr>
      <w:tr w14:paraId="26BD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67BD7514">
            <w:pPr>
              <w:pStyle w:val="42"/>
              <w:spacing w:before="0" w:beforeAutospacing="0" w:after="0" w:afterAutospacing="0" w:line="420" w:lineRule="atLeast"/>
              <w:jc w:val="center"/>
              <w:rPr>
                <w:rFonts w:hint="eastAsia"/>
                <w:sz w:val="21"/>
                <w:szCs w:val="21"/>
              </w:rPr>
            </w:pPr>
          </w:p>
        </w:tc>
        <w:tc>
          <w:tcPr>
            <w:tcW w:w="366" w:type="dxa"/>
            <w:vAlign w:val="center"/>
          </w:tcPr>
          <w:p w14:paraId="6A4169FD">
            <w:pPr>
              <w:pStyle w:val="42"/>
              <w:spacing w:before="0" w:beforeAutospacing="0" w:after="0" w:afterAutospacing="0" w:line="420" w:lineRule="atLeast"/>
              <w:jc w:val="center"/>
              <w:rPr>
                <w:rFonts w:hint="eastAsia"/>
                <w:sz w:val="21"/>
                <w:szCs w:val="21"/>
              </w:rPr>
            </w:pPr>
          </w:p>
        </w:tc>
        <w:tc>
          <w:tcPr>
            <w:tcW w:w="366" w:type="dxa"/>
            <w:vAlign w:val="center"/>
          </w:tcPr>
          <w:p w14:paraId="6A8BF410">
            <w:pPr>
              <w:pStyle w:val="42"/>
              <w:spacing w:before="0" w:beforeAutospacing="0" w:after="0" w:afterAutospacing="0" w:line="420" w:lineRule="atLeast"/>
              <w:jc w:val="center"/>
              <w:rPr>
                <w:rFonts w:hint="eastAsia"/>
                <w:sz w:val="21"/>
                <w:szCs w:val="21"/>
              </w:rPr>
            </w:pPr>
          </w:p>
        </w:tc>
        <w:tc>
          <w:tcPr>
            <w:tcW w:w="366" w:type="dxa"/>
            <w:vAlign w:val="center"/>
          </w:tcPr>
          <w:p w14:paraId="161EEBE6">
            <w:pPr>
              <w:pStyle w:val="42"/>
              <w:spacing w:before="0" w:beforeAutospacing="0" w:after="0" w:afterAutospacing="0" w:line="420" w:lineRule="atLeast"/>
              <w:jc w:val="center"/>
              <w:rPr>
                <w:rFonts w:hint="eastAsia"/>
                <w:sz w:val="21"/>
                <w:szCs w:val="21"/>
              </w:rPr>
            </w:pPr>
          </w:p>
        </w:tc>
        <w:tc>
          <w:tcPr>
            <w:tcW w:w="366" w:type="dxa"/>
            <w:vAlign w:val="center"/>
          </w:tcPr>
          <w:p w14:paraId="3B4C811D">
            <w:pPr>
              <w:pStyle w:val="42"/>
              <w:spacing w:before="0" w:beforeAutospacing="0" w:after="0" w:afterAutospacing="0" w:line="420" w:lineRule="atLeast"/>
              <w:jc w:val="center"/>
              <w:rPr>
                <w:rFonts w:hint="eastAsia"/>
                <w:sz w:val="21"/>
                <w:szCs w:val="21"/>
              </w:rPr>
            </w:pPr>
          </w:p>
        </w:tc>
        <w:tc>
          <w:tcPr>
            <w:tcW w:w="516" w:type="dxa"/>
            <w:vAlign w:val="center"/>
          </w:tcPr>
          <w:p w14:paraId="010215F9">
            <w:pPr>
              <w:pStyle w:val="42"/>
              <w:spacing w:before="0" w:beforeAutospacing="0" w:after="0" w:afterAutospacing="0" w:line="420" w:lineRule="atLeast"/>
              <w:jc w:val="center"/>
              <w:rPr>
                <w:rFonts w:hint="eastAsia"/>
                <w:sz w:val="21"/>
                <w:szCs w:val="21"/>
              </w:rPr>
            </w:pPr>
          </w:p>
        </w:tc>
        <w:tc>
          <w:tcPr>
            <w:tcW w:w="366" w:type="dxa"/>
            <w:vAlign w:val="center"/>
          </w:tcPr>
          <w:p w14:paraId="48119C2A">
            <w:pPr>
              <w:pStyle w:val="42"/>
              <w:spacing w:before="0" w:beforeAutospacing="0" w:after="0" w:afterAutospacing="0" w:line="420" w:lineRule="atLeast"/>
              <w:jc w:val="center"/>
              <w:rPr>
                <w:rFonts w:hint="eastAsia"/>
                <w:sz w:val="21"/>
                <w:szCs w:val="21"/>
              </w:rPr>
            </w:pPr>
          </w:p>
        </w:tc>
        <w:tc>
          <w:tcPr>
            <w:tcW w:w="366" w:type="dxa"/>
            <w:vAlign w:val="center"/>
          </w:tcPr>
          <w:p w14:paraId="66A0E5A0">
            <w:pPr>
              <w:pStyle w:val="42"/>
              <w:spacing w:before="0" w:beforeAutospacing="0" w:after="0" w:afterAutospacing="0" w:line="420" w:lineRule="atLeast"/>
              <w:jc w:val="center"/>
              <w:rPr>
                <w:rFonts w:hint="eastAsia"/>
                <w:sz w:val="21"/>
                <w:szCs w:val="21"/>
              </w:rPr>
            </w:pPr>
          </w:p>
        </w:tc>
        <w:tc>
          <w:tcPr>
            <w:tcW w:w="516" w:type="dxa"/>
            <w:vAlign w:val="center"/>
          </w:tcPr>
          <w:p w14:paraId="459625C8">
            <w:pPr>
              <w:pStyle w:val="42"/>
              <w:spacing w:before="0" w:beforeAutospacing="0" w:after="0" w:afterAutospacing="0" w:line="420" w:lineRule="atLeast"/>
              <w:jc w:val="center"/>
              <w:rPr>
                <w:rFonts w:hint="eastAsia"/>
                <w:sz w:val="21"/>
                <w:szCs w:val="21"/>
              </w:rPr>
            </w:pPr>
          </w:p>
        </w:tc>
        <w:tc>
          <w:tcPr>
            <w:tcW w:w="366" w:type="dxa"/>
            <w:vAlign w:val="center"/>
          </w:tcPr>
          <w:p w14:paraId="2C3450C2">
            <w:pPr>
              <w:pStyle w:val="42"/>
              <w:spacing w:before="0" w:beforeAutospacing="0" w:after="0" w:afterAutospacing="0" w:line="420" w:lineRule="atLeast"/>
              <w:jc w:val="center"/>
              <w:rPr>
                <w:rFonts w:hint="eastAsia"/>
                <w:sz w:val="21"/>
                <w:szCs w:val="21"/>
              </w:rPr>
            </w:pPr>
          </w:p>
        </w:tc>
        <w:tc>
          <w:tcPr>
            <w:tcW w:w="516" w:type="dxa"/>
            <w:vAlign w:val="center"/>
          </w:tcPr>
          <w:p w14:paraId="6E0AF9EA">
            <w:pPr>
              <w:pStyle w:val="42"/>
              <w:spacing w:before="0" w:beforeAutospacing="0" w:after="0" w:afterAutospacing="0" w:line="420" w:lineRule="atLeast"/>
              <w:jc w:val="center"/>
              <w:rPr>
                <w:rFonts w:hint="eastAsia"/>
                <w:sz w:val="21"/>
                <w:szCs w:val="21"/>
              </w:rPr>
            </w:pPr>
          </w:p>
        </w:tc>
        <w:tc>
          <w:tcPr>
            <w:tcW w:w="366" w:type="dxa"/>
            <w:vAlign w:val="center"/>
          </w:tcPr>
          <w:p w14:paraId="3622853D">
            <w:pPr>
              <w:pStyle w:val="42"/>
              <w:spacing w:before="0" w:beforeAutospacing="0" w:after="0" w:afterAutospacing="0" w:line="420" w:lineRule="atLeast"/>
              <w:jc w:val="center"/>
              <w:rPr>
                <w:rFonts w:hint="eastAsia"/>
                <w:sz w:val="21"/>
                <w:szCs w:val="21"/>
              </w:rPr>
            </w:pPr>
          </w:p>
        </w:tc>
        <w:tc>
          <w:tcPr>
            <w:tcW w:w="666" w:type="dxa"/>
            <w:vAlign w:val="center"/>
          </w:tcPr>
          <w:p w14:paraId="655E391E">
            <w:pPr>
              <w:pStyle w:val="42"/>
              <w:spacing w:before="0" w:beforeAutospacing="0" w:after="0" w:afterAutospacing="0" w:line="420" w:lineRule="atLeast"/>
              <w:jc w:val="center"/>
              <w:rPr>
                <w:rFonts w:hint="eastAsia"/>
                <w:sz w:val="21"/>
                <w:szCs w:val="21"/>
              </w:rPr>
            </w:pPr>
          </w:p>
        </w:tc>
        <w:tc>
          <w:tcPr>
            <w:tcW w:w="516" w:type="dxa"/>
            <w:vAlign w:val="center"/>
          </w:tcPr>
          <w:p w14:paraId="6AC22A6F">
            <w:pPr>
              <w:pStyle w:val="42"/>
              <w:spacing w:before="0" w:beforeAutospacing="0" w:after="0" w:afterAutospacing="0" w:line="420" w:lineRule="atLeast"/>
              <w:jc w:val="center"/>
              <w:rPr>
                <w:rFonts w:hint="eastAsia"/>
                <w:sz w:val="21"/>
                <w:szCs w:val="21"/>
              </w:rPr>
            </w:pPr>
          </w:p>
        </w:tc>
        <w:tc>
          <w:tcPr>
            <w:tcW w:w="366" w:type="dxa"/>
            <w:vAlign w:val="center"/>
          </w:tcPr>
          <w:p w14:paraId="35E2CBCD">
            <w:pPr>
              <w:pStyle w:val="42"/>
              <w:spacing w:before="0" w:beforeAutospacing="0" w:after="0" w:afterAutospacing="0" w:line="420" w:lineRule="atLeast"/>
              <w:jc w:val="center"/>
              <w:rPr>
                <w:rFonts w:hint="eastAsia"/>
                <w:sz w:val="21"/>
                <w:szCs w:val="21"/>
              </w:rPr>
            </w:pPr>
          </w:p>
        </w:tc>
        <w:tc>
          <w:tcPr>
            <w:tcW w:w="366" w:type="dxa"/>
            <w:vAlign w:val="center"/>
          </w:tcPr>
          <w:p w14:paraId="58B14B64">
            <w:pPr>
              <w:pStyle w:val="42"/>
              <w:spacing w:before="0" w:beforeAutospacing="0" w:after="0" w:afterAutospacing="0" w:line="420" w:lineRule="atLeast"/>
              <w:jc w:val="center"/>
              <w:rPr>
                <w:rFonts w:hint="eastAsia"/>
                <w:sz w:val="21"/>
                <w:szCs w:val="21"/>
              </w:rPr>
            </w:pPr>
          </w:p>
        </w:tc>
        <w:tc>
          <w:tcPr>
            <w:tcW w:w="516" w:type="dxa"/>
            <w:vAlign w:val="center"/>
          </w:tcPr>
          <w:p w14:paraId="24A625F4">
            <w:pPr>
              <w:pStyle w:val="42"/>
              <w:spacing w:before="0" w:beforeAutospacing="0" w:after="0" w:afterAutospacing="0" w:line="420" w:lineRule="atLeast"/>
              <w:jc w:val="center"/>
              <w:rPr>
                <w:rFonts w:hint="eastAsia"/>
                <w:sz w:val="21"/>
                <w:szCs w:val="21"/>
              </w:rPr>
            </w:pPr>
          </w:p>
        </w:tc>
        <w:tc>
          <w:tcPr>
            <w:tcW w:w="366" w:type="dxa"/>
            <w:vAlign w:val="center"/>
          </w:tcPr>
          <w:p w14:paraId="150AC754">
            <w:pPr>
              <w:pStyle w:val="42"/>
              <w:spacing w:before="0" w:beforeAutospacing="0" w:after="0" w:afterAutospacing="0" w:line="420" w:lineRule="atLeast"/>
              <w:jc w:val="center"/>
              <w:rPr>
                <w:rFonts w:hint="eastAsia"/>
                <w:sz w:val="21"/>
                <w:szCs w:val="21"/>
              </w:rPr>
            </w:pPr>
          </w:p>
        </w:tc>
        <w:tc>
          <w:tcPr>
            <w:tcW w:w="221" w:type="dxa"/>
            <w:vAlign w:val="center"/>
          </w:tcPr>
          <w:p w14:paraId="598D9225">
            <w:pPr>
              <w:pStyle w:val="42"/>
              <w:spacing w:before="0" w:beforeAutospacing="0" w:after="0" w:afterAutospacing="0" w:line="420" w:lineRule="atLeast"/>
              <w:jc w:val="center"/>
              <w:rPr>
                <w:rFonts w:hint="eastAsia"/>
                <w:sz w:val="21"/>
                <w:szCs w:val="21"/>
              </w:rPr>
            </w:pPr>
          </w:p>
        </w:tc>
        <w:tc>
          <w:tcPr>
            <w:tcW w:w="221" w:type="dxa"/>
            <w:vAlign w:val="center"/>
          </w:tcPr>
          <w:p w14:paraId="272C6ADD">
            <w:pPr>
              <w:pStyle w:val="42"/>
              <w:spacing w:before="0" w:beforeAutospacing="0" w:after="0" w:afterAutospacing="0" w:line="420" w:lineRule="atLeast"/>
              <w:jc w:val="center"/>
              <w:rPr>
                <w:rFonts w:hint="eastAsia"/>
                <w:sz w:val="21"/>
                <w:szCs w:val="21"/>
              </w:rPr>
            </w:pPr>
          </w:p>
        </w:tc>
        <w:tc>
          <w:tcPr>
            <w:tcW w:w="221" w:type="dxa"/>
            <w:vAlign w:val="center"/>
          </w:tcPr>
          <w:p w14:paraId="6E0C5675">
            <w:pPr>
              <w:pStyle w:val="42"/>
              <w:spacing w:before="0" w:beforeAutospacing="0" w:after="0" w:afterAutospacing="0" w:line="420" w:lineRule="atLeast"/>
              <w:jc w:val="center"/>
              <w:rPr>
                <w:rFonts w:hint="eastAsia"/>
                <w:sz w:val="21"/>
                <w:szCs w:val="21"/>
              </w:rPr>
            </w:pPr>
          </w:p>
        </w:tc>
        <w:tc>
          <w:tcPr>
            <w:tcW w:w="221" w:type="dxa"/>
            <w:vAlign w:val="center"/>
          </w:tcPr>
          <w:p w14:paraId="6A5DACDB">
            <w:pPr>
              <w:pStyle w:val="42"/>
              <w:spacing w:before="0" w:beforeAutospacing="0" w:after="0" w:afterAutospacing="0" w:line="420" w:lineRule="atLeast"/>
              <w:jc w:val="center"/>
              <w:rPr>
                <w:rFonts w:hint="eastAsia"/>
                <w:sz w:val="21"/>
                <w:szCs w:val="21"/>
              </w:rPr>
            </w:pPr>
          </w:p>
        </w:tc>
      </w:tr>
    </w:tbl>
    <w:p w14:paraId="42553D73">
      <w:pPr>
        <w:pStyle w:val="42"/>
        <w:spacing w:before="0" w:beforeAutospacing="0" w:after="0" w:afterAutospacing="0" w:line="420" w:lineRule="atLeast"/>
        <w:jc w:val="both"/>
        <w:rPr>
          <w:rFonts w:hint="eastAsia"/>
          <w:sz w:val="21"/>
          <w:szCs w:val="21"/>
        </w:rPr>
      </w:pPr>
    </w:p>
    <w:p w14:paraId="5B2342F6">
      <w:pPr>
        <w:pStyle w:val="2"/>
        <w:ind w:firstLine="0"/>
        <w:jc w:val="center"/>
        <w:rPr>
          <w:sz w:val="21"/>
          <w:szCs w:val="21"/>
        </w:rPr>
      </w:pPr>
      <w:r>
        <w:rPr>
          <w:rFonts w:hint="eastAsia"/>
          <w:sz w:val="21"/>
          <w:szCs w:val="21"/>
        </w:rPr>
        <w:t>备注，如果封装测试在一起，就写同样的信息即可</w:t>
      </w:r>
    </w:p>
    <w:p w14:paraId="72CCBD91">
      <w:pPr>
        <w:jc w:val="center"/>
        <w:rPr>
          <w:sz w:val="21"/>
          <w:szCs w:val="21"/>
        </w:rPr>
      </w:pPr>
      <w:r>
        <w:rPr>
          <w:rFonts w:hint="eastAsia"/>
          <w:sz w:val="21"/>
          <w:szCs w:val="21"/>
        </w:rPr>
        <w:br w:type="page"/>
      </w:r>
    </w:p>
    <w:p w14:paraId="33915A97">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297FA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6A4D1085">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35BA8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21CE87BF">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0B3A5ED7">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59551746">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306AC8F9">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0BACCB8E">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7F09CAEB">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0FBD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50A884E9">
            <w:pPr>
              <w:pStyle w:val="42"/>
              <w:spacing w:before="0" w:beforeAutospacing="0" w:after="0" w:afterAutospacing="0" w:line="420" w:lineRule="atLeast"/>
              <w:jc w:val="both"/>
              <w:rPr>
                <w:rFonts w:hint="eastAsia"/>
                <w:sz w:val="21"/>
                <w:szCs w:val="21"/>
              </w:rPr>
            </w:pPr>
            <w:r>
              <w:rPr>
                <w:rFonts w:hint="eastAsia"/>
                <w:sz w:val="21"/>
                <w:szCs w:val="21"/>
              </w:rPr>
              <w:t>接入交换机</w:t>
            </w:r>
          </w:p>
        </w:tc>
        <w:tc>
          <w:tcPr>
            <w:tcW w:w="1775" w:type="dxa"/>
            <w:vAlign w:val="center"/>
          </w:tcPr>
          <w:p w14:paraId="6BFFBB67">
            <w:pPr>
              <w:pStyle w:val="42"/>
              <w:spacing w:before="0" w:beforeAutospacing="0" w:after="0" w:afterAutospacing="0" w:line="420" w:lineRule="atLeast"/>
              <w:jc w:val="center"/>
              <w:rPr>
                <w:rFonts w:hint="eastAsia"/>
                <w:sz w:val="21"/>
                <w:szCs w:val="21"/>
              </w:rPr>
            </w:pPr>
          </w:p>
        </w:tc>
        <w:tc>
          <w:tcPr>
            <w:tcW w:w="1420" w:type="dxa"/>
            <w:vAlign w:val="center"/>
          </w:tcPr>
          <w:p w14:paraId="4CC559AD">
            <w:pPr>
              <w:pStyle w:val="42"/>
              <w:spacing w:before="0" w:beforeAutospacing="0" w:after="0" w:afterAutospacing="0" w:line="420" w:lineRule="atLeast"/>
              <w:jc w:val="center"/>
              <w:rPr>
                <w:rFonts w:hint="eastAsia"/>
                <w:sz w:val="21"/>
                <w:szCs w:val="21"/>
              </w:rPr>
            </w:pPr>
          </w:p>
        </w:tc>
        <w:tc>
          <w:tcPr>
            <w:tcW w:w="1420" w:type="dxa"/>
            <w:vAlign w:val="center"/>
          </w:tcPr>
          <w:p w14:paraId="4A0E140B">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1923CDCE">
            <w:pPr>
              <w:pStyle w:val="42"/>
              <w:spacing w:before="0" w:beforeAutospacing="0" w:after="0" w:afterAutospacing="0" w:line="420" w:lineRule="atLeast"/>
              <w:jc w:val="center"/>
              <w:rPr>
                <w:rFonts w:hint="eastAsia"/>
                <w:sz w:val="21"/>
                <w:szCs w:val="21"/>
              </w:rPr>
            </w:pPr>
          </w:p>
        </w:tc>
        <w:tc>
          <w:tcPr>
            <w:tcW w:w="1421" w:type="dxa"/>
            <w:vAlign w:val="center"/>
          </w:tcPr>
          <w:p w14:paraId="0D9B0938">
            <w:pPr>
              <w:pStyle w:val="42"/>
              <w:spacing w:before="0" w:beforeAutospacing="0" w:after="0" w:afterAutospacing="0" w:line="420" w:lineRule="atLeast"/>
              <w:jc w:val="center"/>
              <w:rPr>
                <w:rFonts w:hint="eastAsia"/>
                <w:sz w:val="21"/>
                <w:szCs w:val="21"/>
              </w:rPr>
            </w:pPr>
          </w:p>
        </w:tc>
      </w:tr>
      <w:tr w14:paraId="3451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6CE6E9BF">
            <w:pPr>
              <w:pStyle w:val="42"/>
              <w:spacing w:before="0" w:beforeAutospacing="0" w:after="0" w:afterAutospacing="0" w:line="420" w:lineRule="atLeast"/>
              <w:jc w:val="center"/>
              <w:rPr>
                <w:rFonts w:hint="eastAsia"/>
                <w:sz w:val="21"/>
                <w:szCs w:val="21"/>
              </w:rPr>
            </w:pPr>
          </w:p>
        </w:tc>
        <w:tc>
          <w:tcPr>
            <w:tcW w:w="1775" w:type="dxa"/>
            <w:vAlign w:val="center"/>
          </w:tcPr>
          <w:p w14:paraId="71A22E7C">
            <w:pPr>
              <w:pStyle w:val="42"/>
              <w:spacing w:before="0" w:beforeAutospacing="0" w:after="0" w:afterAutospacing="0" w:line="420" w:lineRule="atLeast"/>
              <w:jc w:val="center"/>
              <w:rPr>
                <w:rFonts w:hint="eastAsia"/>
                <w:sz w:val="21"/>
                <w:szCs w:val="21"/>
              </w:rPr>
            </w:pPr>
          </w:p>
        </w:tc>
        <w:tc>
          <w:tcPr>
            <w:tcW w:w="1420" w:type="dxa"/>
            <w:vAlign w:val="center"/>
          </w:tcPr>
          <w:p w14:paraId="75DE2CAD">
            <w:pPr>
              <w:pStyle w:val="42"/>
              <w:spacing w:before="0" w:beforeAutospacing="0" w:after="0" w:afterAutospacing="0" w:line="420" w:lineRule="atLeast"/>
              <w:jc w:val="center"/>
              <w:rPr>
                <w:rFonts w:hint="eastAsia"/>
                <w:sz w:val="21"/>
                <w:szCs w:val="21"/>
              </w:rPr>
            </w:pPr>
          </w:p>
        </w:tc>
        <w:tc>
          <w:tcPr>
            <w:tcW w:w="1420" w:type="dxa"/>
            <w:vAlign w:val="center"/>
          </w:tcPr>
          <w:p w14:paraId="6764DCC2">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2375FEAE">
            <w:pPr>
              <w:pStyle w:val="42"/>
              <w:spacing w:before="0" w:beforeAutospacing="0" w:after="0" w:afterAutospacing="0" w:line="420" w:lineRule="atLeast"/>
              <w:jc w:val="center"/>
              <w:rPr>
                <w:rFonts w:hint="eastAsia"/>
                <w:sz w:val="21"/>
                <w:szCs w:val="21"/>
              </w:rPr>
            </w:pPr>
          </w:p>
        </w:tc>
        <w:tc>
          <w:tcPr>
            <w:tcW w:w="1421" w:type="dxa"/>
            <w:vAlign w:val="center"/>
          </w:tcPr>
          <w:p w14:paraId="00B82AE3">
            <w:pPr>
              <w:pStyle w:val="42"/>
              <w:spacing w:before="0" w:beforeAutospacing="0" w:after="0" w:afterAutospacing="0" w:line="420" w:lineRule="atLeast"/>
              <w:jc w:val="center"/>
              <w:rPr>
                <w:rFonts w:hint="eastAsia"/>
                <w:sz w:val="21"/>
                <w:szCs w:val="21"/>
              </w:rPr>
            </w:pPr>
          </w:p>
        </w:tc>
      </w:tr>
      <w:tr w14:paraId="2C8E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47DD2500">
            <w:pPr>
              <w:pStyle w:val="42"/>
              <w:spacing w:before="0" w:beforeAutospacing="0" w:after="0" w:afterAutospacing="0" w:line="420" w:lineRule="atLeast"/>
              <w:jc w:val="center"/>
              <w:rPr>
                <w:rFonts w:hint="eastAsia"/>
                <w:sz w:val="21"/>
                <w:szCs w:val="21"/>
              </w:rPr>
            </w:pPr>
          </w:p>
        </w:tc>
        <w:tc>
          <w:tcPr>
            <w:tcW w:w="1775" w:type="dxa"/>
            <w:vAlign w:val="center"/>
          </w:tcPr>
          <w:p w14:paraId="09E14842">
            <w:pPr>
              <w:pStyle w:val="42"/>
              <w:spacing w:before="0" w:beforeAutospacing="0" w:after="0" w:afterAutospacing="0" w:line="420" w:lineRule="atLeast"/>
              <w:jc w:val="center"/>
              <w:rPr>
                <w:rFonts w:hint="eastAsia"/>
                <w:sz w:val="21"/>
                <w:szCs w:val="21"/>
              </w:rPr>
            </w:pPr>
          </w:p>
        </w:tc>
        <w:tc>
          <w:tcPr>
            <w:tcW w:w="1420" w:type="dxa"/>
            <w:vAlign w:val="center"/>
          </w:tcPr>
          <w:p w14:paraId="229DC047">
            <w:pPr>
              <w:pStyle w:val="42"/>
              <w:spacing w:before="0" w:beforeAutospacing="0" w:after="0" w:afterAutospacing="0" w:line="420" w:lineRule="atLeast"/>
              <w:jc w:val="center"/>
              <w:rPr>
                <w:rFonts w:hint="eastAsia"/>
                <w:sz w:val="21"/>
                <w:szCs w:val="21"/>
              </w:rPr>
            </w:pPr>
          </w:p>
        </w:tc>
        <w:tc>
          <w:tcPr>
            <w:tcW w:w="1420" w:type="dxa"/>
            <w:vAlign w:val="center"/>
          </w:tcPr>
          <w:p w14:paraId="18E63565">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529B0FC0">
            <w:pPr>
              <w:pStyle w:val="42"/>
              <w:spacing w:before="0" w:beforeAutospacing="0" w:after="0" w:afterAutospacing="0" w:line="420" w:lineRule="atLeast"/>
              <w:jc w:val="center"/>
              <w:rPr>
                <w:rFonts w:hint="eastAsia"/>
                <w:sz w:val="21"/>
                <w:szCs w:val="21"/>
              </w:rPr>
            </w:pPr>
          </w:p>
        </w:tc>
        <w:tc>
          <w:tcPr>
            <w:tcW w:w="1421" w:type="dxa"/>
            <w:vAlign w:val="center"/>
          </w:tcPr>
          <w:p w14:paraId="21B80B19">
            <w:pPr>
              <w:pStyle w:val="42"/>
              <w:spacing w:before="0" w:beforeAutospacing="0" w:after="0" w:afterAutospacing="0" w:line="420" w:lineRule="atLeast"/>
              <w:jc w:val="center"/>
              <w:rPr>
                <w:rFonts w:hint="eastAsia"/>
                <w:sz w:val="21"/>
                <w:szCs w:val="21"/>
              </w:rPr>
            </w:pPr>
          </w:p>
        </w:tc>
      </w:tr>
      <w:tr w14:paraId="2DB5F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733C435D">
            <w:pPr>
              <w:pStyle w:val="42"/>
              <w:spacing w:before="0" w:beforeAutospacing="0" w:after="0" w:afterAutospacing="0" w:line="420" w:lineRule="atLeast"/>
              <w:jc w:val="center"/>
              <w:rPr>
                <w:rFonts w:hint="eastAsia"/>
                <w:sz w:val="21"/>
                <w:szCs w:val="21"/>
              </w:rPr>
            </w:pPr>
          </w:p>
        </w:tc>
        <w:tc>
          <w:tcPr>
            <w:tcW w:w="1775" w:type="dxa"/>
            <w:vAlign w:val="center"/>
          </w:tcPr>
          <w:p w14:paraId="69F13C45">
            <w:pPr>
              <w:pStyle w:val="42"/>
              <w:spacing w:before="0" w:beforeAutospacing="0" w:after="0" w:afterAutospacing="0" w:line="420" w:lineRule="atLeast"/>
              <w:jc w:val="center"/>
              <w:rPr>
                <w:rFonts w:hint="eastAsia"/>
                <w:sz w:val="21"/>
                <w:szCs w:val="21"/>
              </w:rPr>
            </w:pPr>
          </w:p>
        </w:tc>
        <w:tc>
          <w:tcPr>
            <w:tcW w:w="1420" w:type="dxa"/>
            <w:vAlign w:val="center"/>
          </w:tcPr>
          <w:p w14:paraId="66A21C13">
            <w:pPr>
              <w:pStyle w:val="42"/>
              <w:spacing w:before="0" w:beforeAutospacing="0" w:after="0" w:afterAutospacing="0" w:line="420" w:lineRule="atLeast"/>
              <w:jc w:val="center"/>
              <w:rPr>
                <w:rFonts w:hint="eastAsia"/>
                <w:sz w:val="21"/>
                <w:szCs w:val="21"/>
              </w:rPr>
            </w:pPr>
          </w:p>
        </w:tc>
        <w:tc>
          <w:tcPr>
            <w:tcW w:w="1420" w:type="dxa"/>
            <w:vAlign w:val="center"/>
          </w:tcPr>
          <w:p w14:paraId="741BEC27">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6E3F798B">
            <w:pPr>
              <w:pStyle w:val="42"/>
              <w:spacing w:before="0" w:beforeAutospacing="0" w:after="0" w:afterAutospacing="0" w:line="420" w:lineRule="atLeast"/>
              <w:jc w:val="center"/>
              <w:rPr>
                <w:rFonts w:hint="eastAsia"/>
                <w:sz w:val="21"/>
                <w:szCs w:val="21"/>
              </w:rPr>
            </w:pPr>
          </w:p>
        </w:tc>
        <w:tc>
          <w:tcPr>
            <w:tcW w:w="1421" w:type="dxa"/>
            <w:vAlign w:val="center"/>
          </w:tcPr>
          <w:p w14:paraId="1426C08F">
            <w:pPr>
              <w:pStyle w:val="42"/>
              <w:spacing w:before="0" w:beforeAutospacing="0" w:after="0" w:afterAutospacing="0" w:line="420" w:lineRule="atLeast"/>
              <w:jc w:val="center"/>
              <w:rPr>
                <w:rFonts w:hint="eastAsia"/>
                <w:sz w:val="21"/>
                <w:szCs w:val="21"/>
              </w:rPr>
            </w:pPr>
          </w:p>
        </w:tc>
      </w:tr>
    </w:tbl>
    <w:p w14:paraId="39337AA1">
      <w:pPr>
        <w:pStyle w:val="42"/>
        <w:spacing w:before="900" w:beforeAutospacing="0" w:after="0" w:afterAutospacing="0" w:line="420" w:lineRule="atLeast"/>
        <w:jc w:val="both"/>
        <w:rPr>
          <w:rFonts w:hint="eastAsia"/>
          <w:sz w:val="28"/>
          <w:szCs w:val="28"/>
        </w:rPr>
      </w:pPr>
    </w:p>
    <w:p w14:paraId="06F43541">
      <w:pPr>
        <w:pStyle w:val="42"/>
        <w:spacing w:before="900" w:beforeAutospacing="0" w:after="0" w:afterAutospacing="0" w:line="420" w:lineRule="atLeast"/>
        <w:jc w:val="both"/>
        <w:rPr>
          <w:rFonts w:hint="eastAsia"/>
          <w:sz w:val="28"/>
          <w:szCs w:val="28"/>
        </w:rPr>
      </w:pPr>
    </w:p>
    <w:p w14:paraId="61ABAC05">
      <w:pPr>
        <w:pStyle w:val="42"/>
        <w:spacing w:before="900" w:beforeAutospacing="0" w:after="0" w:afterAutospacing="0" w:line="420" w:lineRule="atLeast"/>
        <w:jc w:val="both"/>
        <w:rPr>
          <w:rFonts w:hint="eastAsia"/>
          <w:sz w:val="28"/>
          <w:szCs w:val="28"/>
        </w:rPr>
      </w:pPr>
    </w:p>
    <w:p w14:paraId="11F31881">
      <w:pPr>
        <w:pStyle w:val="42"/>
        <w:spacing w:before="900" w:beforeAutospacing="0" w:after="0" w:afterAutospacing="0" w:line="420" w:lineRule="atLeast"/>
        <w:jc w:val="both"/>
        <w:rPr>
          <w:rFonts w:hint="eastAsia"/>
          <w:sz w:val="28"/>
          <w:szCs w:val="28"/>
        </w:rPr>
      </w:pPr>
    </w:p>
    <w:p w14:paraId="35FFDACA">
      <w:pPr>
        <w:pStyle w:val="42"/>
        <w:spacing w:before="900" w:beforeAutospacing="0" w:after="0" w:afterAutospacing="0" w:line="420" w:lineRule="atLeast"/>
        <w:jc w:val="both"/>
        <w:rPr>
          <w:rFonts w:hint="eastAsia"/>
          <w:sz w:val="28"/>
          <w:szCs w:val="28"/>
        </w:rPr>
      </w:pPr>
    </w:p>
    <w:p w14:paraId="33794DA0">
      <w:pPr>
        <w:pStyle w:val="42"/>
        <w:spacing w:before="900" w:beforeAutospacing="0" w:after="0" w:afterAutospacing="0" w:line="420" w:lineRule="atLeast"/>
        <w:jc w:val="both"/>
        <w:rPr>
          <w:rFonts w:hint="eastAsia"/>
          <w:sz w:val="28"/>
          <w:szCs w:val="28"/>
        </w:rPr>
      </w:pPr>
    </w:p>
    <w:p w14:paraId="5A5F8CE0">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5385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0" w:hRule="atLeast"/>
          <w:jc w:val="center"/>
        </w:trPr>
        <w:tc>
          <w:tcPr>
            <w:tcW w:w="8297" w:type="dxa"/>
            <w:gridSpan w:val="22"/>
            <w:vAlign w:val="center"/>
          </w:tcPr>
          <w:p w14:paraId="1EAC4FFC">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320E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36E37744">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4F633F66">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2D8401C6">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3C44DAFA">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38917EB0">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40B605EC">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220DFC5D">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0D973628">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7D05631C">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52B82D6B">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7EB352A2">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40761F37">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0E985F52">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068D7435">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7BAFB731">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1F13DDDF">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58336C48">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47CDEFCE">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42759005">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3322F605">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5F44EE5D">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727949BD">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768F5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7A8278CF">
            <w:pPr>
              <w:pStyle w:val="42"/>
              <w:spacing w:before="0" w:beforeAutospacing="0" w:after="0" w:afterAutospacing="0" w:line="420" w:lineRule="atLeast"/>
              <w:jc w:val="center"/>
              <w:rPr>
                <w:rFonts w:hint="eastAsia"/>
                <w:sz w:val="21"/>
                <w:szCs w:val="21"/>
              </w:rPr>
            </w:pPr>
          </w:p>
        </w:tc>
        <w:tc>
          <w:tcPr>
            <w:tcW w:w="335" w:type="dxa"/>
            <w:vAlign w:val="center"/>
          </w:tcPr>
          <w:p w14:paraId="7A61A4F7">
            <w:pPr>
              <w:pStyle w:val="42"/>
              <w:spacing w:before="0" w:beforeAutospacing="0" w:after="0" w:afterAutospacing="0" w:line="420" w:lineRule="atLeast"/>
              <w:jc w:val="center"/>
              <w:rPr>
                <w:rFonts w:hint="eastAsia"/>
                <w:sz w:val="21"/>
                <w:szCs w:val="21"/>
              </w:rPr>
            </w:pPr>
          </w:p>
        </w:tc>
        <w:tc>
          <w:tcPr>
            <w:tcW w:w="335" w:type="dxa"/>
            <w:vAlign w:val="center"/>
          </w:tcPr>
          <w:p w14:paraId="0F029D08">
            <w:pPr>
              <w:pStyle w:val="42"/>
              <w:spacing w:before="0" w:beforeAutospacing="0" w:after="0" w:afterAutospacing="0" w:line="420" w:lineRule="atLeast"/>
              <w:jc w:val="center"/>
              <w:rPr>
                <w:rFonts w:hint="eastAsia"/>
                <w:sz w:val="21"/>
                <w:szCs w:val="21"/>
              </w:rPr>
            </w:pPr>
          </w:p>
        </w:tc>
        <w:tc>
          <w:tcPr>
            <w:tcW w:w="335" w:type="dxa"/>
            <w:vAlign w:val="center"/>
          </w:tcPr>
          <w:p w14:paraId="724EF4C6">
            <w:pPr>
              <w:pStyle w:val="42"/>
              <w:spacing w:before="0" w:beforeAutospacing="0" w:after="0" w:afterAutospacing="0" w:line="420" w:lineRule="atLeast"/>
              <w:jc w:val="center"/>
              <w:rPr>
                <w:rFonts w:hint="eastAsia"/>
                <w:sz w:val="21"/>
                <w:szCs w:val="21"/>
              </w:rPr>
            </w:pPr>
          </w:p>
        </w:tc>
        <w:tc>
          <w:tcPr>
            <w:tcW w:w="334" w:type="dxa"/>
            <w:vAlign w:val="center"/>
          </w:tcPr>
          <w:p w14:paraId="5A114AF6">
            <w:pPr>
              <w:pStyle w:val="42"/>
              <w:spacing w:before="0" w:beforeAutospacing="0" w:after="0" w:afterAutospacing="0" w:line="420" w:lineRule="atLeast"/>
              <w:jc w:val="center"/>
              <w:rPr>
                <w:rFonts w:hint="eastAsia"/>
                <w:sz w:val="21"/>
                <w:szCs w:val="21"/>
              </w:rPr>
            </w:pPr>
          </w:p>
        </w:tc>
        <w:tc>
          <w:tcPr>
            <w:tcW w:w="452" w:type="dxa"/>
            <w:vAlign w:val="center"/>
          </w:tcPr>
          <w:p w14:paraId="6475A318">
            <w:pPr>
              <w:pStyle w:val="42"/>
              <w:spacing w:before="0" w:beforeAutospacing="0" w:after="0" w:afterAutospacing="0" w:line="420" w:lineRule="atLeast"/>
              <w:jc w:val="center"/>
              <w:rPr>
                <w:rFonts w:hint="eastAsia"/>
                <w:sz w:val="21"/>
                <w:szCs w:val="21"/>
              </w:rPr>
            </w:pPr>
          </w:p>
        </w:tc>
        <w:tc>
          <w:tcPr>
            <w:tcW w:w="334" w:type="dxa"/>
            <w:vAlign w:val="center"/>
          </w:tcPr>
          <w:p w14:paraId="0FFEC6DC">
            <w:pPr>
              <w:pStyle w:val="42"/>
              <w:spacing w:before="0" w:beforeAutospacing="0" w:after="0" w:afterAutospacing="0" w:line="420" w:lineRule="atLeast"/>
              <w:jc w:val="center"/>
              <w:rPr>
                <w:rFonts w:hint="eastAsia"/>
                <w:sz w:val="21"/>
                <w:szCs w:val="21"/>
              </w:rPr>
            </w:pPr>
          </w:p>
        </w:tc>
        <w:tc>
          <w:tcPr>
            <w:tcW w:w="334" w:type="dxa"/>
            <w:vAlign w:val="center"/>
          </w:tcPr>
          <w:p w14:paraId="3C1F920E">
            <w:pPr>
              <w:pStyle w:val="42"/>
              <w:spacing w:before="0" w:beforeAutospacing="0" w:after="0" w:afterAutospacing="0" w:line="420" w:lineRule="atLeast"/>
              <w:jc w:val="center"/>
              <w:rPr>
                <w:rFonts w:hint="eastAsia"/>
                <w:sz w:val="21"/>
                <w:szCs w:val="21"/>
              </w:rPr>
            </w:pPr>
          </w:p>
        </w:tc>
        <w:tc>
          <w:tcPr>
            <w:tcW w:w="452" w:type="dxa"/>
            <w:vAlign w:val="center"/>
          </w:tcPr>
          <w:p w14:paraId="2232FC67">
            <w:pPr>
              <w:pStyle w:val="42"/>
              <w:spacing w:before="0" w:beforeAutospacing="0" w:after="0" w:afterAutospacing="0" w:line="420" w:lineRule="atLeast"/>
              <w:jc w:val="center"/>
              <w:rPr>
                <w:rFonts w:hint="eastAsia"/>
                <w:sz w:val="21"/>
                <w:szCs w:val="21"/>
              </w:rPr>
            </w:pPr>
          </w:p>
        </w:tc>
        <w:tc>
          <w:tcPr>
            <w:tcW w:w="334" w:type="dxa"/>
            <w:vAlign w:val="center"/>
          </w:tcPr>
          <w:p w14:paraId="1909C2AD">
            <w:pPr>
              <w:pStyle w:val="42"/>
              <w:spacing w:before="0" w:beforeAutospacing="0" w:after="0" w:afterAutospacing="0" w:line="420" w:lineRule="atLeast"/>
              <w:jc w:val="center"/>
              <w:rPr>
                <w:rFonts w:hint="eastAsia"/>
                <w:sz w:val="21"/>
                <w:szCs w:val="21"/>
              </w:rPr>
            </w:pPr>
          </w:p>
        </w:tc>
        <w:tc>
          <w:tcPr>
            <w:tcW w:w="452" w:type="dxa"/>
            <w:vAlign w:val="center"/>
          </w:tcPr>
          <w:p w14:paraId="267E36B9">
            <w:pPr>
              <w:pStyle w:val="42"/>
              <w:spacing w:before="0" w:beforeAutospacing="0" w:after="0" w:afterAutospacing="0" w:line="420" w:lineRule="atLeast"/>
              <w:jc w:val="center"/>
              <w:rPr>
                <w:rFonts w:hint="eastAsia"/>
                <w:sz w:val="21"/>
                <w:szCs w:val="21"/>
              </w:rPr>
            </w:pPr>
          </w:p>
        </w:tc>
        <w:tc>
          <w:tcPr>
            <w:tcW w:w="334" w:type="dxa"/>
            <w:vAlign w:val="center"/>
          </w:tcPr>
          <w:p w14:paraId="530622CF">
            <w:pPr>
              <w:pStyle w:val="42"/>
              <w:spacing w:before="0" w:beforeAutospacing="0" w:after="0" w:afterAutospacing="0" w:line="420" w:lineRule="atLeast"/>
              <w:jc w:val="center"/>
              <w:rPr>
                <w:rFonts w:hint="eastAsia"/>
                <w:sz w:val="21"/>
                <w:szCs w:val="21"/>
              </w:rPr>
            </w:pPr>
          </w:p>
        </w:tc>
        <w:tc>
          <w:tcPr>
            <w:tcW w:w="571" w:type="dxa"/>
            <w:vAlign w:val="center"/>
          </w:tcPr>
          <w:p w14:paraId="2D72439B">
            <w:pPr>
              <w:pStyle w:val="42"/>
              <w:spacing w:before="0" w:beforeAutospacing="0" w:after="0" w:afterAutospacing="0" w:line="420" w:lineRule="atLeast"/>
              <w:jc w:val="center"/>
              <w:rPr>
                <w:rFonts w:hint="eastAsia"/>
                <w:sz w:val="21"/>
                <w:szCs w:val="21"/>
              </w:rPr>
            </w:pPr>
          </w:p>
        </w:tc>
        <w:tc>
          <w:tcPr>
            <w:tcW w:w="452" w:type="dxa"/>
            <w:vAlign w:val="center"/>
          </w:tcPr>
          <w:p w14:paraId="13985413">
            <w:pPr>
              <w:pStyle w:val="42"/>
              <w:spacing w:before="0" w:beforeAutospacing="0" w:after="0" w:afterAutospacing="0" w:line="420" w:lineRule="atLeast"/>
              <w:jc w:val="center"/>
              <w:rPr>
                <w:rFonts w:hint="eastAsia"/>
                <w:sz w:val="21"/>
                <w:szCs w:val="21"/>
              </w:rPr>
            </w:pPr>
          </w:p>
        </w:tc>
        <w:tc>
          <w:tcPr>
            <w:tcW w:w="334" w:type="dxa"/>
            <w:vAlign w:val="center"/>
          </w:tcPr>
          <w:p w14:paraId="55DE0A4F">
            <w:pPr>
              <w:pStyle w:val="42"/>
              <w:spacing w:before="0" w:beforeAutospacing="0" w:after="0" w:afterAutospacing="0" w:line="420" w:lineRule="atLeast"/>
              <w:jc w:val="center"/>
              <w:rPr>
                <w:rFonts w:hint="eastAsia"/>
                <w:sz w:val="21"/>
                <w:szCs w:val="21"/>
              </w:rPr>
            </w:pPr>
          </w:p>
        </w:tc>
        <w:tc>
          <w:tcPr>
            <w:tcW w:w="334" w:type="dxa"/>
            <w:vAlign w:val="center"/>
          </w:tcPr>
          <w:p w14:paraId="423E5563">
            <w:pPr>
              <w:pStyle w:val="42"/>
              <w:spacing w:before="0" w:beforeAutospacing="0" w:after="0" w:afterAutospacing="0" w:line="420" w:lineRule="atLeast"/>
              <w:jc w:val="center"/>
              <w:rPr>
                <w:rFonts w:hint="eastAsia"/>
                <w:sz w:val="21"/>
                <w:szCs w:val="21"/>
              </w:rPr>
            </w:pPr>
          </w:p>
        </w:tc>
        <w:tc>
          <w:tcPr>
            <w:tcW w:w="452" w:type="dxa"/>
            <w:vAlign w:val="center"/>
          </w:tcPr>
          <w:p w14:paraId="6C5E84E3">
            <w:pPr>
              <w:pStyle w:val="42"/>
              <w:spacing w:before="0" w:beforeAutospacing="0" w:after="0" w:afterAutospacing="0" w:line="420" w:lineRule="atLeast"/>
              <w:jc w:val="center"/>
              <w:rPr>
                <w:rFonts w:hint="eastAsia"/>
                <w:sz w:val="21"/>
                <w:szCs w:val="21"/>
              </w:rPr>
            </w:pPr>
          </w:p>
        </w:tc>
        <w:tc>
          <w:tcPr>
            <w:tcW w:w="334" w:type="dxa"/>
            <w:vAlign w:val="center"/>
          </w:tcPr>
          <w:p w14:paraId="011CF513">
            <w:pPr>
              <w:pStyle w:val="42"/>
              <w:spacing w:before="0" w:beforeAutospacing="0" w:after="0" w:afterAutospacing="0" w:line="420" w:lineRule="atLeast"/>
              <w:jc w:val="center"/>
              <w:rPr>
                <w:rFonts w:hint="eastAsia"/>
                <w:sz w:val="21"/>
                <w:szCs w:val="21"/>
              </w:rPr>
            </w:pPr>
          </w:p>
        </w:tc>
        <w:tc>
          <w:tcPr>
            <w:tcW w:w="334" w:type="dxa"/>
            <w:vAlign w:val="center"/>
          </w:tcPr>
          <w:p w14:paraId="4EF29013">
            <w:pPr>
              <w:pStyle w:val="42"/>
              <w:spacing w:before="0" w:beforeAutospacing="0" w:after="0" w:afterAutospacing="0" w:line="420" w:lineRule="atLeast"/>
              <w:jc w:val="center"/>
              <w:rPr>
                <w:rFonts w:hint="eastAsia"/>
                <w:sz w:val="21"/>
                <w:szCs w:val="21"/>
              </w:rPr>
            </w:pPr>
          </w:p>
        </w:tc>
        <w:tc>
          <w:tcPr>
            <w:tcW w:w="452" w:type="dxa"/>
            <w:vAlign w:val="center"/>
          </w:tcPr>
          <w:p w14:paraId="4A8E0F41">
            <w:pPr>
              <w:pStyle w:val="42"/>
              <w:spacing w:before="0" w:beforeAutospacing="0" w:after="0" w:afterAutospacing="0" w:line="420" w:lineRule="atLeast"/>
              <w:jc w:val="center"/>
              <w:rPr>
                <w:rFonts w:hint="eastAsia"/>
                <w:sz w:val="21"/>
                <w:szCs w:val="21"/>
              </w:rPr>
            </w:pPr>
          </w:p>
        </w:tc>
        <w:tc>
          <w:tcPr>
            <w:tcW w:w="334" w:type="dxa"/>
            <w:vAlign w:val="center"/>
          </w:tcPr>
          <w:p w14:paraId="46EC1A90">
            <w:pPr>
              <w:pStyle w:val="42"/>
              <w:spacing w:before="0" w:beforeAutospacing="0" w:after="0" w:afterAutospacing="0" w:line="420" w:lineRule="atLeast"/>
              <w:jc w:val="center"/>
              <w:rPr>
                <w:rFonts w:hint="eastAsia"/>
                <w:sz w:val="21"/>
                <w:szCs w:val="21"/>
              </w:rPr>
            </w:pPr>
          </w:p>
        </w:tc>
        <w:tc>
          <w:tcPr>
            <w:tcW w:w="334" w:type="dxa"/>
            <w:vAlign w:val="center"/>
          </w:tcPr>
          <w:p w14:paraId="6AC3DA01">
            <w:pPr>
              <w:pStyle w:val="42"/>
              <w:spacing w:before="0" w:beforeAutospacing="0" w:after="0" w:afterAutospacing="0" w:line="420" w:lineRule="atLeast"/>
              <w:jc w:val="center"/>
              <w:rPr>
                <w:rFonts w:hint="eastAsia"/>
                <w:sz w:val="21"/>
                <w:szCs w:val="21"/>
              </w:rPr>
            </w:pPr>
          </w:p>
        </w:tc>
      </w:tr>
    </w:tbl>
    <w:p w14:paraId="73A76B75">
      <w:pPr>
        <w:pStyle w:val="42"/>
        <w:spacing w:before="0" w:beforeAutospacing="0" w:after="0" w:afterAutospacing="0" w:line="420" w:lineRule="atLeast"/>
        <w:jc w:val="both"/>
        <w:rPr>
          <w:rFonts w:hint="eastAsia"/>
          <w:sz w:val="21"/>
          <w:szCs w:val="21"/>
        </w:rPr>
      </w:pPr>
    </w:p>
    <w:p w14:paraId="78D263CF">
      <w:pPr>
        <w:pStyle w:val="2"/>
        <w:ind w:firstLine="0"/>
        <w:jc w:val="center"/>
        <w:rPr>
          <w:sz w:val="21"/>
          <w:szCs w:val="21"/>
        </w:rPr>
      </w:pPr>
      <w:r>
        <w:rPr>
          <w:rFonts w:hint="eastAsia"/>
          <w:sz w:val="21"/>
          <w:szCs w:val="21"/>
        </w:rPr>
        <w:t>备注，如果封装测试在一起，就写同样的信息即可</w:t>
      </w:r>
    </w:p>
    <w:p w14:paraId="3A4BE33A">
      <w:pPr>
        <w:jc w:val="center"/>
        <w:rPr>
          <w:sz w:val="21"/>
          <w:szCs w:val="21"/>
        </w:rPr>
      </w:pPr>
      <w:r>
        <w:rPr>
          <w:rFonts w:hint="eastAsia"/>
          <w:sz w:val="21"/>
          <w:szCs w:val="21"/>
        </w:rPr>
        <w:br w:type="page"/>
      </w:r>
    </w:p>
    <w:p w14:paraId="0C58F89F">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4DDBC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4C46A95A">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1502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037C7403">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587B4B2A">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0CFF6D51">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3E1174D9">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3EBC7A0E">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5FA34107">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4AD8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1E6E21A5">
            <w:pPr>
              <w:pStyle w:val="42"/>
              <w:spacing w:before="0" w:beforeAutospacing="0" w:after="0" w:afterAutospacing="0" w:line="420" w:lineRule="atLeast"/>
              <w:jc w:val="both"/>
              <w:rPr>
                <w:rFonts w:hint="eastAsia"/>
                <w:sz w:val="21"/>
                <w:szCs w:val="21"/>
              </w:rPr>
            </w:pPr>
            <w:r>
              <w:rPr>
                <w:rFonts w:hint="eastAsia"/>
                <w:sz w:val="21"/>
                <w:szCs w:val="21"/>
              </w:rPr>
              <w:t>专线路由器</w:t>
            </w:r>
          </w:p>
        </w:tc>
        <w:tc>
          <w:tcPr>
            <w:tcW w:w="1775" w:type="dxa"/>
            <w:vAlign w:val="center"/>
          </w:tcPr>
          <w:p w14:paraId="020D71B0">
            <w:pPr>
              <w:pStyle w:val="42"/>
              <w:spacing w:before="0" w:beforeAutospacing="0" w:after="0" w:afterAutospacing="0" w:line="420" w:lineRule="atLeast"/>
              <w:jc w:val="center"/>
              <w:rPr>
                <w:rFonts w:hint="eastAsia"/>
                <w:sz w:val="21"/>
                <w:szCs w:val="21"/>
              </w:rPr>
            </w:pPr>
          </w:p>
        </w:tc>
        <w:tc>
          <w:tcPr>
            <w:tcW w:w="1420" w:type="dxa"/>
            <w:vAlign w:val="center"/>
          </w:tcPr>
          <w:p w14:paraId="58CF2FFF">
            <w:pPr>
              <w:pStyle w:val="42"/>
              <w:spacing w:before="0" w:beforeAutospacing="0" w:after="0" w:afterAutospacing="0" w:line="420" w:lineRule="atLeast"/>
              <w:jc w:val="center"/>
              <w:rPr>
                <w:rFonts w:hint="eastAsia"/>
                <w:sz w:val="21"/>
                <w:szCs w:val="21"/>
              </w:rPr>
            </w:pPr>
          </w:p>
        </w:tc>
        <w:tc>
          <w:tcPr>
            <w:tcW w:w="1420" w:type="dxa"/>
            <w:vAlign w:val="center"/>
          </w:tcPr>
          <w:p w14:paraId="1F713949">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55AF625C">
            <w:pPr>
              <w:pStyle w:val="42"/>
              <w:spacing w:before="0" w:beforeAutospacing="0" w:after="0" w:afterAutospacing="0" w:line="420" w:lineRule="atLeast"/>
              <w:jc w:val="center"/>
              <w:rPr>
                <w:rFonts w:hint="eastAsia"/>
                <w:sz w:val="21"/>
                <w:szCs w:val="21"/>
              </w:rPr>
            </w:pPr>
          </w:p>
        </w:tc>
        <w:tc>
          <w:tcPr>
            <w:tcW w:w="1421" w:type="dxa"/>
            <w:vAlign w:val="center"/>
          </w:tcPr>
          <w:p w14:paraId="445D5025">
            <w:pPr>
              <w:pStyle w:val="42"/>
              <w:spacing w:before="0" w:beforeAutospacing="0" w:after="0" w:afterAutospacing="0" w:line="420" w:lineRule="atLeast"/>
              <w:jc w:val="center"/>
              <w:rPr>
                <w:rFonts w:hint="eastAsia"/>
                <w:sz w:val="21"/>
                <w:szCs w:val="21"/>
              </w:rPr>
            </w:pPr>
          </w:p>
        </w:tc>
      </w:tr>
      <w:tr w14:paraId="7D1C0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6A9159ED">
            <w:pPr>
              <w:pStyle w:val="42"/>
              <w:spacing w:before="0" w:beforeAutospacing="0" w:after="0" w:afterAutospacing="0" w:line="420" w:lineRule="atLeast"/>
              <w:jc w:val="center"/>
              <w:rPr>
                <w:rFonts w:hint="eastAsia"/>
                <w:sz w:val="21"/>
                <w:szCs w:val="21"/>
              </w:rPr>
            </w:pPr>
          </w:p>
        </w:tc>
        <w:tc>
          <w:tcPr>
            <w:tcW w:w="1775" w:type="dxa"/>
            <w:vAlign w:val="center"/>
          </w:tcPr>
          <w:p w14:paraId="6533B901">
            <w:pPr>
              <w:pStyle w:val="42"/>
              <w:spacing w:before="0" w:beforeAutospacing="0" w:after="0" w:afterAutospacing="0" w:line="420" w:lineRule="atLeast"/>
              <w:jc w:val="center"/>
              <w:rPr>
                <w:rFonts w:hint="eastAsia"/>
                <w:sz w:val="21"/>
                <w:szCs w:val="21"/>
              </w:rPr>
            </w:pPr>
          </w:p>
        </w:tc>
        <w:tc>
          <w:tcPr>
            <w:tcW w:w="1420" w:type="dxa"/>
            <w:vAlign w:val="center"/>
          </w:tcPr>
          <w:p w14:paraId="0C4D4863">
            <w:pPr>
              <w:pStyle w:val="42"/>
              <w:spacing w:before="0" w:beforeAutospacing="0" w:after="0" w:afterAutospacing="0" w:line="420" w:lineRule="atLeast"/>
              <w:jc w:val="center"/>
              <w:rPr>
                <w:rFonts w:hint="eastAsia"/>
                <w:sz w:val="21"/>
                <w:szCs w:val="21"/>
              </w:rPr>
            </w:pPr>
          </w:p>
        </w:tc>
        <w:tc>
          <w:tcPr>
            <w:tcW w:w="1420" w:type="dxa"/>
            <w:vAlign w:val="center"/>
          </w:tcPr>
          <w:p w14:paraId="0BDEBC75">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7AF09AB5">
            <w:pPr>
              <w:pStyle w:val="42"/>
              <w:spacing w:before="0" w:beforeAutospacing="0" w:after="0" w:afterAutospacing="0" w:line="420" w:lineRule="atLeast"/>
              <w:jc w:val="center"/>
              <w:rPr>
                <w:rFonts w:hint="eastAsia"/>
                <w:sz w:val="21"/>
                <w:szCs w:val="21"/>
              </w:rPr>
            </w:pPr>
          </w:p>
        </w:tc>
        <w:tc>
          <w:tcPr>
            <w:tcW w:w="1421" w:type="dxa"/>
            <w:vAlign w:val="center"/>
          </w:tcPr>
          <w:p w14:paraId="7B6C1985">
            <w:pPr>
              <w:pStyle w:val="42"/>
              <w:spacing w:before="0" w:beforeAutospacing="0" w:after="0" w:afterAutospacing="0" w:line="420" w:lineRule="atLeast"/>
              <w:jc w:val="center"/>
              <w:rPr>
                <w:rFonts w:hint="eastAsia"/>
                <w:sz w:val="21"/>
                <w:szCs w:val="21"/>
              </w:rPr>
            </w:pPr>
          </w:p>
        </w:tc>
      </w:tr>
      <w:tr w14:paraId="0577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37834E45">
            <w:pPr>
              <w:pStyle w:val="42"/>
              <w:spacing w:before="0" w:beforeAutospacing="0" w:after="0" w:afterAutospacing="0" w:line="420" w:lineRule="atLeast"/>
              <w:jc w:val="center"/>
              <w:rPr>
                <w:rFonts w:hint="eastAsia"/>
                <w:sz w:val="21"/>
                <w:szCs w:val="21"/>
              </w:rPr>
            </w:pPr>
          </w:p>
        </w:tc>
        <w:tc>
          <w:tcPr>
            <w:tcW w:w="1775" w:type="dxa"/>
            <w:vAlign w:val="center"/>
          </w:tcPr>
          <w:p w14:paraId="435E81CF">
            <w:pPr>
              <w:pStyle w:val="42"/>
              <w:spacing w:before="0" w:beforeAutospacing="0" w:after="0" w:afterAutospacing="0" w:line="420" w:lineRule="atLeast"/>
              <w:jc w:val="center"/>
              <w:rPr>
                <w:rFonts w:hint="eastAsia"/>
                <w:sz w:val="21"/>
                <w:szCs w:val="21"/>
              </w:rPr>
            </w:pPr>
          </w:p>
        </w:tc>
        <w:tc>
          <w:tcPr>
            <w:tcW w:w="1420" w:type="dxa"/>
            <w:vAlign w:val="center"/>
          </w:tcPr>
          <w:p w14:paraId="1BA6CCC0">
            <w:pPr>
              <w:pStyle w:val="42"/>
              <w:spacing w:before="0" w:beforeAutospacing="0" w:after="0" w:afterAutospacing="0" w:line="420" w:lineRule="atLeast"/>
              <w:jc w:val="center"/>
              <w:rPr>
                <w:rFonts w:hint="eastAsia"/>
                <w:sz w:val="21"/>
                <w:szCs w:val="21"/>
              </w:rPr>
            </w:pPr>
          </w:p>
        </w:tc>
        <w:tc>
          <w:tcPr>
            <w:tcW w:w="1420" w:type="dxa"/>
            <w:vAlign w:val="center"/>
          </w:tcPr>
          <w:p w14:paraId="6909A076">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315DD058">
            <w:pPr>
              <w:pStyle w:val="42"/>
              <w:spacing w:before="0" w:beforeAutospacing="0" w:after="0" w:afterAutospacing="0" w:line="420" w:lineRule="atLeast"/>
              <w:jc w:val="center"/>
              <w:rPr>
                <w:rFonts w:hint="eastAsia"/>
                <w:sz w:val="21"/>
                <w:szCs w:val="21"/>
              </w:rPr>
            </w:pPr>
          </w:p>
        </w:tc>
        <w:tc>
          <w:tcPr>
            <w:tcW w:w="1421" w:type="dxa"/>
            <w:vAlign w:val="center"/>
          </w:tcPr>
          <w:p w14:paraId="770E9502">
            <w:pPr>
              <w:pStyle w:val="42"/>
              <w:spacing w:before="0" w:beforeAutospacing="0" w:after="0" w:afterAutospacing="0" w:line="420" w:lineRule="atLeast"/>
              <w:jc w:val="center"/>
              <w:rPr>
                <w:rFonts w:hint="eastAsia"/>
                <w:sz w:val="21"/>
                <w:szCs w:val="21"/>
              </w:rPr>
            </w:pPr>
          </w:p>
        </w:tc>
      </w:tr>
      <w:tr w14:paraId="08E7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52AFAA8C">
            <w:pPr>
              <w:pStyle w:val="42"/>
              <w:spacing w:before="0" w:beforeAutospacing="0" w:after="0" w:afterAutospacing="0" w:line="420" w:lineRule="atLeast"/>
              <w:jc w:val="center"/>
              <w:rPr>
                <w:rFonts w:hint="eastAsia"/>
                <w:sz w:val="21"/>
                <w:szCs w:val="21"/>
              </w:rPr>
            </w:pPr>
          </w:p>
        </w:tc>
        <w:tc>
          <w:tcPr>
            <w:tcW w:w="1775" w:type="dxa"/>
            <w:vAlign w:val="center"/>
          </w:tcPr>
          <w:p w14:paraId="382EA769">
            <w:pPr>
              <w:pStyle w:val="42"/>
              <w:spacing w:before="0" w:beforeAutospacing="0" w:after="0" w:afterAutospacing="0" w:line="420" w:lineRule="atLeast"/>
              <w:jc w:val="center"/>
              <w:rPr>
                <w:rFonts w:hint="eastAsia"/>
                <w:sz w:val="21"/>
                <w:szCs w:val="21"/>
              </w:rPr>
            </w:pPr>
          </w:p>
        </w:tc>
        <w:tc>
          <w:tcPr>
            <w:tcW w:w="1420" w:type="dxa"/>
            <w:vAlign w:val="center"/>
          </w:tcPr>
          <w:p w14:paraId="70D925DB">
            <w:pPr>
              <w:pStyle w:val="42"/>
              <w:spacing w:before="0" w:beforeAutospacing="0" w:after="0" w:afterAutospacing="0" w:line="420" w:lineRule="atLeast"/>
              <w:jc w:val="center"/>
              <w:rPr>
                <w:rFonts w:hint="eastAsia"/>
                <w:sz w:val="21"/>
                <w:szCs w:val="21"/>
              </w:rPr>
            </w:pPr>
          </w:p>
        </w:tc>
        <w:tc>
          <w:tcPr>
            <w:tcW w:w="1420" w:type="dxa"/>
            <w:vAlign w:val="center"/>
          </w:tcPr>
          <w:p w14:paraId="558E4409">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4DD4E250">
            <w:pPr>
              <w:pStyle w:val="42"/>
              <w:spacing w:before="0" w:beforeAutospacing="0" w:after="0" w:afterAutospacing="0" w:line="420" w:lineRule="atLeast"/>
              <w:jc w:val="center"/>
              <w:rPr>
                <w:rFonts w:hint="eastAsia"/>
                <w:sz w:val="21"/>
                <w:szCs w:val="21"/>
              </w:rPr>
            </w:pPr>
          </w:p>
        </w:tc>
        <w:tc>
          <w:tcPr>
            <w:tcW w:w="1421" w:type="dxa"/>
            <w:vAlign w:val="center"/>
          </w:tcPr>
          <w:p w14:paraId="7AFAF71E">
            <w:pPr>
              <w:pStyle w:val="42"/>
              <w:spacing w:before="0" w:beforeAutospacing="0" w:after="0" w:afterAutospacing="0" w:line="420" w:lineRule="atLeast"/>
              <w:jc w:val="center"/>
              <w:rPr>
                <w:rFonts w:hint="eastAsia"/>
                <w:sz w:val="21"/>
                <w:szCs w:val="21"/>
              </w:rPr>
            </w:pPr>
          </w:p>
        </w:tc>
      </w:tr>
    </w:tbl>
    <w:p w14:paraId="28E3923F">
      <w:pPr>
        <w:pStyle w:val="42"/>
        <w:spacing w:before="900" w:beforeAutospacing="0" w:after="0" w:afterAutospacing="0" w:line="420" w:lineRule="atLeast"/>
        <w:jc w:val="both"/>
        <w:rPr>
          <w:rFonts w:hint="eastAsia"/>
          <w:sz w:val="28"/>
          <w:szCs w:val="28"/>
        </w:rPr>
      </w:pPr>
    </w:p>
    <w:p w14:paraId="3D6E48D0">
      <w:pPr>
        <w:pStyle w:val="42"/>
        <w:spacing w:before="900" w:beforeAutospacing="0" w:after="0" w:afterAutospacing="0" w:line="420" w:lineRule="atLeast"/>
        <w:jc w:val="both"/>
        <w:rPr>
          <w:rFonts w:hint="eastAsia"/>
          <w:sz w:val="28"/>
          <w:szCs w:val="28"/>
        </w:rPr>
      </w:pPr>
    </w:p>
    <w:p w14:paraId="4AEC29CE">
      <w:pPr>
        <w:pStyle w:val="42"/>
        <w:spacing w:before="900" w:beforeAutospacing="0" w:after="0" w:afterAutospacing="0" w:line="420" w:lineRule="atLeast"/>
        <w:jc w:val="both"/>
        <w:rPr>
          <w:rFonts w:hint="eastAsia"/>
          <w:sz w:val="28"/>
          <w:szCs w:val="28"/>
        </w:rPr>
      </w:pPr>
    </w:p>
    <w:p w14:paraId="610CA04C">
      <w:pPr>
        <w:pStyle w:val="42"/>
        <w:spacing w:before="900" w:beforeAutospacing="0" w:after="0" w:afterAutospacing="0" w:line="420" w:lineRule="atLeast"/>
        <w:jc w:val="both"/>
        <w:rPr>
          <w:rFonts w:hint="eastAsia"/>
          <w:sz w:val="28"/>
          <w:szCs w:val="28"/>
        </w:rPr>
      </w:pPr>
    </w:p>
    <w:p w14:paraId="3C6E62FE">
      <w:pPr>
        <w:pStyle w:val="42"/>
        <w:spacing w:before="900" w:beforeAutospacing="0" w:after="0" w:afterAutospacing="0" w:line="420" w:lineRule="atLeast"/>
        <w:jc w:val="both"/>
        <w:rPr>
          <w:rFonts w:hint="eastAsia"/>
          <w:sz w:val="28"/>
          <w:szCs w:val="28"/>
        </w:rPr>
      </w:pPr>
    </w:p>
    <w:p w14:paraId="71D88CE0">
      <w:pPr>
        <w:pStyle w:val="42"/>
        <w:spacing w:before="900" w:beforeAutospacing="0" w:after="0" w:afterAutospacing="0" w:line="420" w:lineRule="atLeast"/>
        <w:jc w:val="both"/>
        <w:rPr>
          <w:rFonts w:hint="eastAsia"/>
          <w:sz w:val="28"/>
          <w:szCs w:val="28"/>
        </w:rPr>
      </w:pPr>
    </w:p>
    <w:p w14:paraId="1B2F15EE">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6F28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22"/>
            <w:vAlign w:val="center"/>
          </w:tcPr>
          <w:p w14:paraId="7868FFC2">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7A58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06927430">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3B800877">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39D18B75">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36DFD342">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43B856F4">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11ECAF87">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40167C33">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39A7862C">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6AD3110F">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3E426CCD">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1554D429">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725BDAA5">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48DFDD28">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4F34330E">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20976CAA">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6C3081A8">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1BEB0A50">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22F75157">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04F84BE1">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44839EFA">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0876A50E">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4AA6C175">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63A2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31703541">
            <w:pPr>
              <w:pStyle w:val="42"/>
              <w:spacing w:before="0" w:beforeAutospacing="0" w:after="0" w:afterAutospacing="0" w:line="420" w:lineRule="atLeast"/>
              <w:jc w:val="center"/>
              <w:rPr>
                <w:rFonts w:hint="eastAsia"/>
                <w:sz w:val="21"/>
                <w:szCs w:val="21"/>
              </w:rPr>
            </w:pPr>
          </w:p>
        </w:tc>
        <w:tc>
          <w:tcPr>
            <w:tcW w:w="335" w:type="dxa"/>
            <w:vAlign w:val="center"/>
          </w:tcPr>
          <w:p w14:paraId="38B7BA08">
            <w:pPr>
              <w:pStyle w:val="42"/>
              <w:spacing w:before="0" w:beforeAutospacing="0" w:after="0" w:afterAutospacing="0" w:line="420" w:lineRule="atLeast"/>
              <w:jc w:val="center"/>
              <w:rPr>
                <w:rFonts w:hint="eastAsia"/>
                <w:sz w:val="21"/>
                <w:szCs w:val="21"/>
              </w:rPr>
            </w:pPr>
          </w:p>
        </w:tc>
        <w:tc>
          <w:tcPr>
            <w:tcW w:w="335" w:type="dxa"/>
            <w:vAlign w:val="center"/>
          </w:tcPr>
          <w:p w14:paraId="7B68A051">
            <w:pPr>
              <w:pStyle w:val="42"/>
              <w:spacing w:before="0" w:beforeAutospacing="0" w:after="0" w:afterAutospacing="0" w:line="420" w:lineRule="atLeast"/>
              <w:jc w:val="center"/>
              <w:rPr>
                <w:rFonts w:hint="eastAsia"/>
                <w:sz w:val="21"/>
                <w:szCs w:val="21"/>
              </w:rPr>
            </w:pPr>
          </w:p>
        </w:tc>
        <w:tc>
          <w:tcPr>
            <w:tcW w:w="335" w:type="dxa"/>
            <w:vAlign w:val="center"/>
          </w:tcPr>
          <w:p w14:paraId="77DB3457">
            <w:pPr>
              <w:pStyle w:val="42"/>
              <w:spacing w:before="0" w:beforeAutospacing="0" w:after="0" w:afterAutospacing="0" w:line="420" w:lineRule="atLeast"/>
              <w:jc w:val="center"/>
              <w:rPr>
                <w:rFonts w:hint="eastAsia"/>
                <w:sz w:val="21"/>
                <w:szCs w:val="21"/>
              </w:rPr>
            </w:pPr>
          </w:p>
        </w:tc>
        <w:tc>
          <w:tcPr>
            <w:tcW w:w="334" w:type="dxa"/>
            <w:vAlign w:val="center"/>
          </w:tcPr>
          <w:p w14:paraId="2F73E39E">
            <w:pPr>
              <w:pStyle w:val="42"/>
              <w:spacing w:before="0" w:beforeAutospacing="0" w:after="0" w:afterAutospacing="0" w:line="420" w:lineRule="atLeast"/>
              <w:jc w:val="center"/>
              <w:rPr>
                <w:rFonts w:hint="eastAsia"/>
                <w:sz w:val="21"/>
                <w:szCs w:val="21"/>
              </w:rPr>
            </w:pPr>
          </w:p>
        </w:tc>
        <w:tc>
          <w:tcPr>
            <w:tcW w:w="452" w:type="dxa"/>
            <w:vAlign w:val="center"/>
          </w:tcPr>
          <w:p w14:paraId="0BF0018A">
            <w:pPr>
              <w:pStyle w:val="42"/>
              <w:spacing w:before="0" w:beforeAutospacing="0" w:after="0" w:afterAutospacing="0" w:line="420" w:lineRule="atLeast"/>
              <w:jc w:val="center"/>
              <w:rPr>
                <w:rFonts w:hint="eastAsia"/>
                <w:sz w:val="21"/>
                <w:szCs w:val="21"/>
              </w:rPr>
            </w:pPr>
          </w:p>
        </w:tc>
        <w:tc>
          <w:tcPr>
            <w:tcW w:w="334" w:type="dxa"/>
            <w:vAlign w:val="center"/>
          </w:tcPr>
          <w:p w14:paraId="1177B625">
            <w:pPr>
              <w:pStyle w:val="42"/>
              <w:spacing w:before="0" w:beforeAutospacing="0" w:after="0" w:afterAutospacing="0" w:line="420" w:lineRule="atLeast"/>
              <w:jc w:val="center"/>
              <w:rPr>
                <w:rFonts w:hint="eastAsia"/>
                <w:sz w:val="21"/>
                <w:szCs w:val="21"/>
              </w:rPr>
            </w:pPr>
          </w:p>
        </w:tc>
        <w:tc>
          <w:tcPr>
            <w:tcW w:w="334" w:type="dxa"/>
            <w:vAlign w:val="center"/>
          </w:tcPr>
          <w:p w14:paraId="389366F5">
            <w:pPr>
              <w:pStyle w:val="42"/>
              <w:spacing w:before="0" w:beforeAutospacing="0" w:after="0" w:afterAutospacing="0" w:line="420" w:lineRule="atLeast"/>
              <w:jc w:val="center"/>
              <w:rPr>
                <w:rFonts w:hint="eastAsia"/>
                <w:sz w:val="21"/>
                <w:szCs w:val="21"/>
              </w:rPr>
            </w:pPr>
          </w:p>
        </w:tc>
        <w:tc>
          <w:tcPr>
            <w:tcW w:w="452" w:type="dxa"/>
            <w:vAlign w:val="center"/>
          </w:tcPr>
          <w:p w14:paraId="09E1A3B8">
            <w:pPr>
              <w:pStyle w:val="42"/>
              <w:spacing w:before="0" w:beforeAutospacing="0" w:after="0" w:afterAutospacing="0" w:line="420" w:lineRule="atLeast"/>
              <w:jc w:val="center"/>
              <w:rPr>
                <w:rFonts w:hint="eastAsia"/>
                <w:sz w:val="21"/>
                <w:szCs w:val="21"/>
              </w:rPr>
            </w:pPr>
          </w:p>
        </w:tc>
        <w:tc>
          <w:tcPr>
            <w:tcW w:w="334" w:type="dxa"/>
            <w:vAlign w:val="center"/>
          </w:tcPr>
          <w:p w14:paraId="30526DBC">
            <w:pPr>
              <w:pStyle w:val="42"/>
              <w:spacing w:before="0" w:beforeAutospacing="0" w:after="0" w:afterAutospacing="0" w:line="420" w:lineRule="atLeast"/>
              <w:jc w:val="center"/>
              <w:rPr>
                <w:rFonts w:hint="eastAsia"/>
                <w:sz w:val="21"/>
                <w:szCs w:val="21"/>
              </w:rPr>
            </w:pPr>
          </w:p>
        </w:tc>
        <w:tc>
          <w:tcPr>
            <w:tcW w:w="452" w:type="dxa"/>
            <w:vAlign w:val="center"/>
          </w:tcPr>
          <w:p w14:paraId="65489F5C">
            <w:pPr>
              <w:pStyle w:val="42"/>
              <w:spacing w:before="0" w:beforeAutospacing="0" w:after="0" w:afterAutospacing="0" w:line="420" w:lineRule="atLeast"/>
              <w:jc w:val="center"/>
              <w:rPr>
                <w:rFonts w:hint="eastAsia"/>
                <w:sz w:val="21"/>
                <w:szCs w:val="21"/>
              </w:rPr>
            </w:pPr>
          </w:p>
        </w:tc>
        <w:tc>
          <w:tcPr>
            <w:tcW w:w="334" w:type="dxa"/>
            <w:vAlign w:val="center"/>
          </w:tcPr>
          <w:p w14:paraId="2E167300">
            <w:pPr>
              <w:pStyle w:val="42"/>
              <w:spacing w:before="0" w:beforeAutospacing="0" w:after="0" w:afterAutospacing="0" w:line="420" w:lineRule="atLeast"/>
              <w:jc w:val="center"/>
              <w:rPr>
                <w:rFonts w:hint="eastAsia"/>
                <w:sz w:val="21"/>
                <w:szCs w:val="21"/>
              </w:rPr>
            </w:pPr>
          </w:p>
        </w:tc>
        <w:tc>
          <w:tcPr>
            <w:tcW w:w="571" w:type="dxa"/>
            <w:vAlign w:val="center"/>
          </w:tcPr>
          <w:p w14:paraId="2E469407">
            <w:pPr>
              <w:pStyle w:val="42"/>
              <w:spacing w:before="0" w:beforeAutospacing="0" w:after="0" w:afterAutospacing="0" w:line="420" w:lineRule="atLeast"/>
              <w:jc w:val="center"/>
              <w:rPr>
                <w:rFonts w:hint="eastAsia"/>
                <w:sz w:val="21"/>
                <w:szCs w:val="21"/>
              </w:rPr>
            </w:pPr>
          </w:p>
        </w:tc>
        <w:tc>
          <w:tcPr>
            <w:tcW w:w="452" w:type="dxa"/>
            <w:vAlign w:val="center"/>
          </w:tcPr>
          <w:p w14:paraId="64A99FE4">
            <w:pPr>
              <w:pStyle w:val="42"/>
              <w:spacing w:before="0" w:beforeAutospacing="0" w:after="0" w:afterAutospacing="0" w:line="420" w:lineRule="atLeast"/>
              <w:jc w:val="center"/>
              <w:rPr>
                <w:rFonts w:hint="eastAsia"/>
                <w:sz w:val="21"/>
                <w:szCs w:val="21"/>
              </w:rPr>
            </w:pPr>
          </w:p>
        </w:tc>
        <w:tc>
          <w:tcPr>
            <w:tcW w:w="334" w:type="dxa"/>
            <w:vAlign w:val="center"/>
          </w:tcPr>
          <w:p w14:paraId="5A67D561">
            <w:pPr>
              <w:pStyle w:val="42"/>
              <w:spacing w:before="0" w:beforeAutospacing="0" w:after="0" w:afterAutospacing="0" w:line="420" w:lineRule="atLeast"/>
              <w:jc w:val="center"/>
              <w:rPr>
                <w:rFonts w:hint="eastAsia"/>
                <w:sz w:val="21"/>
                <w:szCs w:val="21"/>
              </w:rPr>
            </w:pPr>
          </w:p>
        </w:tc>
        <w:tc>
          <w:tcPr>
            <w:tcW w:w="334" w:type="dxa"/>
            <w:vAlign w:val="center"/>
          </w:tcPr>
          <w:p w14:paraId="5C71C520">
            <w:pPr>
              <w:pStyle w:val="42"/>
              <w:spacing w:before="0" w:beforeAutospacing="0" w:after="0" w:afterAutospacing="0" w:line="420" w:lineRule="atLeast"/>
              <w:jc w:val="center"/>
              <w:rPr>
                <w:rFonts w:hint="eastAsia"/>
                <w:sz w:val="21"/>
                <w:szCs w:val="21"/>
              </w:rPr>
            </w:pPr>
          </w:p>
        </w:tc>
        <w:tc>
          <w:tcPr>
            <w:tcW w:w="452" w:type="dxa"/>
            <w:vAlign w:val="center"/>
          </w:tcPr>
          <w:p w14:paraId="13A44321">
            <w:pPr>
              <w:pStyle w:val="42"/>
              <w:spacing w:before="0" w:beforeAutospacing="0" w:after="0" w:afterAutospacing="0" w:line="420" w:lineRule="atLeast"/>
              <w:jc w:val="center"/>
              <w:rPr>
                <w:rFonts w:hint="eastAsia"/>
                <w:sz w:val="21"/>
                <w:szCs w:val="21"/>
              </w:rPr>
            </w:pPr>
          </w:p>
        </w:tc>
        <w:tc>
          <w:tcPr>
            <w:tcW w:w="334" w:type="dxa"/>
            <w:vAlign w:val="center"/>
          </w:tcPr>
          <w:p w14:paraId="1FB00F0C">
            <w:pPr>
              <w:pStyle w:val="42"/>
              <w:spacing w:before="0" w:beforeAutospacing="0" w:after="0" w:afterAutospacing="0" w:line="420" w:lineRule="atLeast"/>
              <w:jc w:val="center"/>
              <w:rPr>
                <w:rFonts w:hint="eastAsia"/>
                <w:sz w:val="21"/>
                <w:szCs w:val="21"/>
              </w:rPr>
            </w:pPr>
          </w:p>
        </w:tc>
        <w:tc>
          <w:tcPr>
            <w:tcW w:w="334" w:type="dxa"/>
            <w:vAlign w:val="center"/>
          </w:tcPr>
          <w:p w14:paraId="403E12D4">
            <w:pPr>
              <w:pStyle w:val="42"/>
              <w:spacing w:before="0" w:beforeAutospacing="0" w:after="0" w:afterAutospacing="0" w:line="420" w:lineRule="atLeast"/>
              <w:jc w:val="center"/>
              <w:rPr>
                <w:rFonts w:hint="eastAsia"/>
                <w:sz w:val="21"/>
                <w:szCs w:val="21"/>
              </w:rPr>
            </w:pPr>
          </w:p>
        </w:tc>
        <w:tc>
          <w:tcPr>
            <w:tcW w:w="452" w:type="dxa"/>
            <w:vAlign w:val="center"/>
          </w:tcPr>
          <w:p w14:paraId="28653632">
            <w:pPr>
              <w:pStyle w:val="42"/>
              <w:spacing w:before="0" w:beforeAutospacing="0" w:after="0" w:afterAutospacing="0" w:line="420" w:lineRule="atLeast"/>
              <w:jc w:val="center"/>
              <w:rPr>
                <w:rFonts w:hint="eastAsia"/>
                <w:sz w:val="21"/>
                <w:szCs w:val="21"/>
              </w:rPr>
            </w:pPr>
          </w:p>
        </w:tc>
        <w:tc>
          <w:tcPr>
            <w:tcW w:w="334" w:type="dxa"/>
            <w:vAlign w:val="center"/>
          </w:tcPr>
          <w:p w14:paraId="4DDCD436">
            <w:pPr>
              <w:pStyle w:val="42"/>
              <w:spacing w:before="0" w:beforeAutospacing="0" w:after="0" w:afterAutospacing="0" w:line="420" w:lineRule="atLeast"/>
              <w:jc w:val="center"/>
              <w:rPr>
                <w:rFonts w:hint="eastAsia"/>
                <w:sz w:val="21"/>
                <w:szCs w:val="21"/>
              </w:rPr>
            </w:pPr>
          </w:p>
        </w:tc>
        <w:tc>
          <w:tcPr>
            <w:tcW w:w="334" w:type="dxa"/>
            <w:vAlign w:val="center"/>
          </w:tcPr>
          <w:p w14:paraId="2BC5F05D">
            <w:pPr>
              <w:pStyle w:val="42"/>
              <w:spacing w:before="0" w:beforeAutospacing="0" w:after="0" w:afterAutospacing="0" w:line="420" w:lineRule="atLeast"/>
              <w:jc w:val="center"/>
              <w:rPr>
                <w:rFonts w:hint="eastAsia"/>
                <w:sz w:val="21"/>
                <w:szCs w:val="21"/>
              </w:rPr>
            </w:pPr>
          </w:p>
        </w:tc>
      </w:tr>
    </w:tbl>
    <w:p w14:paraId="7B10862B">
      <w:pPr>
        <w:pStyle w:val="42"/>
        <w:spacing w:before="0" w:beforeAutospacing="0" w:after="0" w:afterAutospacing="0" w:line="420" w:lineRule="atLeast"/>
        <w:jc w:val="both"/>
        <w:rPr>
          <w:rFonts w:hint="eastAsia"/>
          <w:sz w:val="21"/>
          <w:szCs w:val="21"/>
        </w:rPr>
      </w:pPr>
    </w:p>
    <w:p w14:paraId="43F82119">
      <w:pPr>
        <w:pStyle w:val="2"/>
        <w:ind w:firstLine="0"/>
        <w:jc w:val="center"/>
        <w:rPr>
          <w:sz w:val="21"/>
          <w:szCs w:val="21"/>
        </w:rPr>
      </w:pPr>
      <w:r>
        <w:rPr>
          <w:rFonts w:hint="eastAsia"/>
          <w:sz w:val="21"/>
          <w:szCs w:val="21"/>
        </w:rPr>
        <w:t>备注，如果封装测试在一起，就写同样的信息即可</w:t>
      </w:r>
    </w:p>
    <w:p w14:paraId="7221879B">
      <w:pPr>
        <w:jc w:val="center"/>
        <w:rPr>
          <w:sz w:val="21"/>
          <w:szCs w:val="21"/>
        </w:rPr>
      </w:pPr>
      <w:r>
        <w:rPr>
          <w:rFonts w:hint="eastAsia"/>
          <w:sz w:val="21"/>
          <w:szCs w:val="21"/>
        </w:rPr>
        <w:br w:type="page"/>
      </w:r>
    </w:p>
    <w:p w14:paraId="0B5C2AFD">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4EFA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69E9F21E">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5D00E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73017144">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1963433A">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1016D5ED">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57198E02">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0A69C350">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16768CB6">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76F6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05E664AF">
            <w:pPr>
              <w:pStyle w:val="42"/>
              <w:spacing w:before="0" w:beforeAutospacing="0" w:after="0" w:afterAutospacing="0" w:line="420" w:lineRule="atLeast"/>
              <w:jc w:val="both"/>
              <w:rPr>
                <w:rFonts w:hint="eastAsia"/>
                <w:sz w:val="21"/>
                <w:szCs w:val="21"/>
              </w:rPr>
            </w:pPr>
            <w:r>
              <w:rPr>
                <w:rFonts w:hint="eastAsia"/>
                <w:sz w:val="21"/>
                <w:szCs w:val="21"/>
              </w:rPr>
              <w:t>48口三层接入交换机</w:t>
            </w:r>
          </w:p>
        </w:tc>
        <w:tc>
          <w:tcPr>
            <w:tcW w:w="1775" w:type="dxa"/>
            <w:vAlign w:val="center"/>
          </w:tcPr>
          <w:p w14:paraId="72B14F49">
            <w:pPr>
              <w:pStyle w:val="42"/>
              <w:spacing w:before="0" w:beforeAutospacing="0" w:after="0" w:afterAutospacing="0" w:line="420" w:lineRule="atLeast"/>
              <w:jc w:val="center"/>
              <w:rPr>
                <w:rFonts w:hint="eastAsia"/>
                <w:sz w:val="21"/>
                <w:szCs w:val="21"/>
              </w:rPr>
            </w:pPr>
          </w:p>
        </w:tc>
        <w:tc>
          <w:tcPr>
            <w:tcW w:w="1420" w:type="dxa"/>
            <w:vAlign w:val="center"/>
          </w:tcPr>
          <w:p w14:paraId="173B88D3">
            <w:pPr>
              <w:pStyle w:val="42"/>
              <w:spacing w:before="0" w:beforeAutospacing="0" w:after="0" w:afterAutospacing="0" w:line="420" w:lineRule="atLeast"/>
              <w:jc w:val="center"/>
              <w:rPr>
                <w:rFonts w:hint="eastAsia"/>
                <w:sz w:val="21"/>
                <w:szCs w:val="21"/>
              </w:rPr>
            </w:pPr>
          </w:p>
        </w:tc>
        <w:tc>
          <w:tcPr>
            <w:tcW w:w="1420" w:type="dxa"/>
            <w:vAlign w:val="center"/>
          </w:tcPr>
          <w:p w14:paraId="61FCD04E">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3AD02F61">
            <w:pPr>
              <w:pStyle w:val="42"/>
              <w:spacing w:before="0" w:beforeAutospacing="0" w:after="0" w:afterAutospacing="0" w:line="420" w:lineRule="atLeast"/>
              <w:jc w:val="center"/>
              <w:rPr>
                <w:rFonts w:hint="eastAsia"/>
                <w:sz w:val="21"/>
                <w:szCs w:val="21"/>
              </w:rPr>
            </w:pPr>
          </w:p>
        </w:tc>
        <w:tc>
          <w:tcPr>
            <w:tcW w:w="1421" w:type="dxa"/>
            <w:vAlign w:val="center"/>
          </w:tcPr>
          <w:p w14:paraId="5FB67D6B">
            <w:pPr>
              <w:pStyle w:val="42"/>
              <w:spacing w:before="0" w:beforeAutospacing="0" w:after="0" w:afterAutospacing="0" w:line="420" w:lineRule="atLeast"/>
              <w:jc w:val="center"/>
              <w:rPr>
                <w:rFonts w:hint="eastAsia"/>
                <w:sz w:val="21"/>
                <w:szCs w:val="21"/>
              </w:rPr>
            </w:pPr>
          </w:p>
        </w:tc>
      </w:tr>
      <w:tr w14:paraId="2856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65248FDC">
            <w:pPr>
              <w:pStyle w:val="42"/>
              <w:spacing w:before="0" w:beforeAutospacing="0" w:after="0" w:afterAutospacing="0" w:line="420" w:lineRule="atLeast"/>
              <w:jc w:val="center"/>
              <w:rPr>
                <w:rFonts w:hint="eastAsia"/>
                <w:sz w:val="21"/>
                <w:szCs w:val="21"/>
              </w:rPr>
            </w:pPr>
          </w:p>
        </w:tc>
        <w:tc>
          <w:tcPr>
            <w:tcW w:w="1775" w:type="dxa"/>
            <w:vAlign w:val="center"/>
          </w:tcPr>
          <w:p w14:paraId="46AFDDF0">
            <w:pPr>
              <w:pStyle w:val="42"/>
              <w:spacing w:before="0" w:beforeAutospacing="0" w:after="0" w:afterAutospacing="0" w:line="420" w:lineRule="atLeast"/>
              <w:jc w:val="center"/>
              <w:rPr>
                <w:rFonts w:hint="eastAsia"/>
                <w:sz w:val="21"/>
                <w:szCs w:val="21"/>
              </w:rPr>
            </w:pPr>
          </w:p>
        </w:tc>
        <w:tc>
          <w:tcPr>
            <w:tcW w:w="1420" w:type="dxa"/>
            <w:vAlign w:val="center"/>
          </w:tcPr>
          <w:p w14:paraId="63E2130E">
            <w:pPr>
              <w:pStyle w:val="42"/>
              <w:spacing w:before="0" w:beforeAutospacing="0" w:after="0" w:afterAutospacing="0" w:line="420" w:lineRule="atLeast"/>
              <w:jc w:val="center"/>
              <w:rPr>
                <w:rFonts w:hint="eastAsia"/>
                <w:sz w:val="21"/>
                <w:szCs w:val="21"/>
              </w:rPr>
            </w:pPr>
          </w:p>
        </w:tc>
        <w:tc>
          <w:tcPr>
            <w:tcW w:w="1420" w:type="dxa"/>
            <w:vAlign w:val="center"/>
          </w:tcPr>
          <w:p w14:paraId="7301FC3D">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2E36AF8A">
            <w:pPr>
              <w:pStyle w:val="42"/>
              <w:spacing w:before="0" w:beforeAutospacing="0" w:after="0" w:afterAutospacing="0" w:line="420" w:lineRule="atLeast"/>
              <w:jc w:val="center"/>
              <w:rPr>
                <w:rFonts w:hint="eastAsia"/>
                <w:sz w:val="21"/>
                <w:szCs w:val="21"/>
              </w:rPr>
            </w:pPr>
          </w:p>
        </w:tc>
        <w:tc>
          <w:tcPr>
            <w:tcW w:w="1421" w:type="dxa"/>
            <w:vAlign w:val="center"/>
          </w:tcPr>
          <w:p w14:paraId="02F912E2">
            <w:pPr>
              <w:pStyle w:val="42"/>
              <w:spacing w:before="0" w:beforeAutospacing="0" w:after="0" w:afterAutospacing="0" w:line="420" w:lineRule="atLeast"/>
              <w:jc w:val="center"/>
              <w:rPr>
                <w:rFonts w:hint="eastAsia"/>
                <w:sz w:val="21"/>
                <w:szCs w:val="21"/>
              </w:rPr>
            </w:pPr>
          </w:p>
        </w:tc>
      </w:tr>
      <w:tr w14:paraId="0E79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0B66E331">
            <w:pPr>
              <w:pStyle w:val="42"/>
              <w:spacing w:before="0" w:beforeAutospacing="0" w:after="0" w:afterAutospacing="0" w:line="420" w:lineRule="atLeast"/>
              <w:jc w:val="center"/>
              <w:rPr>
                <w:rFonts w:hint="eastAsia"/>
                <w:sz w:val="21"/>
                <w:szCs w:val="21"/>
              </w:rPr>
            </w:pPr>
          </w:p>
        </w:tc>
        <w:tc>
          <w:tcPr>
            <w:tcW w:w="1775" w:type="dxa"/>
            <w:vAlign w:val="center"/>
          </w:tcPr>
          <w:p w14:paraId="05268B92">
            <w:pPr>
              <w:pStyle w:val="42"/>
              <w:spacing w:before="0" w:beforeAutospacing="0" w:after="0" w:afterAutospacing="0" w:line="420" w:lineRule="atLeast"/>
              <w:jc w:val="center"/>
              <w:rPr>
                <w:rFonts w:hint="eastAsia"/>
                <w:sz w:val="21"/>
                <w:szCs w:val="21"/>
              </w:rPr>
            </w:pPr>
          </w:p>
        </w:tc>
        <w:tc>
          <w:tcPr>
            <w:tcW w:w="1420" w:type="dxa"/>
            <w:vAlign w:val="center"/>
          </w:tcPr>
          <w:p w14:paraId="32C51F6E">
            <w:pPr>
              <w:pStyle w:val="42"/>
              <w:spacing w:before="0" w:beforeAutospacing="0" w:after="0" w:afterAutospacing="0" w:line="420" w:lineRule="atLeast"/>
              <w:jc w:val="center"/>
              <w:rPr>
                <w:rFonts w:hint="eastAsia"/>
                <w:sz w:val="21"/>
                <w:szCs w:val="21"/>
              </w:rPr>
            </w:pPr>
          </w:p>
        </w:tc>
        <w:tc>
          <w:tcPr>
            <w:tcW w:w="1420" w:type="dxa"/>
            <w:vAlign w:val="center"/>
          </w:tcPr>
          <w:p w14:paraId="4F538C10">
            <w:pPr>
              <w:pStyle w:val="42"/>
              <w:spacing w:before="0" w:beforeAutospacing="0" w:after="0" w:afterAutospacing="0" w:line="420" w:lineRule="atLeast"/>
              <w:jc w:val="center"/>
              <w:rPr>
                <w:rFonts w:hint="eastAsia"/>
                <w:sz w:val="21"/>
                <w:szCs w:val="21"/>
              </w:rPr>
            </w:pPr>
            <w:r>
              <w:rPr>
                <w:rFonts w:hint="eastAsia"/>
                <w:sz w:val="21"/>
                <w:szCs w:val="21"/>
              </w:rPr>
              <w:t>FLASH</w:t>
            </w:r>
          </w:p>
        </w:tc>
        <w:tc>
          <w:tcPr>
            <w:tcW w:w="1421" w:type="dxa"/>
            <w:vAlign w:val="center"/>
          </w:tcPr>
          <w:p w14:paraId="53311821">
            <w:pPr>
              <w:pStyle w:val="42"/>
              <w:spacing w:before="0" w:beforeAutospacing="0" w:after="0" w:afterAutospacing="0" w:line="420" w:lineRule="atLeast"/>
              <w:jc w:val="center"/>
              <w:rPr>
                <w:rFonts w:hint="eastAsia"/>
                <w:sz w:val="21"/>
                <w:szCs w:val="21"/>
              </w:rPr>
            </w:pPr>
          </w:p>
        </w:tc>
        <w:tc>
          <w:tcPr>
            <w:tcW w:w="1421" w:type="dxa"/>
            <w:vAlign w:val="center"/>
          </w:tcPr>
          <w:p w14:paraId="1D778D6C">
            <w:pPr>
              <w:pStyle w:val="42"/>
              <w:spacing w:before="0" w:beforeAutospacing="0" w:after="0" w:afterAutospacing="0" w:line="420" w:lineRule="atLeast"/>
              <w:jc w:val="center"/>
              <w:rPr>
                <w:rFonts w:hint="eastAsia"/>
                <w:sz w:val="21"/>
                <w:szCs w:val="21"/>
              </w:rPr>
            </w:pPr>
          </w:p>
        </w:tc>
      </w:tr>
      <w:tr w14:paraId="7C96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vMerge w:val="continue"/>
            <w:vAlign w:val="center"/>
          </w:tcPr>
          <w:p w14:paraId="575F8455">
            <w:pPr>
              <w:pStyle w:val="42"/>
              <w:spacing w:before="0" w:beforeAutospacing="0" w:after="0" w:afterAutospacing="0" w:line="420" w:lineRule="atLeast"/>
              <w:jc w:val="center"/>
              <w:rPr>
                <w:rFonts w:hint="eastAsia"/>
                <w:sz w:val="21"/>
                <w:szCs w:val="21"/>
              </w:rPr>
            </w:pPr>
          </w:p>
        </w:tc>
        <w:tc>
          <w:tcPr>
            <w:tcW w:w="1775" w:type="dxa"/>
            <w:vAlign w:val="center"/>
          </w:tcPr>
          <w:p w14:paraId="066488B3">
            <w:pPr>
              <w:pStyle w:val="42"/>
              <w:spacing w:before="0" w:beforeAutospacing="0" w:after="0" w:afterAutospacing="0" w:line="420" w:lineRule="atLeast"/>
              <w:jc w:val="center"/>
              <w:rPr>
                <w:rFonts w:hint="eastAsia"/>
                <w:sz w:val="21"/>
                <w:szCs w:val="21"/>
              </w:rPr>
            </w:pPr>
          </w:p>
        </w:tc>
        <w:tc>
          <w:tcPr>
            <w:tcW w:w="1420" w:type="dxa"/>
            <w:vAlign w:val="center"/>
          </w:tcPr>
          <w:p w14:paraId="59DCEA02">
            <w:pPr>
              <w:pStyle w:val="42"/>
              <w:spacing w:before="0" w:beforeAutospacing="0" w:after="0" w:afterAutospacing="0" w:line="420" w:lineRule="atLeast"/>
              <w:jc w:val="center"/>
              <w:rPr>
                <w:rFonts w:hint="eastAsia"/>
                <w:sz w:val="21"/>
                <w:szCs w:val="21"/>
              </w:rPr>
            </w:pPr>
          </w:p>
        </w:tc>
        <w:tc>
          <w:tcPr>
            <w:tcW w:w="1420" w:type="dxa"/>
            <w:vAlign w:val="center"/>
          </w:tcPr>
          <w:p w14:paraId="0B0A244C">
            <w:pPr>
              <w:pStyle w:val="42"/>
              <w:spacing w:before="0" w:beforeAutospacing="0" w:after="0" w:afterAutospacing="0" w:line="420" w:lineRule="atLeast"/>
              <w:jc w:val="center"/>
              <w:rPr>
                <w:rFonts w:hint="eastAsia"/>
                <w:sz w:val="21"/>
                <w:szCs w:val="21"/>
              </w:rPr>
            </w:pPr>
            <w:r>
              <w:rPr>
                <w:rFonts w:hint="eastAsia"/>
                <w:sz w:val="21"/>
                <w:szCs w:val="21"/>
              </w:rPr>
              <w:t>交换转发芯片</w:t>
            </w:r>
          </w:p>
        </w:tc>
        <w:tc>
          <w:tcPr>
            <w:tcW w:w="1421" w:type="dxa"/>
            <w:vAlign w:val="center"/>
          </w:tcPr>
          <w:p w14:paraId="1F1F3BB9">
            <w:pPr>
              <w:pStyle w:val="42"/>
              <w:spacing w:before="0" w:beforeAutospacing="0" w:after="0" w:afterAutospacing="0" w:line="420" w:lineRule="atLeast"/>
              <w:jc w:val="center"/>
              <w:rPr>
                <w:rFonts w:hint="eastAsia"/>
                <w:sz w:val="21"/>
                <w:szCs w:val="21"/>
              </w:rPr>
            </w:pPr>
          </w:p>
        </w:tc>
        <w:tc>
          <w:tcPr>
            <w:tcW w:w="1421" w:type="dxa"/>
            <w:vAlign w:val="center"/>
          </w:tcPr>
          <w:p w14:paraId="0C42DFF5">
            <w:pPr>
              <w:pStyle w:val="42"/>
              <w:spacing w:before="0" w:beforeAutospacing="0" w:after="0" w:afterAutospacing="0" w:line="420" w:lineRule="atLeast"/>
              <w:jc w:val="center"/>
              <w:rPr>
                <w:rFonts w:hint="eastAsia"/>
                <w:sz w:val="21"/>
                <w:szCs w:val="21"/>
              </w:rPr>
            </w:pPr>
          </w:p>
        </w:tc>
      </w:tr>
    </w:tbl>
    <w:p w14:paraId="32C1D00C">
      <w:pPr>
        <w:pStyle w:val="42"/>
        <w:spacing w:before="900" w:beforeAutospacing="0" w:after="0" w:afterAutospacing="0" w:line="420" w:lineRule="atLeast"/>
        <w:jc w:val="both"/>
        <w:rPr>
          <w:rFonts w:hint="eastAsia" w:eastAsia="宋体"/>
          <w:sz w:val="28"/>
          <w:szCs w:val="28"/>
          <w:lang w:val="en-US" w:eastAsia="zh-CN"/>
        </w:rPr>
      </w:pPr>
    </w:p>
    <w:p w14:paraId="3882C558">
      <w:pPr>
        <w:pStyle w:val="42"/>
        <w:spacing w:before="900" w:beforeAutospacing="0" w:after="0" w:afterAutospacing="0" w:line="420" w:lineRule="atLeast"/>
        <w:jc w:val="both"/>
        <w:rPr>
          <w:rFonts w:hint="eastAsia"/>
          <w:sz w:val="28"/>
          <w:szCs w:val="28"/>
        </w:rPr>
      </w:pPr>
    </w:p>
    <w:p w14:paraId="0BD99378">
      <w:pPr>
        <w:pStyle w:val="42"/>
        <w:spacing w:before="900" w:beforeAutospacing="0" w:after="0" w:afterAutospacing="0" w:line="420" w:lineRule="atLeast"/>
        <w:jc w:val="both"/>
        <w:rPr>
          <w:rFonts w:hint="eastAsia"/>
          <w:sz w:val="28"/>
          <w:szCs w:val="28"/>
        </w:rPr>
      </w:pPr>
    </w:p>
    <w:p w14:paraId="34FB158C">
      <w:pPr>
        <w:pStyle w:val="42"/>
        <w:spacing w:before="900" w:beforeAutospacing="0" w:after="0" w:afterAutospacing="0" w:line="420" w:lineRule="atLeast"/>
        <w:jc w:val="both"/>
        <w:rPr>
          <w:rFonts w:hint="eastAsia"/>
          <w:sz w:val="28"/>
          <w:szCs w:val="28"/>
        </w:rPr>
      </w:pPr>
    </w:p>
    <w:p w14:paraId="1F76631E">
      <w:pPr>
        <w:pStyle w:val="42"/>
        <w:spacing w:before="900" w:beforeAutospacing="0" w:after="0" w:afterAutospacing="0" w:line="420" w:lineRule="atLeast"/>
        <w:jc w:val="both"/>
        <w:rPr>
          <w:rFonts w:hint="eastAsia"/>
          <w:sz w:val="28"/>
          <w:szCs w:val="28"/>
        </w:rPr>
      </w:pPr>
    </w:p>
    <w:p w14:paraId="2F823359">
      <w:pPr>
        <w:pStyle w:val="42"/>
        <w:spacing w:before="900" w:beforeAutospacing="0" w:after="0" w:afterAutospacing="0" w:line="420" w:lineRule="atLeast"/>
        <w:jc w:val="both"/>
        <w:rPr>
          <w:rFonts w:hint="eastAsia"/>
          <w:sz w:val="28"/>
          <w:szCs w:val="28"/>
        </w:rPr>
      </w:pPr>
    </w:p>
    <w:p w14:paraId="7A128887">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6574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22"/>
            <w:vAlign w:val="center"/>
          </w:tcPr>
          <w:p w14:paraId="340CADD0">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64AA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4C0F8EEC">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0BEAD06D">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4A4A8D29">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29163424">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53DAFF2D">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137C40BC">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20CC288B">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533C1178">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4277128B">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6D0F3230">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7B055784">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16FB5B5E">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43ECD4BA">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6FA9CA85">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5FCB402F">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136A2C42">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6B30AA01">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44F6D3E3">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4C2B781E">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3AABE9C5">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7034005B">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15FEA271">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71EC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7A41A6AE">
            <w:pPr>
              <w:pStyle w:val="42"/>
              <w:spacing w:before="0" w:beforeAutospacing="0" w:after="0" w:afterAutospacing="0" w:line="420" w:lineRule="atLeast"/>
              <w:jc w:val="center"/>
              <w:rPr>
                <w:rFonts w:hint="eastAsia"/>
                <w:sz w:val="21"/>
                <w:szCs w:val="21"/>
              </w:rPr>
            </w:pPr>
          </w:p>
        </w:tc>
        <w:tc>
          <w:tcPr>
            <w:tcW w:w="335" w:type="dxa"/>
            <w:vAlign w:val="center"/>
          </w:tcPr>
          <w:p w14:paraId="43A451AE">
            <w:pPr>
              <w:pStyle w:val="42"/>
              <w:spacing w:before="0" w:beforeAutospacing="0" w:after="0" w:afterAutospacing="0" w:line="420" w:lineRule="atLeast"/>
              <w:jc w:val="center"/>
              <w:rPr>
                <w:rFonts w:hint="eastAsia"/>
                <w:sz w:val="21"/>
                <w:szCs w:val="21"/>
              </w:rPr>
            </w:pPr>
          </w:p>
        </w:tc>
        <w:tc>
          <w:tcPr>
            <w:tcW w:w="335" w:type="dxa"/>
            <w:vAlign w:val="center"/>
          </w:tcPr>
          <w:p w14:paraId="11DE4C6B">
            <w:pPr>
              <w:pStyle w:val="42"/>
              <w:spacing w:before="0" w:beforeAutospacing="0" w:after="0" w:afterAutospacing="0" w:line="420" w:lineRule="atLeast"/>
              <w:jc w:val="center"/>
              <w:rPr>
                <w:rFonts w:hint="eastAsia"/>
                <w:sz w:val="21"/>
                <w:szCs w:val="21"/>
              </w:rPr>
            </w:pPr>
          </w:p>
        </w:tc>
        <w:tc>
          <w:tcPr>
            <w:tcW w:w="335" w:type="dxa"/>
            <w:vAlign w:val="center"/>
          </w:tcPr>
          <w:p w14:paraId="18264DEF">
            <w:pPr>
              <w:pStyle w:val="42"/>
              <w:spacing w:before="0" w:beforeAutospacing="0" w:after="0" w:afterAutospacing="0" w:line="420" w:lineRule="atLeast"/>
              <w:jc w:val="center"/>
              <w:rPr>
                <w:rFonts w:hint="eastAsia"/>
                <w:sz w:val="21"/>
                <w:szCs w:val="21"/>
              </w:rPr>
            </w:pPr>
          </w:p>
        </w:tc>
        <w:tc>
          <w:tcPr>
            <w:tcW w:w="334" w:type="dxa"/>
            <w:vAlign w:val="center"/>
          </w:tcPr>
          <w:p w14:paraId="108891FC">
            <w:pPr>
              <w:pStyle w:val="42"/>
              <w:spacing w:before="0" w:beforeAutospacing="0" w:after="0" w:afterAutospacing="0" w:line="420" w:lineRule="atLeast"/>
              <w:jc w:val="center"/>
              <w:rPr>
                <w:rFonts w:hint="eastAsia"/>
                <w:sz w:val="21"/>
                <w:szCs w:val="21"/>
              </w:rPr>
            </w:pPr>
          </w:p>
        </w:tc>
        <w:tc>
          <w:tcPr>
            <w:tcW w:w="452" w:type="dxa"/>
            <w:vAlign w:val="center"/>
          </w:tcPr>
          <w:p w14:paraId="625520F3">
            <w:pPr>
              <w:pStyle w:val="42"/>
              <w:spacing w:before="0" w:beforeAutospacing="0" w:after="0" w:afterAutospacing="0" w:line="420" w:lineRule="atLeast"/>
              <w:jc w:val="center"/>
              <w:rPr>
                <w:rFonts w:hint="eastAsia"/>
                <w:sz w:val="21"/>
                <w:szCs w:val="21"/>
              </w:rPr>
            </w:pPr>
          </w:p>
        </w:tc>
        <w:tc>
          <w:tcPr>
            <w:tcW w:w="334" w:type="dxa"/>
            <w:vAlign w:val="center"/>
          </w:tcPr>
          <w:p w14:paraId="76DDF127">
            <w:pPr>
              <w:pStyle w:val="42"/>
              <w:spacing w:before="0" w:beforeAutospacing="0" w:after="0" w:afterAutospacing="0" w:line="420" w:lineRule="atLeast"/>
              <w:jc w:val="center"/>
              <w:rPr>
                <w:rFonts w:hint="eastAsia"/>
                <w:sz w:val="21"/>
                <w:szCs w:val="21"/>
              </w:rPr>
            </w:pPr>
          </w:p>
        </w:tc>
        <w:tc>
          <w:tcPr>
            <w:tcW w:w="334" w:type="dxa"/>
            <w:vAlign w:val="center"/>
          </w:tcPr>
          <w:p w14:paraId="3B794E11">
            <w:pPr>
              <w:pStyle w:val="42"/>
              <w:spacing w:before="0" w:beforeAutospacing="0" w:after="0" w:afterAutospacing="0" w:line="420" w:lineRule="atLeast"/>
              <w:jc w:val="center"/>
              <w:rPr>
                <w:rFonts w:hint="eastAsia"/>
                <w:sz w:val="21"/>
                <w:szCs w:val="21"/>
              </w:rPr>
            </w:pPr>
          </w:p>
        </w:tc>
        <w:tc>
          <w:tcPr>
            <w:tcW w:w="452" w:type="dxa"/>
            <w:vAlign w:val="center"/>
          </w:tcPr>
          <w:p w14:paraId="37B4C768">
            <w:pPr>
              <w:pStyle w:val="42"/>
              <w:spacing w:before="0" w:beforeAutospacing="0" w:after="0" w:afterAutospacing="0" w:line="420" w:lineRule="atLeast"/>
              <w:jc w:val="center"/>
              <w:rPr>
                <w:rFonts w:hint="eastAsia"/>
                <w:sz w:val="21"/>
                <w:szCs w:val="21"/>
              </w:rPr>
            </w:pPr>
          </w:p>
        </w:tc>
        <w:tc>
          <w:tcPr>
            <w:tcW w:w="334" w:type="dxa"/>
            <w:vAlign w:val="center"/>
          </w:tcPr>
          <w:p w14:paraId="2D52A378">
            <w:pPr>
              <w:pStyle w:val="42"/>
              <w:spacing w:before="0" w:beforeAutospacing="0" w:after="0" w:afterAutospacing="0" w:line="420" w:lineRule="atLeast"/>
              <w:jc w:val="center"/>
              <w:rPr>
                <w:rFonts w:hint="eastAsia"/>
                <w:sz w:val="21"/>
                <w:szCs w:val="21"/>
              </w:rPr>
            </w:pPr>
          </w:p>
        </w:tc>
        <w:tc>
          <w:tcPr>
            <w:tcW w:w="452" w:type="dxa"/>
            <w:vAlign w:val="center"/>
          </w:tcPr>
          <w:p w14:paraId="5655FF65">
            <w:pPr>
              <w:pStyle w:val="42"/>
              <w:spacing w:before="0" w:beforeAutospacing="0" w:after="0" w:afterAutospacing="0" w:line="420" w:lineRule="atLeast"/>
              <w:jc w:val="center"/>
              <w:rPr>
                <w:rFonts w:hint="eastAsia"/>
                <w:sz w:val="21"/>
                <w:szCs w:val="21"/>
              </w:rPr>
            </w:pPr>
          </w:p>
        </w:tc>
        <w:tc>
          <w:tcPr>
            <w:tcW w:w="334" w:type="dxa"/>
            <w:vAlign w:val="center"/>
          </w:tcPr>
          <w:p w14:paraId="3C33A680">
            <w:pPr>
              <w:pStyle w:val="42"/>
              <w:spacing w:before="0" w:beforeAutospacing="0" w:after="0" w:afterAutospacing="0" w:line="420" w:lineRule="atLeast"/>
              <w:jc w:val="center"/>
              <w:rPr>
                <w:rFonts w:hint="eastAsia"/>
                <w:sz w:val="21"/>
                <w:szCs w:val="21"/>
              </w:rPr>
            </w:pPr>
          </w:p>
        </w:tc>
        <w:tc>
          <w:tcPr>
            <w:tcW w:w="571" w:type="dxa"/>
            <w:vAlign w:val="center"/>
          </w:tcPr>
          <w:p w14:paraId="24874A0E">
            <w:pPr>
              <w:pStyle w:val="42"/>
              <w:spacing w:before="0" w:beforeAutospacing="0" w:after="0" w:afterAutospacing="0" w:line="420" w:lineRule="atLeast"/>
              <w:jc w:val="center"/>
              <w:rPr>
                <w:rFonts w:hint="eastAsia"/>
                <w:sz w:val="21"/>
                <w:szCs w:val="21"/>
              </w:rPr>
            </w:pPr>
          </w:p>
        </w:tc>
        <w:tc>
          <w:tcPr>
            <w:tcW w:w="452" w:type="dxa"/>
            <w:vAlign w:val="center"/>
          </w:tcPr>
          <w:p w14:paraId="7530AE7C">
            <w:pPr>
              <w:pStyle w:val="42"/>
              <w:spacing w:before="0" w:beforeAutospacing="0" w:after="0" w:afterAutospacing="0" w:line="420" w:lineRule="atLeast"/>
              <w:jc w:val="center"/>
              <w:rPr>
                <w:rFonts w:hint="eastAsia"/>
                <w:sz w:val="21"/>
                <w:szCs w:val="21"/>
              </w:rPr>
            </w:pPr>
          </w:p>
        </w:tc>
        <w:tc>
          <w:tcPr>
            <w:tcW w:w="334" w:type="dxa"/>
            <w:vAlign w:val="center"/>
          </w:tcPr>
          <w:p w14:paraId="67A2BC1D">
            <w:pPr>
              <w:pStyle w:val="42"/>
              <w:spacing w:before="0" w:beforeAutospacing="0" w:after="0" w:afterAutospacing="0" w:line="420" w:lineRule="atLeast"/>
              <w:jc w:val="center"/>
              <w:rPr>
                <w:rFonts w:hint="eastAsia"/>
                <w:sz w:val="21"/>
                <w:szCs w:val="21"/>
              </w:rPr>
            </w:pPr>
          </w:p>
        </w:tc>
        <w:tc>
          <w:tcPr>
            <w:tcW w:w="334" w:type="dxa"/>
            <w:vAlign w:val="center"/>
          </w:tcPr>
          <w:p w14:paraId="6917821E">
            <w:pPr>
              <w:pStyle w:val="42"/>
              <w:spacing w:before="0" w:beforeAutospacing="0" w:after="0" w:afterAutospacing="0" w:line="420" w:lineRule="atLeast"/>
              <w:jc w:val="center"/>
              <w:rPr>
                <w:rFonts w:hint="eastAsia"/>
                <w:sz w:val="21"/>
                <w:szCs w:val="21"/>
              </w:rPr>
            </w:pPr>
          </w:p>
        </w:tc>
        <w:tc>
          <w:tcPr>
            <w:tcW w:w="452" w:type="dxa"/>
            <w:vAlign w:val="center"/>
          </w:tcPr>
          <w:p w14:paraId="45E7B415">
            <w:pPr>
              <w:pStyle w:val="42"/>
              <w:spacing w:before="0" w:beforeAutospacing="0" w:after="0" w:afterAutospacing="0" w:line="420" w:lineRule="atLeast"/>
              <w:jc w:val="center"/>
              <w:rPr>
                <w:rFonts w:hint="eastAsia"/>
                <w:sz w:val="21"/>
                <w:szCs w:val="21"/>
              </w:rPr>
            </w:pPr>
          </w:p>
        </w:tc>
        <w:tc>
          <w:tcPr>
            <w:tcW w:w="334" w:type="dxa"/>
            <w:vAlign w:val="center"/>
          </w:tcPr>
          <w:p w14:paraId="64F454C8">
            <w:pPr>
              <w:pStyle w:val="42"/>
              <w:spacing w:before="0" w:beforeAutospacing="0" w:after="0" w:afterAutospacing="0" w:line="420" w:lineRule="atLeast"/>
              <w:jc w:val="center"/>
              <w:rPr>
                <w:rFonts w:hint="eastAsia"/>
                <w:sz w:val="21"/>
                <w:szCs w:val="21"/>
              </w:rPr>
            </w:pPr>
          </w:p>
        </w:tc>
        <w:tc>
          <w:tcPr>
            <w:tcW w:w="334" w:type="dxa"/>
            <w:vAlign w:val="center"/>
          </w:tcPr>
          <w:p w14:paraId="0C655D9E">
            <w:pPr>
              <w:pStyle w:val="42"/>
              <w:spacing w:before="0" w:beforeAutospacing="0" w:after="0" w:afterAutospacing="0" w:line="420" w:lineRule="atLeast"/>
              <w:jc w:val="center"/>
              <w:rPr>
                <w:rFonts w:hint="eastAsia"/>
                <w:sz w:val="21"/>
                <w:szCs w:val="21"/>
              </w:rPr>
            </w:pPr>
          </w:p>
        </w:tc>
        <w:tc>
          <w:tcPr>
            <w:tcW w:w="452" w:type="dxa"/>
            <w:vAlign w:val="center"/>
          </w:tcPr>
          <w:p w14:paraId="27C52B86">
            <w:pPr>
              <w:pStyle w:val="42"/>
              <w:spacing w:before="0" w:beforeAutospacing="0" w:after="0" w:afterAutospacing="0" w:line="420" w:lineRule="atLeast"/>
              <w:jc w:val="center"/>
              <w:rPr>
                <w:rFonts w:hint="eastAsia"/>
                <w:sz w:val="21"/>
                <w:szCs w:val="21"/>
              </w:rPr>
            </w:pPr>
          </w:p>
        </w:tc>
        <w:tc>
          <w:tcPr>
            <w:tcW w:w="334" w:type="dxa"/>
            <w:vAlign w:val="center"/>
          </w:tcPr>
          <w:p w14:paraId="52238533">
            <w:pPr>
              <w:pStyle w:val="42"/>
              <w:spacing w:before="0" w:beforeAutospacing="0" w:after="0" w:afterAutospacing="0" w:line="420" w:lineRule="atLeast"/>
              <w:jc w:val="center"/>
              <w:rPr>
                <w:rFonts w:hint="eastAsia"/>
                <w:sz w:val="21"/>
                <w:szCs w:val="21"/>
              </w:rPr>
            </w:pPr>
          </w:p>
        </w:tc>
        <w:tc>
          <w:tcPr>
            <w:tcW w:w="334" w:type="dxa"/>
            <w:vAlign w:val="center"/>
          </w:tcPr>
          <w:p w14:paraId="37B9E758">
            <w:pPr>
              <w:pStyle w:val="42"/>
              <w:spacing w:before="0" w:beforeAutospacing="0" w:after="0" w:afterAutospacing="0" w:line="420" w:lineRule="atLeast"/>
              <w:jc w:val="center"/>
              <w:rPr>
                <w:rFonts w:hint="eastAsia"/>
                <w:sz w:val="21"/>
                <w:szCs w:val="21"/>
              </w:rPr>
            </w:pPr>
          </w:p>
        </w:tc>
      </w:tr>
    </w:tbl>
    <w:p w14:paraId="29F720B1">
      <w:pPr>
        <w:pStyle w:val="42"/>
        <w:spacing w:before="0" w:beforeAutospacing="0" w:after="0" w:afterAutospacing="0" w:line="420" w:lineRule="atLeast"/>
        <w:jc w:val="both"/>
        <w:rPr>
          <w:rFonts w:hint="eastAsia"/>
          <w:sz w:val="21"/>
          <w:szCs w:val="21"/>
        </w:rPr>
      </w:pPr>
    </w:p>
    <w:p w14:paraId="08ADF966">
      <w:pPr>
        <w:pStyle w:val="2"/>
        <w:ind w:firstLine="0"/>
        <w:jc w:val="center"/>
        <w:rPr>
          <w:sz w:val="21"/>
          <w:szCs w:val="21"/>
        </w:rPr>
      </w:pPr>
      <w:r>
        <w:rPr>
          <w:rFonts w:hint="eastAsia"/>
          <w:sz w:val="21"/>
          <w:szCs w:val="21"/>
        </w:rPr>
        <w:t>备注，如果封装测试在一起，就写同样的信息即可</w:t>
      </w:r>
    </w:p>
    <w:p w14:paraId="15458264">
      <w:pPr>
        <w:jc w:val="center"/>
        <w:rPr>
          <w:sz w:val="21"/>
          <w:szCs w:val="21"/>
        </w:rPr>
      </w:pPr>
      <w:r>
        <w:rPr>
          <w:rFonts w:hint="eastAsia"/>
          <w:sz w:val="21"/>
          <w:szCs w:val="21"/>
        </w:rPr>
        <w:br w:type="page"/>
      </w:r>
    </w:p>
    <w:p w14:paraId="26A802FB">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775"/>
        <w:gridCol w:w="1420"/>
        <w:gridCol w:w="1420"/>
        <w:gridCol w:w="1421"/>
        <w:gridCol w:w="1421"/>
      </w:tblGrid>
      <w:tr w14:paraId="5A653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16872A0F">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1C65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Align w:val="center"/>
          </w:tcPr>
          <w:p w14:paraId="771100C0">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75" w:type="dxa"/>
            <w:vAlign w:val="center"/>
          </w:tcPr>
          <w:p w14:paraId="6256BDDC">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420" w:type="dxa"/>
            <w:vAlign w:val="center"/>
          </w:tcPr>
          <w:p w14:paraId="34BE815B">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420" w:type="dxa"/>
            <w:vAlign w:val="center"/>
          </w:tcPr>
          <w:p w14:paraId="0B755122">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421" w:type="dxa"/>
            <w:vAlign w:val="center"/>
          </w:tcPr>
          <w:p w14:paraId="2EB64D5C">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421" w:type="dxa"/>
            <w:vAlign w:val="center"/>
          </w:tcPr>
          <w:p w14:paraId="22C28B41">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5438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restart"/>
            <w:vAlign w:val="center"/>
          </w:tcPr>
          <w:p w14:paraId="6A8BCF4C">
            <w:pPr>
              <w:pStyle w:val="42"/>
              <w:spacing w:before="0" w:beforeAutospacing="0" w:after="0" w:afterAutospacing="0" w:line="420" w:lineRule="atLeast"/>
              <w:jc w:val="center"/>
              <w:rPr>
                <w:rFonts w:hint="eastAsia"/>
                <w:sz w:val="21"/>
                <w:szCs w:val="21"/>
              </w:rPr>
            </w:pPr>
            <w:r>
              <w:rPr>
                <w:rFonts w:hint="eastAsia"/>
                <w:sz w:val="21"/>
                <w:szCs w:val="21"/>
              </w:rPr>
              <w:t>负载均衡器</w:t>
            </w:r>
          </w:p>
        </w:tc>
        <w:tc>
          <w:tcPr>
            <w:tcW w:w="1775" w:type="dxa"/>
            <w:vAlign w:val="center"/>
          </w:tcPr>
          <w:p w14:paraId="109C82E2">
            <w:pPr>
              <w:pStyle w:val="42"/>
              <w:spacing w:before="0" w:beforeAutospacing="0" w:after="0" w:afterAutospacing="0" w:line="420" w:lineRule="atLeast"/>
              <w:jc w:val="center"/>
              <w:rPr>
                <w:rFonts w:hint="eastAsia"/>
                <w:sz w:val="21"/>
                <w:szCs w:val="21"/>
              </w:rPr>
            </w:pPr>
          </w:p>
        </w:tc>
        <w:tc>
          <w:tcPr>
            <w:tcW w:w="1420" w:type="dxa"/>
            <w:vAlign w:val="center"/>
          </w:tcPr>
          <w:p w14:paraId="5F55DDA2">
            <w:pPr>
              <w:pStyle w:val="42"/>
              <w:spacing w:before="0" w:beforeAutospacing="0" w:after="0" w:afterAutospacing="0" w:line="420" w:lineRule="atLeast"/>
              <w:jc w:val="center"/>
              <w:rPr>
                <w:rFonts w:hint="eastAsia"/>
                <w:sz w:val="21"/>
                <w:szCs w:val="21"/>
              </w:rPr>
            </w:pPr>
          </w:p>
        </w:tc>
        <w:tc>
          <w:tcPr>
            <w:tcW w:w="1420" w:type="dxa"/>
            <w:vAlign w:val="center"/>
          </w:tcPr>
          <w:p w14:paraId="7C247F44">
            <w:pPr>
              <w:pStyle w:val="42"/>
              <w:spacing w:before="0" w:beforeAutospacing="0" w:after="0" w:afterAutospacing="0" w:line="420" w:lineRule="atLeast"/>
              <w:jc w:val="center"/>
              <w:rPr>
                <w:rFonts w:hint="eastAsia"/>
                <w:sz w:val="21"/>
                <w:szCs w:val="21"/>
              </w:rPr>
            </w:pPr>
            <w:r>
              <w:rPr>
                <w:rFonts w:hint="eastAsia"/>
                <w:sz w:val="21"/>
                <w:szCs w:val="21"/>
              </w:rPr>
              <w:t>CPU</w:t>
            </w:r>
          </w:p>
        </w:tc>
        <w:tc>
          <w:tcPr>
            <w:tcW w:w="1421" w:type="dxa"/>
            <w:vAlign w:val="center"/>
          </w:tcPr>
          <w:p w14:paraId="1F3357BB">
            <w:pPr>
              <w:pStyle w:val="42"/>
              <w:spacing w:before="0" w:beforeAutospacing="0" w:after="0" w:afterAutospacing="0" w:line="420" w:lineRule="atLeast"/>
              <w:jc w:val="center"/>
              <w:rPr>
                <w:rFonts w:hint="eastAsia"/>
                <w:sz w:val="21"/>
                <w:szCs w:val="21"/>
              </w:rPr>
            </w:pPr>
          </w:p>
        </w:tc>
        <w:tc>
          <w:tcPr>
            <w:tcW w:w="1421" w:type="dxa"/>
            <w:vAlign w:val="center"/>
          </w:tcPr>
          <w:p w14:paraId="0FB95683">
            <w:pPr>
              <w:pStyle w:val="42"/>
              <w:spacing w:before="0" w:beforeAutospacing="0" w:after="0" w:afterAutospacing="0" w:line="420" w:lineRule="atLeast"/>
              <w:jc w:val="center"/>
              <w:rPr>
                <w:rFonts w:hint="eastAsia"/>
                <w:sz w:val="21"/>
                <w:szCs w:val="21"/>
              </w:rPr>
            </w:pPr>
          </w:p>
        </w:tc>
      </w:tr>
      <w:tr w14:paraId="6A7E7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18B3ED42">
            <w:pPr>
              <w:pStyle w:val="42"/>
              <w:spacing w:before="0" w:beforeAutospacing="0" w:after="0" w:afterAutospacing="0" w:line="420" w:lineRule="atLeast"/>
              <w:jc w:val="center"/>
              <w:rPr>
                <w:rFonts w:hint="eastAsia"/>
                <w:sz w:val="21"/>
                <w:szCs w:val="21"/>
              </w:rPr>
            </w:pPr>
          </w:p>
        </w:tc>
        <w:tc>
          <w:tcPr>
            <w:tcW w:w="1775" w:type="dxa"/>
            <w:vAlign w:val="center"/>
          </w:tcPr>
          <w:p w14:paraId="49A1AF54">
            <w:pPr>
              <w:pStyle w:val="42"/>
              <w:spacing w:before="0" w:beforeAutospacing="0" w:after="0" w:afterAutospacing="0" w:line="420" w:lineRule="atLeast"/>
              <w:jc w:val="center"/>
              <w:rPr>
                <w:rFonts w:hint="eastAsia"/>
                <w:sz w:val="21"/>
                <w:szCs w:val="21"/>
              </w:rPr>
            </w:pPr>
          </w:p>
        </w:tc>
        <w:tc>
          <w:tcPr>
            <w:tcW w:w="1420" w:type="dxa"/>
            <w:vAlign w:val="center"/>
          </w:tcPr>
          <w:p w14:paraId="5AD005C0">
            <w:pPr>
              <w:pStyle w:val="42"/>
              <w:spacing w:before="0" w:beforeAutospacing="0" w:after="0" w:afterAutospacing="0" w:line="420" w:lineRule="atLeast"/>
              <w:jc w:val="center"/>
              <w:rPr>
                <w:rFonts w:hint="eastAsia"/>
                <w:sz w:val="21"/>
                <w:szCs w:val="21"/>
              </w:rPr>
            </w:pPr>
          </w:p>
        </w:tc>
        <w:tc>
          <w:tcPr>
            <w:tcW w:w="1420" w:type="dxa"/>
            <w:vAlign w:val="center"/>
          </w:tcPr>
          <w:p w14:paraId="79798797">
            <w:pPr>
              <w:pStyle w:val="42"/>
              <w:spacing w:before="0" w:beforeAutospacing="0" w:after="0" w:afterAutospacing="0" w:line="420" w:lineRule="atLeast"/>
              <w:jc w:val="center"/>
              <w:rPr>
                <w:rFonts w:hint="eastAsia"/>
                <w:sz w:val="21"/>
                <w:szCs w:val="21"/>
              </w:rPr>
            </w:pPr>
            <w:r>
              <w:rPr>
                <w:rFonts w:hint="eastAsia"/>
                <w:sz w:val="21"/>
                <w:szCs w:val="21"/>
              </w:rPr>
              <w:t>SSD颗粒</w:t>
            </w:r>
          </w:p>
        </w:tc>
        <w:tc>
          <w:tcPr>
            <w:tcW w:w="1421" w:type="dxa"/>
            <w:vAlign w:val="center"/>
          </w:tcPr>
          <w:p w14:paraId="46539AD3">
            <w:pPr>
              <w:pStyle w:val="42"/>
              <w:spacing w:before="0" w:beforeAutospacing="0" w:after="0" w:afterAutospacing="0" w:line="420" w:lineRule="atLeast"/>
              <w:jc w:val="center"/>
              <w:rPr>
                <w:rFonts w:hint="eastAsia"/>
                <w:sz w:val="21"/>
                <w:szCs w:val="21"/>
              </w:rPr>
            </w:pPr>
          </w:p>
        </w:tc>
        <w:tc>
          <w:tcPr>
            <w:tcW w:w="1421" w:type="dxa"/>
            <w:vAlign w:val="center"/>
          </w:tcPr>
          <w:p w14:paraId="10676AF2">
            <w:pPr>
              <w:pStyle w:val="42"/>
              <w:spacing w:before="0" w:beforeAutospacing="0" w:after="0" w:afterAutospacing="0" w:line="420" w:lineRule="atLeast"/>
              <w:jc w:val="center"/>
              <w:rPr>
                <w:rFonts w:hint="eastAsia"/>
                <w:sz w:val="21"/>
                <w:szCs w:val="21"/>
              </w:rPr>
            </w:pPr>
          </w:p>
        </w:tc>
      </w:tr>
      <w:tr w14:paraId="5AEA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104EAB27">
            <w:pPr>
              <w:pStyle w:val="42"/>
              <w:spacing w:before="0" w:beforeAutospacing="0" w:after="0" w:afterAutospacing="0" w:line="420" w:lineRule="atLeast"/>
              <w:jc w:val="center"/>
              <w:rPr>
                <w:rFonts w:hint="eastAsia"/>
                <w:sz w:val="21"/>
                <w:szCs w:val="21"/>
              </w:rPr>
            </w:pPr>
          </w:p>
        </w:tc>
        <w:tc>
          <w:tcPr>
            <w:tcW w:w="1775" w:type="dxa"/>
            <w:vAlign w:val="center"/>
          </w:tcPr>
          <w:p w14:paraId="3508A147">
            <w:pPr>
              <w:pStyle w:val="42"/>
              <w:spacing w:before="0" w:beforeAutospacing="0" w:after="0" w:afterAutospacing="0" w:line="420" w:lineRule="atLeast"/>
              <w:jc w:val="center"/>
              <w:rPr>
                <w:rFonts w:hint="eastAsia"/>
                <w:sz w:val="21"/>
                <w:szCs w:val="21"/>
              </w:rPr>
            </w:pPr>
          </w:p>
        </w:tc>
        <w:tc>
          <w:tcPr>
            <w:tcW w:w="1420" w:type="dxa"/>
            <w:vAlign w:val="center"/>
          </w:tcPr>
          <w:p w14:paraId="271FFDC8">
            <w:pPr>
              <w:pStyle w:val="42"/>
              <w:spacing w:before="0" w:beforeAutospacing="0" w:after="0" w:afterAutospacing="0" w:line="420" w:lineRule="atLeast"/>
              <w:jc w:val="center"/>
              <w:rPr>
                <w:rFonts w:hint="eastAsia"/>
                <w:sz w:val="21"/>
                <w:szCs w:val="21"/>
              </w:rPr>
            </w:pPr>
          </w:p>
        </w:tc>
        <w:tc>
          <w:tcPr>
            <w:tcW w:w="1420" w:type="dxa"/>
            <w:vAlign w:val="center"/>
          </w:tcPr>
          <w:p w14:paraId="1157A518">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421" w:type="dxa"/>
            <w:vAlign w:val="center"/>
          </w:tcPr>
          <w:p w14:paraId="6A654F7A">
            <w:pPr>
              <w:pStyle w:val="42"/>
              <w:spacing w:before="0" w:beforeAutospacing="0" w:after="0" w:afterAutospacing="0" w:line="420" w:lineRule="atLeast"/>
              <w:jc w:val="center"/>
              <w:rPr>
                <w:rFonts w:hint="eastAsia"/>
                <w:sz w:val="21"/>
                <w:szCs w:val="21"/>
              </w:rPr>
            </w:pPr>
          </w:p>
        </w:tc>
        <w:tc>
          <w:tcPr>
            <w:tcW w:w="1421" w:type="dxa"/>
            <w:vAlign w:val="center"/>
          </w:tcPr>
          <w:p w14:paraId="4BA6D948">
            <w:pPr>
              <w:pStyle w:val="42"/>
              <w:spacing w:before="0" w:beforeAutospacing="0" w:after="0" w:afterAutospacing="0" w:line="420" w:lineRule="atLeast"/>
              <w:jc w:val="center"/>
              <w:rPr>
                <w:rFonts w:hint="eastAsia"/>
                <w:sz w:val="21"/>
                <w:szCs w:val="21"/>
              </w:rPr>
            </w:pPr>
          </w:p>
        </w:tc>
      </w:tr>
      <w:tr w14:paraId="1FAC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6EE8EF0D">
            <w:pPr>
              <w:pStyle w:val="42"/>
              <w:spacing w:before="0" w:beforeAutospacing="0" w:after="0" w:afterAutospacing="0" w:line="420" w:lineRule="atLeast"/>
              <w:jc w:val="center"/>
              <w:rPr>
                <w:rFonts w:hint="eastAsia"/>
                <w:sz w:val="21"/>
                <w:szCs w:val="21"/>
              </w:rPr>
            </w:pPr>
          </w:p>
        </w:tc>
        <w:tc>
          <w:tcPr>
            <w:tcW w:w="1775" w:type="dxa"/>
            <w:vAlign w:val="center"/>
          </w:tcPr>
          <w:p w14:paraId="7927A88D">
            <w:pPr>
              <w:pStyle w:val="42"/>
              <w:spacing w:before="0" w:beforeAutospacing="0" w:after="0" w:afterAutospacing="0" w:line="420" w:lineRule="atLeast"/>
              <w:jc w:val="center"/>
              <w:rPr>
                <w:rFonts w:hint="eastAsia"/>
                <w:sz w:val="21"/>
                <w:szCs w:val="21"/>
              </w:rPr>
            </w:pPr>
          </w:p>
        </w:tc>
        <w:tc>
          <w:tcPr>
            <w:tcW w:w="1420" w:type="dxa"/>
            <w:vAlign w:val="center"/>
          </w:tcPr>
          <w:p w14:paraId="017A198B">
            <w:pPr>
              <w:pStyle w:val="42"/>
              <w:spacing w:before="0" w:beforeAutospacing="0" w:after="0" w:afterAutospacing="0" w:line="420" w:lineRule="atLeast"/>
              <w:jc w:val="center"/>
              <w:rPr>
                <w:rFonts w:hint="eastAsia"/>
                <w:sz w:val="21"/>
                <w:szCs w:val="21"/>
              </w:rPr>
            </w:pPr>
          </w:p>
        </w:tc>
        <w:tc>
          <w:tcPr>
            <w:tcW w:w="1420" w:type="dxa"/>
            <w:vAlign w:val="center"/>
          </w:tcPr>
          <w:p w14:paraId="4432A7C3">
            <w:pPr>
              <w:pStyle w:val="42"/>
              <w:spacing w:before="0" w:beforeAutospacing="0" w:after="0" w:afterAutospacing="0" w:line="420" w:lineRule="atLeast"/>
              <w:jc w:val="center"/>
              <w:rPr>
                <w:rFonts w:hint="eastAsia"/>
                <w:sz w:val="21"/>
                <w:szCs w:val="21"/>
              </w:rPr>
            </w:pPr>
            <w:r>
              <w:rPr>
                <w:rFonts w:hint="eastAsia"/>
                <w:sz w:val="21"/>
                <w:szCs w:val="21"/>
              </w:rPr>
              <w:t>BMC</w:t>
            </w:r>
          </w:p>
        </w:tc>
        <w:tc>
          <w:tcPr>
            <w:tcW w:w="1421" w:type="dxa"/>
            <w:vAlign w:val="center"/>
          </w:tcPr>
          <w:p w14:paraId="665ABB81">
            <w:pPr>
              <w:pStyle w:val="42"/>
              <w:spacing w:before="0" w:beforeAutospacing="0" w:after="0" w:afterAutospacing="0" w:line="420" w:lineRule="atLeast"/>
              <w:jc w:val="center"/>
              <w:rPr>
                <w:rFonts w:hint="eastAsia"/>
                <w:sz w:val="21"/>
                <w:szCs w:val="21"/>
              </w:rPr>
            </w:pPr>
          </w:p>
        </w:tc>
        <w:tc>
          <w:tcPr>
            <w:tcW w:w="1421" w:type="dxa"/>
            <w:vAlign w:val="center"/>
          </w:tcPr>
          <w:p w14:paraId="41D83D19">
            <w:pPr>
              <w:pStyle w:val="42"/>
              <w:spacing w:before="0" w:beforeAutospacing="0" w:after="0" w:afterAutospacing="0" w:line="420" w:lineRule="atLeast"/>
              <w:jc w:val="center"/>
              <w:rPr>
                <w:rFonts w:hint="eastAsia"/>
                <w:sz w:val="21"/>
                <w:szCs w:val="21"/>
              </w:rPr>
            </w:pPr>
          </w:p>
        </w:tc>
      </w:tr>
      <w:tr w14:paraId="2FA56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5" w:type="dxa"/>
            <w:vMerge w:val="continue"/>
            <w:vAlign w:val="center"/>
          </w:tcPr>
          <w:p w14:paraId="40FD1364">
            <w:pPr>
              <w:pStyle w:val="42"/>
              <w:spacing w:before="0" w:beforeAutospacing="0" w:after="0" w:afterAutospacing="0" w:line="420" w:lineRule="atLeast"/>
              <w:jc w:val="center"/>
              <w:rPr>
                <w:rFonts w:hint="eastAsia"/>
                <w:sz w:val="21"/>
                <w:szCs w:val="21"/>
              </w:rPr>
            </w:pPr>
          </w:p>
        </w:tc>
        <w:tc>
          <w:tcPr>
            <w:tcW w:w="1775" w:type="dxa"/>
            <w:vAlign w:val="center"/>
          </w:tcPr>
          <w:p w14:paraId="47DDB513">
            <w:pPr>
              <w:pStyle w:val="42"/>
              <w:spacing w:before="0" w:beforeAutospacing="0" w:after="0" w:afterAutospacing="0" w:line="420" w:lineRule="atLeast"/>
              <w:jc w:val="center"/>
              <w:rPr>
                <w:rFonts w:hint="eastAsia"/>
                <w:sz w:val="21"/>
                <w:szCs w:val="21"/>
              </w:rPr>
            </w:pPr>
          </w:p>
        </w:tc>
        <w:tc>
          <w:tcPr>
            <w:tcW w:w="1420" w:type="dxa"/>
            <w:vAlign w:val="center"/>
          </w:tcPr>
          <w:p w14:paraId="1F787A43">
            <w:pPr>
              <w:pStyle w:val="42"/>
              <w:spacing w:before="0" w:beforeAutospacing="0" w:after="0" w:afterAutospacing="0" w:line="420" w:lineRule="atLeast"/>
              <w:jc w:val="center"/>
              <w:rPr>
                <w:rFonts w:hint="eastAsia"/>
                <w:sz w:val="21"/>
                <w:szCs w:val="21"/>
              </w:rPr>
            </w:pPr>
          </w:p>
        </w:tc>
        <w:tc>
          <w:tcPr>
            <w:tcW w:w="1420" w:type="dxa"/>
            <w:vAlign w:val="center"/>
          </w:tcPr>
          <w:p w14:paraId="6BF72671">
            <w:pPr>
              <w:pStyle w:val="42"/>
              <w:spacing w:before="0" w:beforeAutospacing="0" w:after="0" w:afterAutospacing="0" w:line="420" w:lineRule="atLeast"/>
              <w:jc w:val="center"/>
              <w:rPr>
                <w:rFonts w:hint="eastAsia"/>
                <w:sz w:val="21"/>
                <w:szCs w:val="21"/>
              </w:rPr>
            </w:pPr>
            <w:r>
              <w:rPr>
                <w:rFonts w:hint="eastAsia"/>
                <w:sz w:val="21"/>
                <w:szCs w:val="21"/>
              </w:rPr>
              <w:t>网卡芯片</w:t>
            </w:r>
          </w:p>
        </w:tc>
        <w:tc>
          <w:tcPr>
            <w:tcW w:w="1421" w:type="dxa"/>
            <w:vAlign w:val="center"/>
          </w:tcPr>
          <w:p w14:paraId="038AAF8C">
            <w:pPr>
              <w:pStyle w:val="42"/>
              <w:spacing w:before="0" w:beforeAutospacing="0" w:after="0" w:afterAutospacing="0" w:line="420" w:lineRule="atLeast"/>
              <w:jc w:val="center"/>
              <w:rPr>
                <w:rFonts w:hint="eastAsia"/>
                <w:sz w:val="21"/>
                <w:szCs w:val="21"/>
              </w:rPr>
            </w:pPr>
          </w:p>
        </w:tc>
        <w:tc>
          <w:tcPr>
            <w:tcW w:w="1421" w:type="dxa"/>
            <w:vAlign w:val="center"/>
          </w:tcPr>
          <w:p w14:paraId="7A7D2FF3">
            <w:pPr>
              <w:pStyle w:val="42"/>
              <w:spacing w:before="0" w:beforeAutospacing="0" w:after="0" w:afterAutospacing="0" w:line="420" w:lineRule="atLeast"/>
              <w:jc w:val="center"/>
              <w:rPr>
                <w:rFonts w:hint="eastAsia"/>
                <w:sz w:val="21"/>
                <w:szCs w:val="21"/>
              </w:rPr>
            </w:pPr>
          </w:p>
        </w:tc>
      </w:tr>
      <w:tr w14:paraId="395EA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1065" w:type="dxa"/>
            <w:vMerge w:val="continue"/>
            <w:vAlign w:val="center"/>
          </w:tcPr>
          <w:p w14:paraId="78C360E9">
            <w:pPr>
              <w:pStyle w:val="42"/>
              <w:spacing w:before="0" w:beforeAutospacing="0" w:after="0" w:afterAutospacing="0" w:line="420" w:lineRule="atLeast"/>
              <w:jc w:val="center"/>
              <w:rPr>
                <w:rFonts w:hint="eastAsia"/>
                <w:sz w:val="21"/>
                <w:szCs w:val="21"/>
              </w:rPr>
            </w:pPr>
          </w:p>
        </w:tc>
        <w:tc>
          <w:tcPr>
            <w:tcW w:w="1775" w:type="dxa"/>
            <w:vAlign w:val="center"/>
          </w:tcPr>
          <w:p w14:paraId="7A69C2FA">
            <w:pPr>
              <w:pStyle w:val="42"/>
              <w:spacing w:before="0" w:beforeAutospacing="0" w:after="0" w:afterAutospacing="0" w:line="420" w:lineRule="atLeast"/>
              <w:jc w:val="center"/>
              <w:rPr>
                <w:rFonts w:hint="eastAsia"/>
                <w:sz w:val="21"/>
                <w:szCs w:val="21"/>
              </w:rPr>
            </w:pPr>
          </w:p>
        </w:tc>
        <w:tc>
          <w:tcPr>
            <w:tcW w:w="1420" w:type="dxa"/>
            <w:vAlign w:val="center"/>
          </w:tcPr>
          <w:p w14:paraId="4669E63C">
            <w:pPr>
              <w:pStyle w:val="42"/>
              <w:spacing w:before="0" w:beforeAutospacing="0" w:after="0" w:afterAutospacing="0" w:line="420" w:lineRule="atLeast"/>
              <w:jc w:val="center"/>
              <w:rPr>
                <w:rFonts w:hint="eastAsia"/>
                <w:sz w:val="21"/>
                <w:szCs w:val="21"/>
              </w:rPr>
            </w:pPr>
          </w:p>
        </w:tc>
        <w:tc>
          <w:tcPr>
            <w:tcW w:w="1420" w:type="dxa"/>
            <w:vAlign w:val="center"/>
          </w:tcPr>
          <w:p w14:paraId="67B2578C">
            <w:pPr>
              <w:spacing w:before="0" w:after="0" w:line="420" w:lineRule="atLeast"/>
              <w:ind w:firstLine="0"/>
              <w:jc w:val="center"/>
              <w:rPr>
                <w:sz w:val="21"/>
                <w:szCs w:val="21"/>
              </w:rPr>
            </w:pPr>
            <w:r>
              <w:rPr>
                <w:rFonts w:hint="eastAsia"/>
                <w:sz w:val="21"/>
                <w:szCs w:val="21"/>
              </w:rPr>
              <w:t>电源模块控制芯片</w:t>
            </w:r>
          </w:p>
        </w:tc>
        <w:tc>
          <w:tcPr>
            <w:tcW w:w="1421" w:type="dxa"/>
            <w:vAlign w:val="center"/>
          </w:tcPr>
          <w:p w14:paraId="3FD58833">
            <w:pPr>
              <w:pStyle w:val="42"/>
              <w:spacing w:before="0" w:beforeAutospacing="0" w:after="0" w:afterAutospacing="0" w:line="420" w:lineRule="atLeast"/>
              <w:jc w:val="center"/>
              <w:rPr>
                <w:rFonts w:hint="eastAsia"/>
                <w:sz w:val="21"/>
                <w:szCs w:val="21"/>
              </w:rPr>
            </w:pPr>
          </w:p>
        </w:tc>
        <w:tc>
          <w:tcPr>
            <w:tcW w:w="1421" w:type="dxa"/>
            <w:vAlign w:val="center"/>
          </w:tcPr>
          <w:p w14:paraId="7DD6ED68">
            <w:pPr>
              <w:pStyle w:val="42"/>
              <w:spacing w:before="0" w:beforeAutospacing="0" w:after="0" w:afterAutospacing="0" w:line="420" w:lineRule="atLeast"/>
              <w:jc w:val="center"/>
              <w:rPr>
                <w:rFonts w:hint="eastAsia"/>
                <w:sz w:val="21"/>
                <w:szCs w:val="21"/>
              </w:rPr>
            </w:pPr>
          </w:p>
        </w:tc>
      </w:tr>
    </w:tbl>
    <w:p w14:paraId="7F9FB466">
      <w:pPr>
        <w:pStyle w:val="42"/>
        <w:spacing w:before="900" w:beforeAutospacing="0" w:after="0" w:afterAutospacing="0" w:line="420" w:lineRule="atLeast"/>
        <w:jc w:val="both"/>
        <w:rPr>
          <w:rFonts w:hint="eastAsia"/>
          <w:sz w:val="28"/>
          <w:szCs w:val="28"/>
        </w:rPr>
      </w:pPr>
    </w:p>
    <w:p w14:paraId="2CD89E7F">
      <w:pPr>
        <w:pStyle w:val="42"/>
        <w:spacing w:before="900" w:beforeAutospacing="0" w:after="0" w:afterAutospacing="0" w:line="420" w:lineRule="atLeast"/>
        <w:jc w:val="both"/>
        <w:rPr>
          <w:rFonts w:hint="eastAsia"/>
          <w:sz w:val="28"/>
          <w:szCs w:val="28"/>
        </w:rPr>
      </w:pPr>
    </w:p>
    <w:p w14:paraId="0D454847">
      <w:pPr>
        <w:pStyle w:val="42"/>
        <w:spacing w:before="900" w:beforeAutospacing="0" w:after="0" w:afterAutospacing="0" w:line="420" w:lineRule="atLeast"/>
        <w:jc w:val="both"/>
        <w:rPr>
          <w:rFonts w:hint="eastAsia"/>
          <w:sz w:val="28"/>
          <w:szCs w:val="28"/>
        </w:rPr>
      </w:pPr>
    </w:p>
    <w:p w14:paraId="35F292FA">
      <w:pPr>
        <w:pStyle w:val="42"/>
        <w:spacing w:before="900" w:beforeAutospacing="0" w:after="0" w:afterAutospacing="0" w:line="420" w:lineRule="atLeast"/>
        <w:jc w:val="both"/>
        <w:rPr>
          <w:rFonts w:hint="eastAsia"/>
          <w:sz w:val="28"/>
          <w:szCs w:val="28"/>
        </w:rPr>
      </w:pPr>
    </w:p>
    <w:p w14:paraId="35FD49BA">
      <w:pPr>
        <w:pStyle w:val="42"/>
        <w:spacing w:before="900" w:beforeAutospacing="0" w:after="0" w:afterAutospacing="0" w:line="420" w:lineRule="atLeast"/>
        <w:jc w:val="both"/>
        <w:rPr>
          <w:rFonts w:hint="eastAsia"/>
          <w:sz w:val="28"/>
          <w:szCs w:val="28"/>
        </w:rPr>
      </w:pPr>
    </w:p>
    <w:p w14:paraId="5102344B">
      <w:pPr>
        <w:pStyle w:val="42"/>
        <w:spacing w:before="900" w:beforeAutospacing="0" w:after="0" w:afterAutospacing="0" w:line="420" w:lineRule="atLeast"/>
        <w:jc w:val="both"/>
        <w:rPr>
          <w:rFonts w:hint="eastAsia"/>
          <w:sz w:val="28"/>
          <w:szCs w:val="28"/>
        </w:rPr>
      </w:pPr>
    </w:p>
    <w:p w14:paraId="5C9D0546">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4B47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0" w:hRule="atLeast"/>
          <w:jc w:val="center"/>
        </w:trPr>
        <w:tc>
          <w:tcPr>
            <w:tcW w:w="8297" w:type="dxa"/>
            <w:gridSpan w:val="22"/>
            <w:vAlign w:val="center"/>
          </w:tcPr>
          <w:p w14:paraId="0EE03B14">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3E83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0513EE9C">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68B58FD7">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185C1BA7">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209D8267">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55A06DC0">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069F51C5">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29109F13">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7DB371B1">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681D92AD">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5190EEF5">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402C0D5D">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750972E3">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068960F6">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5F595F75">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02AFFE26">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34B5A7D6">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37F480C8">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39FD4070">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439DE2FA">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1B1965F1">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38688F37">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1E4B0175">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5F0B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5A09616C">
            <w:pPr>
              <w:pStyle w:val="42"/>
              <w:spacing w:before="0" w:beforeAutospacing="0" w:after="0" w:afterAutospacing="0" w:line="420" w:lineRule="atLeast"/>
              <w:jc w:val="center"/>
              <w:rPr>
                <w:rFonts w:hint="eastAsia"/>
                <w:sz w:val="21"/>
                <w:szCs w:val="21"/>
              </w:rPr>
            </w:pPr>
          </w:p>
        </w:tc>
        <w:tc>
          <w:tcPr>
            <w:tcW w:w="335" w:type="dxa"/>
            <w:vAlign w:val="center"/>
          </w:tcPr>
          <w:p w14:paraId="34EB585B">
            <w:pPr>
              <w:pStyle w:val="42"/>
              <w:spacing w:before="0" w:beforeAutospacing="0" w:after="0" w:afterAutospacing="0" w:line="420" w:lineRule="atLeast"/>
              <w:jc w:val="center"/>
              <w:rPr>
                <w:rFonts w:hint="eastAsia"/>
                <w:sz w:val="21"/>
                <w:szCs w:val="21"/>
              </w:rPr>
            </w:pPr>
          </w:p>
        </w:tc>
        <w:tc>
          <w:tcPr>
            <w:tcW w:w="335" w:type="dxa"/>
            <w:vAlign w:val="center"/>
          </w:tcPr>
          <w:p w14:paraId="43A97905">
            <w:pPr>
              <w:pStyle w:val="42"/>
              <w:spacing w:before="0" w:beforeAutospacing="0" w:after="0" w:afterAutospacing="0" w:line="420" w:lineRule="atLeast"/>
              <w:jc w:val="center"/>
              <w:rPr>
                <w:rFonts w:hint="eastAsia"/>
                <w:sz w:val="21"/>
                <w:szCs w:val="21"/>
              </w:rPr>
            </w:pPr>
          </w:p>
        </w:tc>
        <w:tc>
          <w:tcPr>
            <w:tcW w:w="335" w:type="dxa"/>
            <w:vAlign w:val="center"/>
          </w:tcPr>
          <w:p w14:paraId="5794861D">
            <w:pPr>
              <w:pStyle w:val="42"/>
              <w:spacing w:before="0" w:beforeAutospacing="0" w:after="0" w:afterAutospacing="0" w:line="420" w:lineRule="atLeast"/>
              <w:jc w:val="center"/>
              <w:rPr>
                <w:rFonts w:hint="eastAsia"/>
                <w:sz w:val="21"/>
                <w:szCs w:val="21"/>
              </w:rPr>
            </w:pPr>
          </w:p>
        </w:tc>
        <w:tc>
          <w:tcPr>
            <w:tcW w:w="334" w:type="dxa"/>
            <w:vAlign w:val="center"/>
          </w:tcPr>
          <w:p w14:paraId="77E9E371">
            <w:pPr>
              <w:pStyle w:val="42"/>
              <w:spacing w:before="0" w:beforeAutospacing="0" w:after="0" w:afterAutospacing="0" w:line="420" w:lineRule="atLeast"/>
              <w:jc w:val="center"/>
              <w:rPr>
                <w:rFonts w:hint="eastAsia"/>
                <w:sz w:val="21"/>
                <w:szCs w:val="21"/>
              </w:rPr>
            </w:pPr>
          </w:p>
        </w:tc>
        <w:tc>
          <w:tcPr>
            <w:tcW w:w="452" w:type="dxa"/>
            <w:vAlign w:val="center"/>
          </w:tcPr>
          <w:p w14:paraId="62C76F3E">
            <w:pPr>
              <w:pStyle w:val="42"/>
              <w:spacing w:before="0" w:beforeAutospacing="0" w:after="0" w:afterAutospacing="0" w:line="420" w:lineRule="atLeast"/>
              <w:jc w:val="center"/>
              <w:rPr>
                <w:rFonts w:hint="eastAsia"/>
                <w:sz w:val="21"/>
                <w:szCs w:val="21"/>
              </w:rPr>
            </w:pPr>
          </w:p>
        </w:tc>
        <w:tc>
          <w:tcPr>
            <w:tcW w:w="334" w:type="dxa"/>
            <w:vAlign w:val="center"/>
          </w:tcPr>
          <w:p w14:paraId="18038DD8">
            <w:pPr>
              <w:pStyle w:val="42"/>
              <w:spacing w:before="0" w:beforeAutospacing="0" w:after="0" w:afterAutospacing="0" w:line="420" w:lineRule="atLeast"/>
              <w:jc w:val="center"/>
              <w:rPr>
                <w:rFonts w:hint="eastAsia"/>
                <w:sz w:val="21"/>
                <w:szCs w:val="21"/>
              </w:rPr>
            </w:pPr>
          </w:p>
        </w:tc>
        <w:tc>
          <w:tcPr>
            <w:tcW w:w="334" w:type="dxa"/>
            <w:vAlign w:val="center"/>
          </w:tcPr>
          <w:p w14:paraId="5B6555A8">
            <w:pPr>
              <w:pStyle w:val="42"/>
              <w:spacing w:before="0" w:beforeAutospacing="0" w:after="0" w:afterAutospacing="0" w:line="420" w:lineRule="atLeast"/>
              <w:jc w:val="center"/>
              <w:rPr>
                <w:rFonts w:hint="eastAsia"/>
                <w:sz w:val="21"/>
                <w:szCs w:val="21"/>
              </w:rPr>
            </w:pPr>
          </w:p>
        </w:tc>
        <w:tc>
          <w:tcPr>
            <w:tcW w:w="452" w:type="dxa"/>
            <w:vAlign w:val="center"/>
          </w:tcPr>
          <w:p w14:paraId="59940517">
            <w:pPr>
              <w:pStyle w:val="42"/>
              <w:spacing w:before="0" w:beforeAutospacing="0" w:after="0" w:afterAutospacing="0" w:line="420" w:lineRule="atLeast"/>
              <w:jc w:val="center"/>
              <w:rPr>
                <w:rFonts w:hint="eastAsia"/>
                <w:sz w:val="21"/>
                <w:szCs w:val="21"/>
              </w:rPr>
            </w:pPr>
          </w:p>
        </w:tc>
        <w:tc>
          <w:tcPr>
            <w:tcW w:w="334" w:type="dxa"/>
            <w:vAlign w:val="center"/>
          </w:tcPr>
          <w:p w14:paraId="1E943540">
            <w:pPr>
              <w:pStyle w:val="42"/>
              <w:spacing w:before="0" w:beforeAutospacing="0" w:after="0" w:afterAutospacing="0" w:line="420" w:lineRule="atLeast"/>
              <w:jc w:val="center"/>
              <w:rPr>
                <w:rFonts w:hint="eastAsia"/>
                <w:sz w:val="21"/>
                <w:szCs w:val="21"/>
              </w:rPr>
            </w:pPr>
          </w:p>
        </w:tc>
        <w:tc>
          <w:tcPr>
            <w:tcW w:w="452" w:type="dxa"/>
            <w:vAlign w:val="center"/>
          </w:tcPr>
          <w:p w14:paraId="36CB8F53">
            <w:pPr>
              <w:pStyle w:val="42"/>
              <w:spacing w:before="0" w:beforeAutospacing="0" w:after="0" w:afterAutospacing="0" w:line="420" w:lineRule="atLeast"/>
              <w:jc w:val="center"/>
              <w:rPr>
                <w:rFonts w:hint="eastAsia"/>
                <w:sz w:val="21"/>
                <w:szCs w:val="21"/>
              </w:rPr>
            </w:pPr>
          </w:p>
        </w:tc>
        <w:tc>
          <w:tcPr>
            <w:tcW w:w="334" w:type="dxa"/>
            <w:vAlign w:val="center"/>
          </w:tcPr>
          <w:p w14:paraId="3A462A09">
            <w:pPr>
              <w:pStyle w:val="42"/>
              <w:spacing w:before="0" w:beforeAutospacing="0" w:after="0" w:afterAutospacing="0" w:line="420" w:lineRule="atLeast"/>
              <w:jc w:val="center"/>
              <w:rPr>
                <w:rFonts w:hint="eastAsia"/>
                <w:sz w:val="21"/>
                <w:szCs w:val="21"/>
              </w:rPr>
            </w:pPr>
          </w:p>
        </w:tc>
        <w:tc>
          <w:tcPr>
            <w:tcW w:w="571" w:type="dxa"/>
            <w:vAlign w:val="center"/>
          </w:tcPr>
          <w:p w14:paraId="30C76EAA">
            <w:pPr>
              <w:pStyle w:val="42"/>
              <w:spacing w:before="0" w:beforeAutospacing="0" w:after="0" w:afterAutospacing="0" w:line="420" w:lineRule="atLeast"/>
              <w:jc w:val="center"/>
              <w:rPr>
                <w:rFonts w:hint="eastAsia"/>
                <w:sz w:val="21"/>
                <w:szCs w:val="21"/>
              </w:rPr>
            </w:pPr>
          </w:p>
        </w:tc>
        <w:tc>
          <w:tcPr>
            <w:tcW w:w="452" w:type="dxa"/>
            <w:vAlign w:val="center"/>
          </w:tcPr>
          <w:p w14:paraId="6DED4FF7">
            <w:pPr>
              <w:pStyle w:val="42"/>
              <w:spacing w:before="0" w:beforeAutospacing="0" w:after="0" w:afterAutospacing="0" w:line="420" w:lineRule="atLeast"/>
              <w:jc w:val="center"/>
              <w:rPr>
                <w:rFonts w:hint="eastAsia"/>
                <w:sz w:val="21"/>
                <w:szCs w:val="21"/>
              </w:rPr>
            </w:pPr>
          </w:p>
        </w:tc>
        <w:tc>
          <w:tcPr>
            <w:tcW w:w="334" w:type="dxa"/>
            <w:vAlign w:val="center"/>
          </w:tcPr>
          <w:p w14:paraId="44219943">
            <w:pPr>
              <w:pStyle w:val="42"/>
              <w:spacing w:before="0" w:beforeAutospacing="0" w:after="0" w:afterAutospacing="0" w:line="420" w:lineRule="atLeast"/>
              <w:jc w:val="center"/>
              <w:rPr>
                <w:rFonts w:hint="eastAsia"/>
                <w:sz w:val="21"/>
                <w:szCs w:val="21"/>
              </w:rPr>
            </w:pPr>
          </w:p>
        </w:tc>
        <w:tc>
          <w:tcPr>
            <w:tcW w:w="334" w:type="dxa"/>
            <w:vAlign w:val="center"/>
          </w:tcPr>
          <w:p w14:paraId="580173C8">
            <w:pPr>
              <w:pStyle w:val="42"/>
              <w:spacing w:before="0" w:beforeAutospacing="0" w:after="0" w:afterAutospacing="0" w:line="420" w:lineRule="atLeast"/>
              <w:jc w:val="center"/>
              <w:rPr>
                <w:rFonts w:hint="eastAsia"/>
                <w:sz w:val="21"/>
                <w:szCs w:val="21"/>
              </w:rPr>
            </w:pPr>
          </w:p>
        </w:tc>
        <w:tc>
          <w:tcPr>
            <w:tcW w:w="452" w:type="dxa"/>
            <w:vAlign w:val="center"/>
          </w:tcPr>
          <w:p w14:paraId="4AC3B4B2">
            <w:pPr>
              <w:pStyle w:val="42"/>
              <w:spacing w:before="0" w:beforeAutospacing="0" w:after="0" w:afterAutospacing="0" w:line="420" w:lineRule="atLeast"/>
              <w:jc w:val="center"/>
              <w:rPr>
                <w:rFonts w:hint="eastAsia"/>
                <w:sz w:val="21"/>
                <w:szCs w:val="21"/>
              </w:rPr>
            </w:pPr>
          </w:p>
        </w:tc>
        <w:tc>
          <w:tcPr>
            <w:tcW w:w="334" w:type="dxa"/>
            <w:vAlign w:val="center"/>
          </w:tcPr>
          <w:p w14:paraId="50F7DFDD">
            <w:pPr>
              <w:pStyle w:val="42"/>
              <w:spacing w:before="0" w:beforeAutospacing="0" w:after="0" w:afterAutospacing="0" w:line="420" w:lineRule="atLeast"/>
              <w:jc w:val="center"/>
              <w:rPr>
                <w:rFonts w:hint="eastAsia"/>
                <w:sz w:val="21"/>
                <w:szCs w:val="21"/>
              </w:rPr>
            </w:pPr>
          </w:p>
        </w:tc>
        <w:tc>
          <w:tcPr>
            <w:tcW w:w="334" w:type="dxa"/>
            <w:vAlign w:val="center"/>
          </w:tcPr>
          <w:p w14:paraId="5053FAE6">
            <w:pPr>
              <w:pStyle w:val="42"/>
              <w:spacing w:before="0" w:beforeAutospacing="0" w:after="0" w:afterAutospacing="0" w:line="420" w:lineRule="atLeast"/>
              <w:jc w:val="center"/>
              <w:rPr>
                <w:rFonts w:hint="eastAsia"/>
                <w:sz w:val="21"/>
                <w:szCs w:val="21"/>
              </w:rPr>
            </w:pPr>
          </w:p>
        </w:tc>
        <w:tc>
          <w:tcPr>
            <w:tcW w:w="452" w:type="dxa"/>
            <w:vAlign w:val="center"/>
          </w:tcPr>
          <w:p w14:paraId="40CD2CAF">
            <w:pPr>
              <w:pStyle w:val="42"/>
              <w:spacing w:before="0" w:beforeAutospacing="0" w:after="0" w:afterAutospacing="0" w:line="420" w:lineRule="atLeast"/>
              <w:jc w:val="center"/>
              <w:rPr>
                <w:rFonts w:hint="eastAsia"/>
                <w:sz w:val="21"/>
                <w:szCs w:val="21"/>
              </w:rPr>
            </w:pPr>
          </w:p>
        </w:tc>
        <w:tc>
          <w:tcPr>
            <w:tcW w:w="334" w:type="dxa"/>
            <w:vAlign w:val="center"/>
          </w:tcPr>
          <w:p w14:paraId="1A381B54">
            <w:pPr>
              <w:pStyle w:val="42"/>
              <w:spacing w:before="0" w:beforeAutospacing="0" w:after="0" w:afterAutospacing="0" w:line="420" w:lineRule="atLeast"/>
              <w:jc w:val="center"/>
              <w:rPr>
                <w:rFonts w:hint="eastAsia"/>
                <w:sz w:val="21"/>
                <w:szCs w:val="21"/>
              </w:rPr>
            </w:pPr>
          </w:p>
        </w:tc>
        <w:tc>
          <w:tcPr>
            <w:tcW w:w="334" w:type="dxa"/>
            <w:vAlign w:val="center"/>
          </w:tcPr>
          <w:p w14:paraId="757D329D">
            <w:pPr>
              <w:pStyle w:val="42"/>
              <w:spacing w:before="0" w:beforeAutospacing="0" w:after="0" w:afterAutospacing="0" w:line="420" w:lineRule="atLeast"/>
              <w:jc w:val="center"/>
              <w:rPr>
                <w:rFonts w:hint="eastAsia"/>
                <w:sz w:val="21"/>
                <w:szCs w:val="21"/>
              </w:rPr>
            </w:pPr>
          </w:p>
        </w:tc>
      </w:tr>
    </w:tbl>
    <w:p w14:paraId="5E1428E9">
      <w:pPr>
        <w:pStyle w:val="42"/>
        <w:spacing w:before="0" w:beforeAutospacing="0" w:after="0" w:afterAutospacing="0" w:line="420" w:lineRule="atLeast"/>
        <w:jc w:val="both"/>
        <w:rPr>
          <w:rFonts w:hint="eastAsia"/>
          <w:sz w:val="21"/>
          <w:szCs w:val="21"/>
        </w:rPr>
      </w:pPr>
    </w:p>
    <w:p w14:paraId="46724DE8">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2A23A043">
      <w:pPr>
        <w:pStyle w:val="2"/>
        <w:ind w:firstLine="0"/>
        <w:jc w:val="center"/>
        <w:rPr>
          <w:sz w:val="21"/>
          <w:szCs w:val="21"/>
        </w:rPr>
      </w:pPr>
    </w:p>
    <w:p w14:paraId="33C80228">
      <w:pPr>
        <w:pStyle w:val="2"/>
        <w:ind w:firstLine="0"/>
        <w:jc w:val="center"/>
        <w:rPr>
          <w:sz w:val="21"/>
          <w:szCs w:val="21"/>
        </w:rPr>
      </w:pPr>
    </w:p>
    <w:p w14:paraId="1B078DE1">
      <w:pPr>
        <w:pStyle w:val="2"/>
        <w:ind w:firstLine="0"/>
        <w:jc w:val="center"/>
        <w:rPr>
          <w:sz w:val="21"/>
          <w:szCs w:val="21"/>
        </w:rPr>
      </w:pPr>
    </w:p>
    <w:p w14:paraId="0BDA9FF2">
      <w:pPr>
        <w:pStyle w:val="57"/>
        <w:jc w:val="center"/>
        <w:rPr>
          <w:rFonts w:hint="eastAsia" w:ascii="微软雅黑" w:hAnsi="微软雅黑" w:eastAsia="微软雅黑" w:cs="微软雅黑"/>
          <w:color w:val="auto"/>
          <w:sz w:val="22"/>
          <w:szCs w:val="22"/>
          <w:u w:val="single"/>
        </w:rPr>
      </w:pPr>
    </w:p>
    <w:p w14:paraId="5D36CB06">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附表1：</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5"/>
        <w:gridCol w:w="1713"/>
        <w:gridCol w:w="1375"/>
        <w:gridCol w:w="1384"/>
        <w:gridCol w:w="1395"/>
        <w:gridCol w:w="1395"/>
      </w:tblGrid>
      <w:tr w14:paraId="13148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6"/>
            <w:vAlign w:val="center"/>
          </w:tcPr>
          <w:p w14:paraId="1A17834B">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u w:val="single"/>
              </w:rPr>
              <w:t>XX品牌XX型号</w:t>
            </w:r>
            <w:r>
              <w:rPr>
                <w:rFonts w:hint="eastAsia"/>
                <w:sz w:val="21"/>
                <w:szCs w:val="21"/>
              </w:rPr>
              <w:t>设备</w:t>
            </w:r>
          </w:p>
        </w:tc>
      </w:tr>
      <w:tr w14:paraId="5A6F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Align w:val="center"/>
          </w:tcPr>
          <w:p w14:paraId="16768C92">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1713" w:type="dxa"/>
            <w:vAlign w:val="center"/>
          </w:tcPr>
          <w:p w14:paraId="5CFB7A41">
            <w:pPr>
              <w:pStyle w:val="42"/>
              <w:spacing w:before="0" w:beforeAutospacing="0" w:after="0" w:afterAutospacing="0" w:line="420" w:lineRule="atLeast"/>
              <w:jc w:val="center"/>
              <w:rPr>
                <w:rFonts w:hint="eastAsia"/>
                <w:sz w:val="21"/>
                <w:szCs w:val="21"/>
              </w:rPr>
            </w:pPr>
            <w:r>
              <w:rPr>
                <w:rFonts w:hint="eastAsia"/>
                <w:sz w:val="21"/>
                <w:szCs w:val="21"/>
              </w:rPr>
              <w:t>设备厂商名称</w:t>
            </w:r>
          </w:p>
        </w:tc>
        <w:tc>
          <w:tcPr>
            <w:tcW w:w="1375" w:type="dxa"/>
            <w:vAlign w:val="center"/>
          </w:tcPr>
          <w:p w14:paraId="368DF8D0">
            <w:pPr>
              <w:pStyle w:val="42"/>
              <w:spacing w:before="0" w:beforeAutospacing="0" w:after="0" w:afterAutospacing="0" w:line="420" w:lineRule="atLeast"/>
              <w:jc w:val="center"/>
              <w:rPr>
                <w:rFonts w:hint="eastAsia"/>
                <w:sz w:val="21"/>
                <w:szCs w:val="21"/>
              </w:rPr>
            </w:pPr>
            <w:r>
              <w:rPr>
                <w:rFonts w:hint="eastAsia"/>
                <w:sz w:val="21"/>
                <w:szCs w:val="21"/>
              </w:rPr>
              <w:t>设备型号</w:t>
            </w:r>
          </w:p>
        </w:tc>
        <w:tc>
          <w:tcPr>
            <w:tcW w:w="1384" w:type="dxa"/>
            <w:vAlign w:val="center"/>
          </w:tcPr>
          <w:p w14:paraId="7F8F1E4C">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1395" w:type="dxa"/>
            <w:vAlign w:val="center"/>
          </w:tcPr>
          <w:p w14:paraId="308A488A">
            <w:pPr>
              <w:pStyle w:val="42"/>
              <w:spacing w:before="0" w:beforeAutospacing="0" w:after="0" w:afterAutospacing="0" w:line="420" w:lineRule="atLeast"/>
              <w:jc w:val="center"/>
              <w:rPr>
                <w:rFonts w:hint="eastAsia"/>
                <w:sz w:val="21"/>
                <w:szCs w:val="21"/>
              </w:rPr>
            </w:pPr>
            <w:r>
              <w:rPr>
                <w:rFonts w:hint="eastAsia"/>
                <w:sz w:val="21"/>
                <w:szCs w:val="21"/>
              </w:rPr>
              <w:t>单设备国产芯片数量（颗）</w:t>
            </w:r>
          </w:p>
        </w:tc>
        <w:tc>
          <w:tcPr>
            <w:tcW w:w="1395" w:type="dxa"/>
            <w:vAlign w:val="center"/>
          </w:tcPr>
          <w:p w14:paraId="440DA495">
            <w:pPr>
              <w:pStyle w:val="42"/>
              <w:spacing w:before="0" w:beforeAutospacing="0" w:after="0" w:afterAutospacing="0" w:line="420" w:lineRule="atLeast"/>
              <w:jc w:val="center"/>
              <w:rPr>
                <w:rFonts w:hint="eastAsia"/>
                <w:sz w:val="21"/>
                <w:szCs w:val="21"/>
              </w:rPr>
            </w:pPr>
            <w:r>
              <w:rPr>
                <w:rFonts w:hint="eastAsia"/>
                <w:sz w:val="21"/>
                <w:szCs w:val="21"/>
              </w:rPr>
              <w:t>单设备非国产芯片数量（颗）</w:t>
            </w:r>
          </w:p>
        </w:tc>
      </w:tr>
      <w:tr w14:paraId="24891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restart"/>
            <w:vAlign w:val="center"/>
          </w:tcPr>
          <w:p w14:paraId="0D76AD00">
            <w:pPr>
              <w:pStyle w:val="42"/>
              <w:spacing w:before="0" w:beforeAutospacing="0" w:after="0" w:afterAutospacing="0" w:line="420" w:lineRule="atLeast"/>
              <w:jc w:val="center"/>
              <w:rPr>
                <w:rFonts w:hint="eastAsia"/>
                <w:sz w:val="21"/>
                <w:szCs w:val="21"/>
              </w:rPr>
            </w:pPr>
            <w:r>
              <w:rPr>
                <w:rFonts w:hint="eastAsia"/>
                <w:sz w:val="21"/>
                <w:szCs w:val="21"/>
              </w:rPr>
              <w:t>防火墙（千兆/万兆）</w:t>
            </w:r>
          </w:p>
        </w:tc>
        <w:tc>
          <w:tcPr>
            <w:tcW w:w="1713" w:type="dxa"/>
            <w:vAlign w:val="center"/>
          </w:tcPr>
          <w:p w14:paraId="1CD794A5">
            <w:pPr>
              <w:pStyle w:val="42"/>
              <w:spacing w:before="0" w:beforeAutospacing="0" w:after="0" w:afterAutospacing="0" w:line="420" w:lineRule="atLeast"/>
              <w:jc w:val="center"/>
              <w:rPr>
                <w:rFonts w:hint="eastAsia"/>
                <w:sz w:val="21"/>
                <w:szCs w:val="21"/>
              </w:rPr>
            </w:pPr>
          </w:p>
        </w:tc>
        <w:tc>
          <w:tcPr>
            <w:tcW w:w="1375" w:type="dxa"/>
            <w:vAlign w:val="center"/>
          </w:tcPr>
          <w:p w14:paraId="156E47E6">
            <w:pPr>
              <w:pStyle w:val="42"/>
              <w:spacing w:before="0" w:beforeAutospacing="0" w:after="0" w:afterAutospacing="0" w:line="420" w:lineRule="atLeast"/>
              <w:jc w:val="center"/>
              <w:rPr>
                <w:rFonts w:hint="eastAsia"/>
                <w:sz w:val="21"/>
                <w:szCs w:val="21"/>
              </w:rPr>
            </w:pPr>
          </w:p>
        </w:tc>
        <w:tc>
          <w:tcPr>
            <w:tcW w:w="1384" w:type="dxa"/>
            <w:vAlign w:val="center"/>
          </w:tcPr>
          <w:p w14:paraId="42C900BF">
            <w:pPr>
              <w:pStyle w:val="42"/>
              <w:spacing w:before="0" w:beforeAutospacing="0" w:after="0" w:afterAutospacing="0" w:line="420" w:lineRule="atLeast"/>
              <w:jc w:val="center"/>
              <w:rPr>
                <w:rFonts w:hint="default" w:eastAsia="宋体"/>
                <w:sz w:val="21"/>
                <w:szCs w:val="21"/>
                <w:lang w:val="en-US" w:eastAsia="zh-CN"/>
              </w:rPr>
            </w:pPr>
            <w:r>
              <w:rPr>
                <w:rFonts w:hint="eastAsia"/>
                <w:sz w:val="21"/>
                <w:szCs w:val="21"/>
                <w:lang w:val="en-US" w:eastAsia="zh-CN"/>
              </w:rPr>
              <w:t>CPU</w:t>
            </w:r>
          </w:p>
        </w:tc>
        <w:tc>
          <w:tcPr>
            <w:tcW w:w="1395" w:type="dxa"/>
            <w:vAlign w:val="center"/>
          </w:tcPr>
          <w:p w14:paraId="342E7016">
            <w:pPr>
              <w:pStyle w:val="42"/>
              <w:spacing w:before="0" w:beforeAutospacing="0" w:after="0" w:afterAutospacing="0" w:line="420" w:lineRule="atLeast"/>
              <w:jc w:val="center"/>
              <w:rPr>
                <w:rFonts w:hint="eastAsia"/>
                <w:sz w:val="21"/>
                <w:szCs w:val="21"/>
              </w:rPr>
            </w:pPr>
          </w:p>
        </w:tc>
        <w:tc>
          <w:tcPr>
            <w:tcW w:w="1395" w:type="dxa"/>
            <w:vAlign w:val="center"/>
          </w:tcPr>
          <w:p w14:paraId="748EC784">
            <w:pPr>
              <w:pStyle w:val="42"/>
              <w:spacing w:before="0" w:beforeAutospacing="0" w:after="0" w:afterAutospacing="0" w:line="420" w:lineRule="atLeast"/>
              <w:jc w:val="center"/>
              <w:rPr>
                <w:rFonts w:hint="eastAsia"/>
                <w:sz w:val="21"/>
                <w:szCs w:val="21"/>
              </w:rPr>
            </w:pPr>
          </w:p>
        </w:tc>
      </w:tr>
      <w:tr w14:paraId="3369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continue"/>
            <w:vAlign w:val="center"/>
          </w:tcPr>
          <w:p w14:paraId="3A3AB112">
            <w:pPr>
              <w:pStyle w:val="42"/>
              <w:spacing w:before="0" w:beforeAutospacing="0" w:after="0" w:afterAutospacing="0" w:line="420" w:lineRule="atLeast"/>
              <w:jc w:val="center"/>
              <w:rPr>
                <w:rFonts w:hint="eastAsia"/>
                <w:sz w:val="21"/>
                <w:szCs w:val="21"/>
              </w:rPr>
            </w:pPr>
          </w:p>
        </w:tc>
        <w:tc>
          <w:tcPr>
            <w:tcW w:w="1713" w:type="dxa"/>
            <w:vAlign w:val="center"/>
          </w:tcPr>
          <w:p w14:paraId="78A7D9E6">
            <w:pPr>
              <w:pStyle w:val="42"/>
              <w:spacing w:before="0" w:beforeAutospacing="0" w:after="0" w:afterAutospacing="0" w:line="420" w:lineRule="atLeast"/>
              <w:jc w:val="center"/>
              <w:rPr>
                <w:rFonts w:hint="eastAsia"/>
                <w:sz w:val="21"/>
                <w:szCs w:val="21"/>
              </w:rPr>
            </w:pPr>
          </w:p>
        </w:tc>
        <w:tc>
          <w:tcPr>
            <w:tcW w:w="1375" w:type="dxa"/>
            <w:vAlign w:val="center"/>
          </w:tcPr>
          <w:p w14:paraId="5A5F4F01">
            <w:pPr>
              <w:pStyle w:val="42"/>
              <w:spacing w:before="0" w:beforeAutospacing="0" w:after="0" w:afterAutospacing="0" w:line="420" w:lineRule="atLeast"/>
              <w:jc w:val="center"/>
              <w:rPr>
                <w:rFonts w:hint="eastAsia"/>
                <w:sz w:val="21"/>
                <w:szCs w:val="21"/>
              </w:rPr>
            </w:pPr>
          </w:p>
        </w:tc>
        <w:tc>
          <w:tcPr>
            <w:tcW w:w="1384" w:type="dxa"/>
            <w:vAlign w:val="center"/>
          </w:tcPr>
          <w:p w14:paraId="1566BC59">
            <w:pPr>
              <w:pStyle w:val="42"/>
              <w:spacing w:before="0" w:beforeAutospacing="0" w:after="0" w:afterAutospacing="0" w:line="420" w:lineRule="atLeast"/>
              <w:jc w:val="center"/>
              <w:rPr>
                <w:rFonts w:hint="eastAsia"/>
                <w:sz w:val="21"/>
                <w:szCs w:val="21"/>
              </w:rPr>
            </w:pPr>
            <w:r>
              <w:rPr>
                <w:rFonts w:hint="eastAsia"/>
                <w:sz w:val="21"/>
                <w:szCs w:val="21"/>
              </w:rPr>
              <w:t>DRAM颗粒</w:t>
            </w:r>
          </w:p>
        </w:tc>
        <w:tc>
          <w:tcPr>
            <w:tcW w:w="1395" w:type="dxa"/>
            <w:vAlign w:val="center"/>
          </w:tcPr>
          <w:p w14:paraId="215453C9">
            <w:pPr>
              <w:pStyle w:val="42"/>
              <w:spacing w:before="0" w:beforeAutospacing="0" w:after="0" w:afterAutospacing="0" w:line="420" w:lineRule="atLeast"/>
              <w:jc w:val="center"/>
              <w:rPr>
                <w:rFonts w:hint="eastAsia"/>
                <w:sz w:val="21"/>
                <w:szCs w:val="21"/>
              </w:rPr>
            </w:pPr>
          </w:p>
        </w:tc>
        <w:tc>
          <w:tcPr>
            <w:tcW w:w="1395" w:type="dxa"/>
            <w:vAlign w:val="center"/>
          </w:tcPr>
          <w:p w14:paraId="3B1F1B5D">
            <w:pPr>
              <w:pStyle w:val="42"/>
              <w:spacing w:before="0" w:beforeAutospacing="0" w:after="0" w:afterAutospacing="0" w:line="420" w:lineRule="atLeast"/>
              <w:jc w:val="center"/>
              <w:rPr>
                <w:rFonts w:hint="eastAsia"/>
                <w:sz w:val="21"/>
                <w:szCs w:val="21"/>
              </w:rPr>
            </w:pPr>
          </w:p>
        </w:tc>
      </w:tr>
      <w:tr w14:paraId="6135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continue"/>
            <w:vAlign w:val="center"/>
          </w:tcPr>
          <w:p w14:paraId="746D2B2A">
            <w:pPr>
              <w:pStyle w:val="42"/>
              <w:spacing w:before="0" w:beforeAutospacing="0" w:after="0" w:afterAutospacing="0" w:line="420" w:lineRule="atLeast"/>
              <w:jc w:val="center"/>
              <w:rPr>
                <w:rFonts w:hint="eastAsia"/>
                <w:sz w:val="21"/>
                <w:szCs w:val="21"/>
              </w:rPr>
            </w:pPr>
          </w:p>
        </w:tc>
        <w:tc>
          <w:tcPr>
            <w:tcW w:w="1713" w:type="dxa"/>
            <w:vAlign w:val="center"/>
          </w:tcPr>
          <w:p w14:paraId="1B1DEEBC">
            <w:pPr>
              <w:pStyle w:val="42"/>
              <w:spacing w:before="0" w:beforeAutospacing="0" w:after="0" w:afterAutospacing="0" w:line="420" w:lineRule="atLeast"/>
              <w:jc w:val="center"/>
              <w:rPr>
                <w:rFonts w:hint="eastAsia"/>
                <w:sz w:val="21"/>
                <w:szCs w:val="21"/>
              </w:rPr>
            </w:pPr>
          </w:p>
        </w:tc>
        <w:tc>
          <w:tcPr>
            <w:tcW w:w="1375" w:type="dxa"/>
            <w:vAlign w:val="center"/>
          </w:tcPr>
          <w:p w14:paraId="665C5B2A">
            <w:pPr>
              <w:pStyle w:val="42"/>
              <w:spacing w:before="0" w:beforeAutospacing="0" w:after="0" w:afterAutospacing="0" w:line="420" w:lineRule="atLeast"/>
              <w:jc w:val="center"/>
              <w:rPr>
                <w:rFonts w:hint="eastAsia"/>
                <w:sz w:val="21"/>
                <w:szCs w:val="21"/>
              </w:rPr>
            </w:pPr>
          </w:p>
        </w:tc>
        <w:tc>
          <w:tcPr>
            <w:tcW w:w="1384" w:type="dxa"/>
            <w:vAlign w:val="center"/>
          </w:tcPr>
          <w:p w14:paraId="0022554B">
            <w:pPr>
              <w:pStyle w:val="42"/>
              <w:spacing w:before="0" w:beforeAutospacing="0" w:after="0" w:afterAutospacing="0" w:line="420" w:lineRule="atLeast"/>
              <w:jc w:val="center"/>
              <w:rPr>
                <w:rFonts w:hint="eastAsia"/>
                <w:sz w:val="21"/>
                <w:szCs w:val="21"/>
              </w:rPr>
            </w:pPr>
            <w:r>
              <w:rPr>
                <w:sz w:val="21"/>
                <w:szCs w:val="21"/>
              </w:rPr>
              <w:t>Flash</w:t>
            </w:r>
          </w:p>
        </w:tc>
        <w:tc>
          <w:tcPr>
            <w:tcW w:w="1395" w:type="dxa"/>
            <w:vAlign w:val="center"/>
          </w:tcPr>
          <w:p w14:paraId="402EDB76">
            <w:pPr>
              <w:pStyle w:val="42"/>
              <w:spacing w:before="0" w:beforeAutospacing="0" w:after="0" w:afterAutospacing="0" w:line="420" w:lineRule="atLeast"/>
              <w:jc w:val="center"/>
              <w:rPr>
                <w:rFonts w:hint="eastAsia"/>
                <w:sz w:val="21"/>
                <w:szCs w:val="21"/>
              </w:rPr>
            </w:pPr>
          </w:p>
        </w:tc>
        <w:tc>
          <w:tcPr>
            <w:tcW w:w="1395" w:type="dxa"/>
            <w:vAlign w:val="center"/>
          </w:tcPr>
          <w:p w14:paraId="60A62711">
            <w:pPr>
              <w:pStyle w:val="42"/>
              <w:spacing w:before="0" w:beforeAutospacing="0" w:after="0" w:afterAutospacing="0" w:line="420" w:lineRule="atLeast"/>
              <w:jc w:val="center"/>
              <w:rPr>
                <w:rFonts w:hint="eastAsia"/>
                <w:sz w:val="21"/>
                <w:szCs w:val="21"/>
              </w:rPr>
            </w:pPr>
          </w:p>
        </w:tc>
      </w:tr>
      <w:tr w14:paraId="3FD9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vMerge w:val="continue"/>
            <w:vAlign w:val="center"/>
          </w:tcPr>
          <w:p w14:paraId="61537DBE">
            <w:pPr>
              <w:pStyle w:val="42"/>
              <w:spacing w:before="0" w:beforeAutospacing="0" w:after="0" w:afterAutospacing="0" w:line="420" w:lineRule="atLeast"/>
              <w:jc w:val="center"/>
              <w:rPr>
                <w:rFonts w:hint="eastAsia"/>
                <w:sz w:val="21"/>
                <w:szCs w:val="21"/>
              </w:rPr>
            </w:pPr>
          </w:p>
        </w:tc>
        <w:tc>
          <w:tcPr>
            <w:tcW w:w="1713" w:type="dxa"/>
            <w:vAlign w:val="center"/>
          </w:tcPr>
          <w:p w14:paraId="5B0BBEB5">
            <w:pPr>
              <w:pStyle w:val="42"/>
              <w:spacing w:before="0" w:beforeAutospacing="0" w:after="0" w:afterAutospacing="0" w:line="420" w:lineRule="atLeast"/>
              <w:jc w:val="center"/>
              <w:rPr>
                <w:rFonts w:hint="eastAsia"/>
                <w:sz w:val="21"/>
                <w:szCs w:val="21"/>
              </w:rPr>
            </w:pPr>
          </w:p>
        </w:tc>
        <w:tc>
          <w:tcPr>
            <w:tcW w:w="1375" w:type="dxa"/>
            <w:vAlign w:val="center"/>
          </w:tcPr>
          <w:p w14:paraId="6CA01A0A">
            <w:pPr>
              <w:pStyle w:val="42"/>
              <w:spacing w:before="0" w:beforeAutospacing="0" w:after="0" w:afterAutospacing="0" w:line="420" w:lineRule="atLeast"/>
              <w:jc w:val="center"/>
              <w:rPr>
                <w:rFonts w:hint="eastAsia"/>
                <w:sz w:val="21"/>
                <w:szCs w:val="21"/>
              </w:rPr>
            </w:pPr>
          </w:p>
        </w:tc>
        <w:tc>
          <w:tcPr>
            <w:tcW w:w="1384" w:type="dxa"/>
            <w:vAlign w:val="center"/>
          </w:tcPr>
          <w:p w14:paraId="5513EE3D">
            <w:pPr>
              <w:pStyle w:val="42"/>
              <w:spacing w:before="0" w:beforeAutospacing="0" w:after="0" w:afterAutospacing="0" w:line="420" w:lineRule="atLeast"/>
              <w:jc w:val="center"/>
              <w:rPr>
                <w:rFonts w:hint="eastAsia"/>
                <w:sz w:val="21"/>
                <w:szCs w:val="21"/>
              </w:rPr>
            </w:pPr>
            <w:r>
              <w:rPr>
                <w:sz w:val="21"/>
                <w:szCs w:val="21"/>
              </w:rPr>
              <w:t>交换转发芯片</w:t>
            </w:r>
          </w:p>
        </w:tc>
        <w:tc>
          <w:tcPr>
            <w:tcW w:w="1395" w:type="dxa"/>
            <w:vAlign w:val="center"/>
          </w:tcPr>
          <w:p w14:paraId="78A776B2">
            <w:pPr>
              <w:pStyle w:val="42"/>
              <w:spacing w:before="0" w:beforeAutospacing="0" w:after="0" w:afterAutospacing="0" w:line="420" w:lineRule="atLeast"/>
              <w:jc w:val="center"/>
              <w:rPr>
                <w:rFonts w:hint="eastAsia"/>
                <w:sz w:val="21"/>
                <w:szCs w:val="21"/>
              </w:rPr>
            </w:pPr>
          </w:p>
        </w:tc>
        <w:tc>
          <w:tcPr>
            <w:tcW w:w="1395" w:type="dxa"/>
            <w:vAlign w:val="center"/>
          </w:tcPr>
          <w:p w14:paraId="4B817104">
            <w:pPr>
              <w:pStyle w:val="42"/>
              <w:spacing w:before="0" w:beforeAutospacing="0" w:after="0" w:afterAutospacing="0" w:line="420" w:lineRule="atLeast"/>
              <w:jc w:val="center"/>
              <w:rPr>
                <w:rFonts w:hint="eastAsia"/>
                <w:sz w:val="21"/>
                <w:szCs w:val="21"/>
              </w:rPr>
            </w:pPr>
          </w:p>
        </w:tc>
      </w:tr>
    </w:tbl>
    <w:p w14:paraId="0D87ADF1">
      <w:pPr>
        <w:pStyle w:val="42"/>
        <w:spacing w:before="0" w:beforeAutospacing="0" w:after="0" w:afterAutospacing="0" w:line="420" w:lineRule="atLeast"/>
        <w:jc w:val="both"/>
        <w:rPr>
          <w:rFonts w:hint="eastAsia"/>
          <w:sz w:val="21"/>
          <w:szCs w:val="21"/>
        </w:rPr>
      </w:pPr>
    </w:p>
    <w:p w14:paraId="2928B99D">
      <w:pPr>
        <w:pStyle w:val="2"/>
        <w:rPr>
          <w:rFonts w:hint="eastAsia" w:ascii="宋体" w:hAnsi="宋体" w:cs="宋体"/>
          <w:kern w:val="0"/>
        </w:rPr>
      </w:pPr>
      <w:r>
        <w:rPr>
          <w:rFonts w:hint="eastAsia"/>
        </w:rPr>
        <w:br w:type="page"/>
      </w:r>
    </w:p>
    <w:p w14:paraId="1A658551">
      <w:pPr>
        <w:pStyle w:val="42"/>
        <w:spacing w:before="900" w:beforeAutospacing="0" w:after="0" w:afterAutospacing="0" w:line="420" w:lineRule="atLeast"/>
        <w:jc w:val="both"/>
        <w:rPr>
          <w:rStyle w:val="49"/>
          <w:rFonts w:hint="eastAsia" w:ascii="微软雅黑" w:hAnsi="微软雅黑" w:eastAsia="微软雅黑" w:cs="微软雅黑"/>
          <w:sz w:val="22"/>
          <w:szCs w:val="22"/>
        </w:rPr>
      </w:pPr>
      <w:r>
        <w:rPr>
          <w:rFonts w:hint="eastAsia"/>
          <w:sz w:val="28"/>
          <w:szCs w:val="28"/>
        </w:rPr>
        <w:t>附表2：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2"/>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0E94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297" w:type="dxa"/>
            <w:gridSpan w:val="22"/>
            <w:vAlign w:val="center"/>
          </w:tcPr>
          <w:p w14:paraId="43B840A1">
            <w:pPr>
              <w:pStyle w:val="42"/>
              <w:spacing w:before="0" w:beforeAutospacing="0" w:after="0" w:afterAutospacing="0" w:line="420" w:lineRule="atLeast"/>
              <w:jc w:val="center"/>
              <w:rPr>
                <w:rStyle w:val="49"/>
                <w:rFonts w:hint="eastAsia" w:ascii="微软雅黑" w:hAnsi="微软雅黑" w:eastAsia="微软雅黑" w:cs="微软雅黑"/>
                <w:sz w:val="22"/>
                <w:szCs w:val="22"/>
              </w:rPr>
            </w:pPr>
            <w:r>
              <w:rPr>
                <w:rFonts w:hint="eastAsia"/>
                <w:sz w:val="21"/>
                <w:szCs w:val="21"/>
              </w:rPr>
              <w:t>芯片信息表</w:t>
            </w:r>
          </w:p>
        </w:tc>
      </w:tr>
      <w:tr w14:paraId="5C24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35" w:type="dxa"/>
            <w:vAlign w:val="center"/>
          </w:tcPr>
          <w:p w14:paraId="65FEEC29">
            <w:pPr>
              <w:pStyle w:val="42"/>
              <w:spacing w:before="0" w:beforeAutospacing="0" w:after="0" w:afterAutospacing="0" w:line="420" w:lineRule="atLeast"/>
              <w:jc w:val="center"/>
              <w:rPr>
                <w:rFonts w:hint="eastAsia"/>
                <w:sz w:val="21"/>
                <w:szCs w:val="21"/>
              </w:rPr>
            </w:pPr>
            <w:r>
              <w:rPr>
                <w:rFonts w:hint="eastAsia"/>
                <w:sz w:val="21"/>
                <w:szCs w:val="21"/>
              </w:rPr>
              <w:t>设备类型</w:t>
            </w:r>
          </w:p>
        </w:tc>
        <w:tc>
          <w:tcPr>
            <w:tcW w:w="335" w:type="dxa"/>
            <w:vAlign w:val="center"/>
          </w:tcPr>
          <w:p w14:paraId="7FB6DE05">
            <w:pPr>
              <w:pStyle w:val="42"/>
              <w:spacing w:before="0" w:beforeAutospacing="0" w:after="0" w:afterAutospacing="0" w:line="420" w:lineRule="atLeast"/>
              <w:jc w:val="center"/>
              <w:rPr>
                <w:rFonts w:hint="eastAsia"/>
                <w:sz w:val="21"/>
                <w:szCs w:val="21"/>
              </w:rPr>
            </w:pPr>
            <w:r>
              <w:rPr>
                <w:rFonts w:hint="eastAsia"/>
                <w:sz w:val="21"/>
                <w:szCs w:val="21"/>
              </w:rPr>
              <w:t>设备品牌型号</w:t>
            </w:r>
          </w:p>
        </w:tc>
        <w:tc>
          <w:tcPr>
            <w:tcW w:w="335" w:type="dxa"/>
            <w:vAlign w:val="center"/>
          </w:tcPr>
          <w:p w14:paraId="2570730F">
            <w:pPr>
              <w:pStyle w:val="42"/>
              <w:spacing w:before="0" w:beforeAutospacing="0" w:after="0" w:afterAutospacing="0" w:line="420" w:lineRule="atLeast"/>
              <w:jc w:val="center"/>
              <w:rPr>
                <w:rFonts w:hint="eastAsia"/>
                <w:sz w:val="21"/>
                <w:szCs w:val="21"/>
              </w:rPr>
            </w:pPr>
            <w:r>
              <w:rPr>
                <w:rFonts w:hint="eastAsia"/>
                <w:sz w:val="21"/>
                <w:szCs w:val="21"/>
              </w:rPr>
              <w:t>芯片类型</w:t>
            </w:r>
          </w:p>
        </w:tc>
        <w:tc>
          <w:tcPr>
            <w:tcW w:w="335" w:type="dxa"/>
            <w:vAlign w:val="center"/>
          </w:tcPr>
          <w:p w14:paraId="65FAC90F">
            <w:pPr>
              <w:pStyle w:val="42"/>
              <w:spacing w:before="0" w:beforeAutospacing="0" w:after="0" w:afterAutospacing="0" w:line="420" w:lineRule="atLeast"/>
              <w:jc w:val="center"/>
              <w:rPr>
                <w:rFonts w:hint="eastAsia"/>
                <w:sz w:val="21"/>
                <w:szCs w:val="21"/>
              </w:rPr>
            </w:pPr>
            <w:r>
              <w:rPr>
                <w:rFonts w:hint="eastAsia"/>
                <w:sz w:val="21"/>
                <w:szCs w:val="21"/>
              </w:rPr>
              <w:t>芯片厂家</w:t>
            </w:r>
          </w:p>
        </w:tc>
        <w:tc>
          <w:tcPr>
            <w:tcW w:w="334" w:type="dxa"/>
            <w:vAlign w:val="center"/>
          </w:tcPr>
          <w:p w14:paraId="610030A5">
            <w:pPr>
              <w:pStyle w:val="42"/>
              <w:spacing w:before="0" w:beforeAutospacing="0" w:after="0" w:afterAutospacing="0" w:line="420" w:lineRule="atLeast"/>
              <w:jc w:val="center"/>
              <w:rPr>
                <w:rFonts w:hint="eastAsia"/>
                <w:sz w:val="21"/>
                <w:szCs w:val="21"/>
              </w:rPr>
            </w:pPr>
            <w:r>
              <w:rPr>
                <w:rFonts w:hint="eastAsia"/>
                <w:sz w:val="21"/>
                <w:szCs w:val="21"/>
              </w:rPr>
              <w:t>型号</w:t>
            </w:r>
          </w:p>
        </w:tc>
        <w:tc>
          <w:tcPr>
            <w:tcW w:w="452" w:type="dxa"/>
            <w:vAlign w:val="center"/>
          </w:tcPr>
          <w:p w14:paraId="5F570EDE">
            <w:pPr>
              <w:pStyle w:val="42"/>
              <w:spacing w:before="0" w:beforeAutospacing="0" w:after="0" w:afterAutospacing="0" w:line="420" w:lineRule="atLeast"/>
              <w:jc w:val="center"/>
              <w:rPr>
                <w:rFonts w:hint="eastAsia"/>
                <w:sz w:val="21"/>
                <w:szCs w:val="21"/>
              </w:rPr>
            </w:pPr>
            <w:r>
              <w:rPr>
                <w:rFonts w:hint="eastAsia"/>
                <w:sz w:val="21"/>
                <w:szCs w:val="21"/>
              </w:rPr>
              <w:t>芯片设计单位（全称）</w:t>
            </w:r>
          </w:p>
        </w:tc>
        <w:tc>
          <w:tcPr>
            <w:tcW w:w="334" w:type="dxa"/>
            <w:vAlign w:val="center"/>
          </w:tcPr>
          <w:p w14:paraId="29E24E31">
            <w:pPr>
              <w:pStyle w:val="42"/>
              <w:spacing w:before="0" w:beforeAutospacing="0" w:after="0" w:afterAutospacing="0" w:line="420" w:lineRule="atLeast"/>
              <w:jc w:val="center"/>
              <w:rPr>
                <w:rFonts w:hint="eastAsia"/>
                <w:sz w:val="21"/>
                <w:szCs w:val="21"/>
              </w:rPr>
            </w:pPr>
            <w:r>
              <w:rPr>
                <w:rFonts w:hint="eastAsia"/>
                <w:sz w:val="21"/>
                <w:szCs w:val="21"/>
              </w:rPr>
              <w:t>注册地址</w:t>
            </w:r>
          </w:p>
        </w:tc>
        <w:tc>
          <w:tcPr>
            <w:tcW w:w="334" w:type="dxa"/>
            <w:vAlign w:val="center"/>
          </w:tcPr>
          <w:p w14:paraId="69DE64B9">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13CAEC85">
            <w:pPr>
              <w:pStyle w:val="42"/>
              <w:spacing w:before="0" w:beforeAutospacing="0" w:after="0" w:afterAutospacing="0" w:line="420" w:lineRule="atLeast"/>
              <w:jc w:val="center"/>
              <w:rPr>
                <w:rFonts w:hint="eastAsia"/>
                <w:sz w:val="21"/>
                <w:szCs w:val="21"/>
              </w:rPr>
            </w:pPr>
            <w:r>
              <w:rPr>
                <w:rFonts w:hint="eastAsia"/>
                <w:sz w:val="21"/>
                <w:szCs w:val="21"/>
              </w:rPr>
              <w:t>注册信息是否包含“集成电路设计”</w:t>
            </w:r>
          </w:p>
        </w:tc>
        <w:tc>
          <w:tcPr>
            <w:tcW w:w="334" w:type="dxa"/>
            <w:vAlign w:val="center"/>
          </w:tcPr>
          <w:p w14:paraId="6AE05F97">
            <w:pPr>
              <w:pStyle w:val="42"/>
              <w:spacing w:before="0" w:beforeAutospacing="0" w:after="0" w:afterAutospacing="0" w:line="420" w:lineRule="atLeast"/>
              <w:jc w:val="center"/>
              <w:rPr>
                <w:rFonts w:hint="eastAsia"/>
                <w:sz w:val="21"/>
                <w:szCs w:val="21"/>
              </w:rPr>
            </w:pPr>
            <w:r>
              <w:rPr>
                <w:rFonts w:hint="eastAsia"/>
                <w:sz w:val="21"/>
                <w:szCs w:val="21"/>
              </w:rPr>
              <w:t>是否具有独立法人</w:t>
            </w:r>
          </w:p>
        </w:tc>
        <w:tc>
          <w:tcPr>
            <w:tcW w:w="452" w:type="dxa"/>
            <w:vAlign w:val="center"/>
          </w:tcPr>
          <w:p w14:paraId="3CC00351">
            <w:pPr>
              <w:pStyle w:val="42"/>
              <w:spacing w:before="0" w:beforeAutospacing="0" w:after="0" w:afterAutospacing="0" w:line="420" w:lineRule="atLeast"/>
              <w:jc w:val="center"/>
              <w:rPr>
                <w:rFonts w:hint="eastAsia"/>
                <w:sz w:val="21"/>
                <w:szCs w:val="21"/>
              </w:rPr>
            </w:pPr>
            <w:r>
              <w:rPr>
                <w:rFonts w:hint="eastAsia"/>
                <w:sz w:val="21"/>
                <w:szCs w:val="21"/>
              </w:rPr>
              <w:t>集成电路设计的机构地址（实际研发地点）</w:t>
            </w:r>
          </w:p>
        </w:tc>
        <w:tc>
          <w:tcPr>
            <w:tcW w:w="334" w:type="dxa"/>
            <w:vAlign w:val="center"/>
          </w:tcPr>
          <w:p w14:paraId="2D4BFDCA">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571" w:type="dxa"/>
            <w:vAlign w:val="center"/>
          </w:tcPr>
          <w:p w14:paraId="5753ED2C">
            <w:pPr>
              <w:pStyle w:val="42"/>
              <w:spacing w:before="0" w:beforeAutospacing="0" w:after="0" w:afterAutospacing="0" w:line="420" w:lineRule="atLeast"/>
              <w:jc w:val="center"/>
              <w:rPr>
                <w:rFonts w:hint="eastAsia"/>
                <w:sz w:val="21"/>
                <w:szCs w:val="21"/>
              </w:rPr>
            </w:pPr>
            <w:r>
              <w:rPr>
                <w:rFonts w:hint="eastAsia"/>
                <w:sz w:val="21"/>
                <w:szCs w:val="21"/>
              </w:rPr>
              <w:t>芯片制程（nm）</w:t>
            </w:r>
          </w:p>
        </w:tc>
        <w:tc>
          <w:tcPr>
            <w:tcW w:w="452" w:type="dxa"/>
            <w:vAlign w:val="center"/>
          </w:tcPr>
          <w:p w14:paraId="49BE9311">
            <w:pPr>
              <w:pStyle w:val="42"/>
              <w:spacing w:before="0" w:beforeAutospacing="0" w:after="0" w:afterAutospacing="0" w:line="420" w:lineRule="atLeast"/>
              <w:jc w:val="center"/>
              <w:rPr>
                <w:rFonts w:hint="eastAsia"/>
                <w:sz w:val="21"/>
                <w:szCs w:val="21"/>
              </w:rPr>
            </w:pPr>
            <w:r>
              <w:rPr>
                <w:rFonts w:hint="eastAsia"/>
                <w:sz w:val="21"/>
                <w:szCs w:val="21"/>
              </w:rPr>
              <w:t>芯片制造单位（全称）</w:t>
            </w:r>
          </w:p>
        </w:tc>
        <w:tc>
          <w:tcPr>
            <w:tcW w:w="334" w:type="dxa"/>
            <w:vAlign w:val="center"/>
          </w:tcPr>
          <w:p w14:paraId="2F1CC41A">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7D9BD383">
            <w:pPr>
              <w:pStyle w:val="42"/>
              <w:spacing w:before="0" w:beforeAutospacing="0" w:after="0" w:afterAutospacing="0" w:line="420" w:lineRule="atLeast"/>
              <w:jc w:val="center"/>
              <w:rPr>
                <w:rFonts w:hint="eastAsia" w:cs="Times New Roman"/>
                <w:sz w:val="21"/>
                <w:szCs w:val="21"/>
              </w:rPr>
            </w:pPr>
            <w:r>
              <w:rPr>
                <w:rFonts w:hint="eastAsia"/>
                <w:sz w:val="21"/>
                <w:szCs w:val="21"/>
              </w:rPr>
              <w:t>境内/境外</w:t>
            </w:r>
          </w:p>
        </w:tc>
        <w:tc>
          <w:tcPr>
            <w:tcW w:w="452" w:type="dxa"/>
            <w:vAlign w:val="center"/>
          </w:tcPr>
          <w:p w14:paraId="5E0E4006">
            <w:pPr>
              <w:pStyle w:val="42"/>
              <w:spacing w:before="0" w:beforeAutospacing="0" w:after="0" w:afterAutospacing="0" w:line="420" w:lineRule="atLeast"/>
              <w:jc w:val="center"/>
              <w:rPr>
                <w:rFonts w:hint="eastAsia"/>
                <w:sz w:val="21"/>
                <w:szCs w:val="21"/>
              </w:rPr>
            </w:pPr>
            <w:r>
              <w:rPr>
                <w:rFonts w:hint="eastAsia"/>
                <w:sz w:val="21"/>
                <w:szCs w:val="21"/>
              </w:rPr>
              <w:t>芯片封装单位（全称）</w:t>
            </w:r>
          </w:p>
        </w:tc>
        <w:tc>
          <w:tcPr>
            <w:tcW w:w="334" w:type="dxa"/>
            <w:vAlign w:val="center"/>
          </w:tcPr>
          <w:p w14:paraId="63BB14B2">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1B15EDCC">
            <w:pPr>
              <w:pStyle w:val="42"/>
              <w:spacing w:before="0" w:beforeAutospacing="0" w:after="0" w:afterAutospacing="0" w:line="420" w:lineRule="atLeast"/>
              <w:jc w:val="center"/>
              <w:rPr>
                <w:rFonts w:hint="eastAsia"/>
                <w:sz w:val="21"/>
                <w:szCs w:val="21"/>
              </w:rPr>
            </w:pPr>
            <w:r>
              <w:rPr>
                <w:rFonts w:hint="eastAsia"/>
                <w:sz w:val="21"/>
                <w:szCs w:val="21"/>
              </w:rPr>
              <w:t>境内/境外</w:t>
            </w:r>
          </w:p>
        </w:tc>
        <w:tc>
          <w:tcPr>
            <w:tcW w:w="452" w:type="dxa"/>
            <w:vAlign w:val="center"/>
          </w:tcPr>
          <w:p w14:paraId="33506BA0">
            <w:pPr>
              <w:pStyle w:val="42"/>
              <w:spacing w:before="0" w:beforeAutospacing="0" w:after="0" w:afterAutospacing="0" w:line="420" w:lineRule="atLeast"/>
              <w:jc w:val="center"/>
              <w:rPr>
                <w:rFonts w:hint="eastAsia"/>
                <w:sz w:val="21"/>
                <w:szCs w:val="21"/>
              </w:rPr>
            </w:pPr>
            <w:r>
              <w:rPr>
                <w:rFonts w:hint="eastAsia"/>
                <w:sz w:val="21"/>
                <w:szCs w:val="21"/>
              </w:rPr>
              <w:t>芯片测试单位（全称）</w:t>
            </w:r>
          </w:p>
        </w:tc>
        <w:tc>
          <w:tcPr>
            <w:tcW w:w="334" w:type="dxa"/>
            <w:vAlign w:val="center"/>
          </w:tcPr>
          <w:p w14:paraId="2F3D9BAA">
            <w:pPr>
              <w:pStyle w:val="42"/>
              <w:spacing w:before="0" w:beforeAutospacing="0" w:after="0" w:afterAutospacing="0" w:line="420" w:lineRule="atLeast"/>
              <w:jc w:val="center"/>
              <w:rPr>
                <w:rFonts w:hint="eastAsia"/>
                <w:sz w:val="21"/>
                <w:szCs w:val="21"/>
              </w:rPr>
            </w:pPr>
            <w:r>
              <w:rPr>
                <w:rFonts w:hint="eastAsia"/>
                <w:sz w:val="21"/>
                <w:szCs w:val="21"/>
              </w:rPr>
              <w:t>地址</w:t>
            </w:r>
          </w:p>
        </w:tc>
        <w:tc>
          <w:tcPr>
            <w:tcW w:w="334" w:type="dxa"/>
            <w:vAlign w:val="center"/>
          </w:tcPr>
          <w:p w14:paraId="6989879F">
            <w:pPr>
              <w:pStyle w:val="42"/>
              <w:spacing w:before="0" w:beforeAutospacing="0" w:after="0" w:afterAutospacing="0" w:line="420" w:lineRule="atLeast"/>
              <w:jc w:val="center"/>
              <w:rPr>
                <w:rFonts w:hint="eastAsia"/>
                <w:sz w:val="21"/>
                <w:szCs w:val="21"/>
              </w:rPr>
            </w:pPr>
            <w:r>
              <w:rPr>
                <w:rFonts w:hint="eastAsia"/>
                <w:sz w:val="21"/>
                <w:szCs w:val="21"/>
              </w:rPr>
              <w:t>境内/境外</w:t>
            </w:r>
          </w:p>
        </w:tc>
      </w:tr>
      <w:tr w14:paraId="5B00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35" w:type="dxa"/>
            <w:vAlign w:val="center"/>
          </w:tcPr>
          <w:p w14:paraId="0A12435E">
            <w:pPr>
              <w:pStyle w:val="42"/>
              <w:spacing w:before="0" w:beforeAutospacing="0" w:after="0" w:afterAutospacing="0" w:line="420" w:lineRule="atLeast"/>
              <w:jc w:val="center"/>
              <w:rPr>
                <w:rFonts w:hint="eastAsia"/>
                <w:sz w:val="21"/>
                <w:szCs w:val="21"/>
              </w:rPr>
            </w:pPr>
          </w:p>
        </w:tc>
        <w:tc>
          <w:tcPr>
            <w:tcW w:w="335" w:type="dxa"/>
            <w:vAlign w:val="center"/>
          </w:tcPr>
          <w:p w14:paraId="79AF2797">
            <w:pPr>
              <w:pStyle w:val="42"/>
              <w:spacing w:before="0" w:beforeAutospacing="0" w:after="0" w:afterAutospacing="0" w:line="420" w:lineRule="atLeast"/>
              <w:jc w:val="center"/>
              <w:rPr>
                <w:rFonts w:hint="eastAsia"/>
                <w:sz w:val="21"/>
                <w:szCs w:val="21"/>
              </w:rPr>
            </w:pPr>
          </w:p>
        </w:tc>
        <w:tc>
          <w:tcPr>
            <w:tcW w:w="335" w:type="dxa"/>
            <w:vAlign w:val="center"/>
          </w:tcPr>
          <w:p w14:paraId="4F8EBFC5">
            <w:pPr>
              <w:pStyle w:val="42"/>
              <w:spacing w:before="0" w:beforeAutospacing="0" w:after="0" w:afterAutospacing="0" w:line="420" w:lineRule="atLeast"/>
              <w:jc w:val="center"/>
              <w:rPr>
                <w:rFonts w:hint="eastAsia"/>
                <w:sz w:val="21"/>
                <w:szCs w:val="21"/>
              </w:rPr>
            </w:pPr>
          </w:p>
        </w:tc>
        <w:tc>
          <w:tcPr>
            <w:tcW w:w="335" w:type="dxa"/>
            <w:vAlign w:val="center"/>
          </w:tcPr>
          <w:p w14:paraId="325FC268">
            <w:pPr>
              <w:pStyle w:val="42"/>
              <w:spacing w:before="0" w:beforeAutospacing="0" w:after="0" w:afterAutospacing="0" w:line="420" w:lineRule="atLeast"/>
              <w:jc w:val="center"/>
              <w:rPr>
                <w:rFonts w:hint="eastAsia"/>
                <w:sz w:val="21"/>
                <w:szCs w:val="21"/>
              </w:rPr>
            </w:pPr>
          </w:p>
        </w:tc>
        <w:tc>
          <w:tcPr>
            <w:tcW w:w="334" w:type="dxa"/>
            <w:vAlign w:val="center"/>
          </w:tcPr>
          <w:p w14:paraId="1EB1E175">
            <w:pPr>
              <w:pStyle w:val="42"/>
              <w:spacing w:before="0" w:beforeAutospacing="0" w:after="0" w:afterAutospacing="0" w:line="420" w:lineRule="atLeast"/>
              <w:jc w:val="center"/>
              <w:rPr>
                <w:rFonts w:hint="eastAsia"/>
                <w:sz w:val="21"/>
                <w:szCs w:val="21"/>
              </w:rPr>
            </w:pPr>
          </w:p>
        </w:tc>
        <w:tc>
          <w:tcPr>
            <w:tcW w:w="452" w:type="dxa"/>
            <w:vAlign w:val="center"/>
          </w:tcPr>
          <w:p w14:paraId="2922F888">
            <w:pPr>
              <w:pStyle w:val="42"/>
              <w:spacing w:before="0" w:beforeAutospacing="0" w:after="0" w:afterAutospacing="0" w:line="420" w:lineRule="atLeast"/>
              <w:jc w:val="center"/>
              <w:rPr>
                <w:rFonts w:hint="eastAsia"/>
                <w:sz w:val="21"/>
                <w:szCs w:val="21"/>
              </w:rPr>
            </w:pPr>
          </w:p>
        </w:tc>
        <w:tc>
          <w:tcPr>
            <w:tcW w:w="334" w:type="dxa"/>
            <w:vAlign w:val="center"/>
          </w:tcPr>
          <w:p w14:paraId="3DA547A2">
            <w:pPr>
              <w:pStyle w:val="42"/>
              <w:spacing w:before="0" w:beforeAutospacing="0" w:after="0" w:afterAutospacing="0" w:line="420" w:lineRule="atLeast"/>
              <w:jc w:val="center"/>
              <w:rPr>
                <w:rFonts w:hint="eastAsia"/>
                <w:sz w:val="21"/>
                <w:szCs w:val="21"/>
              </w:rPr>
            </w:pPr>
          </w:p>
        </w:tc>
        <w:tc>
          <w:tcPr>
            <w:tcW w:w="334" w:type="dxa"/>
            <w:vAlign w:val="center"/>
          </w:tcPr>
          <w:p w14:paraId="08B9DD9C">
            <w:pPr>
              <w:pStyle w:val="42"/>
              <w:spacing w:before="0" w:beforeAutospacing="0" w:after="0" w:afterAutospacing="0" w:line="420" w:lineRule="atLeast"/>
              <w:jc w:val="center"/>
              <w:rPr>
                <w:rFonts w:hint="eastAsia"/>
                <w:sz w:val="21"/>
                <w:szCs w:val="21"/>
              </w:rPr>
            </w:pPr>
          </w:p>
        </w:tc>
        <w:tc>
          <w:tcPr>
            <w:tcW w:w="452" w:type="dxa"/>
            <w:vAlign w:val="center"/>
          </w:tcPr>
          <w:p w14:paraId="5D774F49">
            <w:pPr>
              <w:pStyle w:val="42"/>
              <w:spacing w:before="0" w:beforeAutospacing="0" w:after="0" w:afterAutospacing="0" w:line="420" w:lineRule="atLeast"/>
              <w:jc w:val="center"/>
              <w:rPr>
                <w:rFonts w:hint="eastAsia"/>
                <w:sz w:val="21"/>
                <w:szCs w:val="21"/>
              </w:rPr>
            </w:pPr>
          </w:p>
        </w:tc>
        <w:tc>
          <w:tcPr>
            <w:tcW w:w="334" w:type="dxa"/>
            <w:vAlign w:val="center"/>
          </w:tcPr>
          <w:p w14:paraId="45298467">
            <w:pPr>
              <w:pStyle w:val="42"/>
              <w:spacing w:before="0" w:beforeAutospacing="0" w:after="0" w:afterAutospacing="0" w:line="420" w:lineRule="atLeast"/>
              <w:jc w:val="center"/>
              <w:rPr>
                <w:rFonts w:hint="eastAsia"/>
                <w:sz w:val="21"/>
                <w:szCs w:val="21"/>
              </w:rPr>
            </w:pPr>
          </w:p>
        </w:tc>
        <w:tc>
          <w:tcPr>
            <w:tcW w:w="452" w:type="dxa"/>
            <w:vAlign w:val="center"/>
          </w:tcPr>
          <w:p w14:paraId="64C937EF">
            <w:pPr>
              <w:pStyle w:val="42"/>
              <w:spacing w:before="0" w:beforeAutospacing="0" w:after="0" w:afterAutospacing="0" w:line="420" w:lineRule="atLeast"/>
              <w:jc w:val="center"/>
              <w:rPr>
                <w:rFonts w:hint="eastAsia"/>
                <w:sz w:val="21"/>
                <w:szCs w:val="21"/>
              </w:rPr>
            </w:pPr>
          </w:p>
        </w:tc>
        <w:tc>
          <w:tcPr>
            <w:tcW w:w="334" w:type="dxa"/>
            <w:vAlign w:val="center"/>
          </w:tcPr>
          <w:p w14:paraId="1673C7D5">
            <w:pPr>
              <w:pStyle w:val="42"/>
              <w:spacing w:before="0" w:beforeAutospacing="0" w:after="0" w:afterAutospacing="0" w:line="420" w:lineRule="atLeast"/>
              <w:jc w:val="center"/>
              <w:rPr>
                <w:rFonts w:hint="eastAsia"/>
                <w:sz w:val="21"/>
                <w:szCs w:val="21"/>
              </w:rPr>
            </w:pPr>
          </w:p>
        </w:tc>
        <w:tc>
          <w:tcPr>
            <w:tcW w:w="571" w:type="dxa"/>
            <w:vAlign w:val="center"/>
          </w:tcPr>
          <w:p w14:paraId="72C60174">
            <w:pPr>
              <w:pStyle w:val="42"/>
              <w:spacing w:before="0" w:beforeAutospacing="0" w:after="0" w:afterAutospacing="0" w:line="420" w:lineRule="atLeast"/>
              <w:jc w:val="center"/>
              <w:rPr>
                <w:rFonts w:hint="eastAsia"/>
                <w:sz w:val="21"/>
                <w:szCs w:val="21"/>
              </w:rPr>
            </w:pPr>
          </w:p>
        </w:tc>
        <w:tc>
          <w:tcPr>
            <w:tcW w:w="452" w:type="dxa"/>
            <w:vAlign w:val="center"/>
          </w:tcPr>
          <w:p w14:paraId="3132BF7E">
            <w:pPr>
              <w:pStyle w:val="42"/>
              <w:spacing w:before="0" w:beforeAutospacing="0" w:after="0" w:afterAutospacing="0" w:line="420" w:lineRule="atLeast"/>
              <w:jc w:val="center"/>
              <w:rPr>
                <w:rFonts w:hint="eastAsia"/>
                <w:sz w:val="21"/>
                <w:szCs w:val="21"/>
              </w:rPr>
            </w:pPr>
          </w:p>
        </w:tc>
        <w:tc>
          <w:tcPr>
            <w:tcW w:w="334" w:type="dxa"/>
            <w:vAlign w:val="center"/>
          </w:tcPr>
          <w:p w14:paraId="02E92476">
            <w:pPr>
              <w:pStyle w:val="42"/>
              <w:spacing w:before="0" w:beforeAutospacing="0" w:after="0" w:afterAutospacing="0" w:line="420" w:lineRule="atLeast"/>
              <w:jc w:val="center"/>
              <w:rPr>
                <w:rFonts w:hint="eastAsia"/>
                <w:sz w:val="21"/>
                <w:szCs w:val="21"/>
              </w:rPr>
            </w:pPr>
          </w:p>
        </w:tc>
        <w:tc>
          <w:tcPr>
            <w:tcW w:w="334" w:type="dxa"/>
            <w:vAlign w:val="center"/>
          </w:tcPr>
          <w:p w14:paraId="4528749F">
            <w:pPr>
              <w:pStyle w:val="42"/>
              <w:spacing w:before="0" w:beforeAutospacing="0" w:after="0" w:afterAutospacing="0" w:line="420" w:lineRule="atLeast"/>
              <w:jc w:val="center"/>
              <w:rPr>
                <w:rFonts w:hint="eastAsia"/>
                <w:sz w:val="21"/>
                <w:szCs w:val="21"/>
              </w:rPr>
            </w:pPr>
          </w:p>
        </w:tc>
        <w:tc>
          <w:tcPr>
            <w:tcW w:w="452" w:type="dxa"/>
            <w:vAlign w:val="center"/>
          </w:tcPr>
          <w:p w14:paraId="3C0EC29E">
            <w:pPr>
              <w:pStyle w:val="42"/>
              <w:spacing w:before="0" w:beforeAutospacing="0" w:after="0" w:afterAutospacing="0" w:line="420" w:lineRule="atLeast"/>
              <w:jc w:val="center"/>
              <w:rPr>
                <w:rFonts w:hint="eastAsia"/>
                <w:sz w:val="21"/>
                <w:szCs w:val="21"/>
              </w:rPr>
            </w:pPr>
          </w:p>
        </w:tc>
        <w:tc>
          <w:tcPr>
            <w:tcW w:w="334" w:type="dxa"/>
            <w:vAlign w:val="center"/>
          </w:tcPr>
          <w:p w14:paraId="1D4D037D">
            <w:pPr>
              <w:pStyle w:val="42"/>
              <w:spacing w:before="0" w:beforeAutospacing="0" w:after="0" w:afterAutospacing="0" w:line="420" w:lineRule="atLeast"/>
              <w:jc w:val="center"/>
              <w:rPr>
                <w:rFonts w:hint="eastAsia"/>
                <w:sz w:val="21"/>
                <w:szCs w:val="21"/>
              </w:rPr>
            </w:pPr>
          </w:p>
        </w:tc>
        <w:tc>
          <w:tcPr>
            <w:tcW w:w="334" w:type="dxa"/>
            <w:vAlign w:val="center"/>
          </w:tcPr>
          <w:p w14:paraId="2E8B8EF4">
            <w:pPr>
              <w:pStyle w:val="42"/>
              <w:spacing w:before="0" w:beforeAutospacing="0" w:after="0" w:afterAutospacing="0" w:line="420" w:lineRule="atLeast"/>
              <w:jc w:val="center"/>
              <w:rPr>
                <w:rFonts w:hint="eastAsia"/>
                <w:sz w:val="21"/>
                <w:szCs w:val="21"/>
              </w:rPr>
            </w:pPr>
          </w:p>
        </w:tc>
        <w:tc>
          <w:tcPr>
            <w:tcW w:w="452" w:type="dxa"/>
            <w:vAlign w:val="center"/>
          </w:tcPr>
          <w:p w14:paraId="3AF7F77D">
            <w:pPr>
              <w:pStyle w:val="42"/>
              <w:spacing w:before="0" w:beforeAutospacing="0" w:after="0" w:afterAutospacing="0" w:line="420" w:lineRule="atLeast"/>
              <w:jc w:val="center"/>
              <w:rPr>
                <w:rFonts w:hint="eastAsia"/>
                <w:sz w:val="21"/>
                <w:szCs w:val="21"/>
              </w:rPr>
            </w:pPr>
          </w:p>
        </w:tc>
        <w:tc>
          <w:tcPr>
            <w:tcW w:w="334" w:type="dxa"/>
            <w:vAlign w:val="center"/>
          </w:tcPr>
          <w:p w14:paraId="55DE4FE0">
            <w:pPr>
              <w:pStyle w:val="42"/>
              <w:spacing w:before="0" w:beforeAutospacing="0" w:after="0" w:afterAutospacing="0" w:line="420" w:lineRule="atLeast"/>
              <w:jc w:val="center"/>
              <w:rPr>
                <w:rFonts w:hint="eastAsia"/>
                <w:sz w:val="21"/>
                <w:szCs w:val="21"/>
              </w:rPr>
            </w:pPr>
          </w:p>
        </w:tc>
        <w:tc>
          <w:tcPr>
            <w:tcW w:w="334" w:type="dxa"/>
            <w:vAlign w:val="center"/>
          </w:tcPr>
          <w:p w14:paraId="4CAB1991">
            <w:pPr>
              <w:pStyle w:val="42"/>
              <w:spacing w:before="0" w:beforeAutospacing="0" w:after="0" w:afterAutospacing="0" w:line="420" w:lineRule="atLeast"/>
              <w:jc w:val="center"/>
              <w:rPr>
                <w:rFonts w:hint="eastAsia"/>
                <w:sz w:val="21"/>
                <w:szCs w:val="21"/>
              </w:rPr>
            </w:pPr>
          </w:p>
        </w:tc>
      </w:tr>
    </w:tbl>
    <w:p w14:paraId="46793BD6">
      <w:pPr>
        <w:pStyle w:val="42"/>
        <w:spacing w:before="0" w:beforeAutospacing="0" w:after="0" w:afterAutospacing="0" w:line="420" w:lineRule="atLeast"/>
        <w:jc w:val="both"/>
        <w:rPr>
          <w:rFonts w:hint="eastAsia"/>
          <w:sz w:val="21"/>
          <w:szCs w:val="21"/>
        </w:rPr>
      </w:pPr>
    </w:p>
    <w:p w14:paraId="33F95E1B">
      <w:pPr>
        <w:pStyle w:val="42"/>
        <w:spacing w:before="0" w:beforeAutospacing="0" w:after="0" w:afterAutospacing="0" w:line="420" w:lineRule="atLeast"/>
        <w:jc w:val="both"/>
        <w:rPr>
          <w:rFonts w:hint="eastAsia"/>
          <w:sz w:val="21"/>
          <w:szCs w:val="21"/>
        </w:rPr>
      </w:pPr>
      <w:r>
        <w:rPr>
          <w:rFonts w:hint="eastAsia"/>
          <w:sz w:val="21"/>
          <w:szCs w:val="21"/>
        </w:rPr>
        <w:t>备注，如果封装测试在一起，就写同样的信息即可</w:t>
      </w:r>
    </w:p>
    <w:p w14:paraId="009BF1BA">
      <w:pPr>
        <w:pStyle w:val="42"/>
        <w:spacing w:before="0" w:beforeAutospacing="0" w:after="0" w:afterAutospacing="0" w:line="420" w:lineRule="atLeast"/>
        <w:jc w:val="both"/>
        <w:rPr>
          <w:rFonts w:hint="eastAsia"/>
          <w:sz w:val="21"/>
          <w:szCs w:val="21"/>
        </w:rPr>
      </w:pPr>
    </w:p>
    <w:p w14:paraId="79951DB8">
      <w:pPr>
        <w:pStyle w:val="57"/>
        <w:jc w:val="center"/>
        <w:rPr>
          <w:rFonts w:hint="eastAsia" w:ascii="微软雅黑" w:hAnsi="微软雅黑" w:eastAsia="微软雅黑" w:cs="微软雅黑"/>
          <w:color w:val="auto"/>
          <w:sz w:val="22"/>
          <w:szCs w:val="22"/>
          <w:u w:val="single"/>
        </w:rPr>
      </w:pPr>
    </w:p>
    <w:sectPr>
      <w:headerReference r:id="rId28" w:type="first"/>
      <w:footerReference r:id="rId30" w:type="first"/>
      <w:headerReference r:id="rId27" w:type="even"/>
      <w:footerReference r:id="rId29" w:type="even"/>
      <w:pgSz w:w="11907" w:h="16839"/>
      <w:pgMar w:top="1440" w:right="1800" w:bottom="1440" w:left="1800" w:header="720" w:footer="720"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华文细黑">
    <w:altName w:val="微软雅黑"/>
    <w:panose1 w:val="02010600040101010101"/>
    <w:charset w:val="86"/>
    <w:family w:val="auto"/>
    <w:pitch w:val="default"/>
    <w:sig w:usb0="00000000" w:usb1="00000000" w:usb2="00000000" w:usb3="00000000" w:csb0="0004009F" w:csb1="DFD70000"/>
  </w:font>
  <w:font w:name="Garamond">
    <w:altName w:val="PMingLiU-ExtB"/>
    <w:panose1 w:val="02020404030301010803"/>
    <w:charset w:val="00"/>
    <w:family w:val="roman"/>
    <w:pitch w:val="default"/>
    <w:sig w:usb0="00000000" w:usb1="00000000" w:usb2="00000000" w:usb3="00000000" w:csb0="0000009F" w:csb1="DFD70000"/>
  </w:font>
  <w:font w:name="华文中宋">
    <w:altName w:val="宋体"/>
    <w:panose1 w:val="02010600040101010101"/>
    <w:charset w:val="86"/>
    <w:family w:val="auto"/>
    <w:pitch w:val="default"/>
    <w:sig w:usb0="00000000" w:usb1="0000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 w:name="华文宋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6422"/>
    </w:sdtPr>
    <w:sdtContent>
      <w:p w14:paraId="0AE48664">
        <w:pPr>
          <w:pStyle w:val="32"/>
          <w:jc w:val="center"/>
        </w:pPr>
        <w:r>
          <w:fldChar w:fldCharType="begin"/>
        </w:r>
        <w:r>
          <w:instrText xml:space="preserve"> PAGE   \* MERGEFORMAT </w:instrText>
        </w:r>
        <w:r>
          <w:fldChar w:fldCharType="separate"/>
        </w:r>
        <w:r>
          <w:rPr>
            <w:lang w:val="zh-CN"/>
          </w:rPr>
          <w:t>II</w:t>
        </w:r>
        <w:r>
          <w:rPr>
            <w:lang w:val="zh-CN"/>
          </w:rPr>
          <w:fldChar w:fldCharType="end"/>
        </w:r>
      </w:p>
    </w:sdtContent>
  </w:sdt>
  <w:p w14:paraId="7C045A47">
    <w:pPr>
      <w:pStyle w:val="32"/>
      <w:spacing w:before="120" w:after="120"/>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60CC">
    <w:pPr>
      <w:pStyle w:val="32"/>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1A56D">
    <w:pPr>
      <w:pStyle w:val="32"/>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422A3">
    <w:pPr>
      <w:pStyle w:val="32"/>
      <w:spacing w:before="120" w:after="120"/>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BBD36">
    <w:pPr>
      <w:pStyle w:val="32"/>
      <w:spacing w:before="120" w:after="120"/>
      <w:ind w:firstLine="360"/>
      <w:jc w:val="center"/>
    </w:pPr>
    <w:r>
      <w:fldChar w:fldCharType="begin"/>
    </w:r>
    <w:r>
      <w:instrText xml:space="preserve"> PAGE   \* MERGEFORMAT </w:instrText>
    </w:r>
    <w:r>
      <w:fldChar w:fldCharType="separate"/>
    </w:r>
    <w:r>
      <w:rPr>
        <w:lang w:val="zh-CN"/>
      </w:rPr>
      <w:t>5</w:t>
    </w:r>
    <w:r>
      <w:rPr>
        <w:lang w:val="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3FD2">
    <w:pPr>
      <w:pStyle w:val="32"/>
      <w:spacing w:before="120" w:after="12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3D11D">
    <w:pPr>
      <w:pStyle w:val="32"/>
      <w:spacing w:before="120" w:after="120"/>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F651B">
    <w:pPr>
      <w:pStyle w:val="32"/>
      <w:spacing w:before="120" w:after="120"/>
      <w:ind w:firstLine="360"/>
      <w:jc w:val="center"/>
    </w:pPr>
    <w:r>
      <w:fldChar w:fldCharType="begin"/>
    </w:r>
    <w:r>
      <w:instrText xml:space="preserve"> PAGE   \* MERGEFORMAT </w:instrText>
    </w:r>
    <w:r>
      <w:fldChar w:fldCharType="separate"/>
    </w:r>
    <w:r>
      <w:rPr>
        <w:lang w:val="zh-CN"/>
      </w:rPr>
      <w:t>11</w:t>
    </w:r>
    <w:r>
      <w:rPr>
        <w:lang w:val="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A3824">
    <w:pPr>
      <w:pStyle w:val="32"/>
      <w:spacing w:before="120" w:after="120"/>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BCCB2">
    <w:pPr>
      <w:pStyle w:val="32"/>
      <w:spacing w:before="120" w:after="120"/>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B2CF3">
    <w:pPr>
      <w:pStyle w:val="32"/>
      <w:spacing w:before="120" w:after="120"/>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15997">
    <w:pPr>
      <w:pStyle w:val="32"/>
      <w:spacing w:before="120" w:after="120"/>
      <w:ind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7A3B8">
    <w:pPr>
      <w:pStyle w:val="32"/>
      <w:spacing w:before="120" w:after="120"/>
      <w:ind w:firstLine="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7C0B1">
    <w:pPr>
      <w:pStyle w:val="32"/>
      <w:spacing w:before="120" w:after="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F3D92">
    <w:pPr>
      <w:pStyle w:val="33"/>
      <w:wordWrap w:val="0"/>
      <w:spacing w:before="120" w:after="120"/>
      <w:ind w:firstLine="360"/>
      <w:jc w:val="right"/>
    </w:pPr>
    <w:bookmarkStart w:id="91" w:name="OLE_LINK9"/>
    <w:bookmarkStart w:id="92" w:name="OLE_LINK8"/>
    <w:r>
      <w:rPr>
        <w:rFonts w:hint="eastAsia"/>
      </w:rPr>
      <w:t>一体化电网运行智能系统（OS2）主站框架招标通用技术规范</w:t>
    </w:r>
    <w:bookmarkEnd w:id="91"/>
    <w:bookmarkEnd w:id="92"/>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7A966">
    <w:pPr>
      <w:pStyle w:val="33"/>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7D8D5">
    <w:pPr>
      <w:pStyle w:val="3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F2179">
    <w:pPr>
      <w:pStyle w:val="33"/>
      <w:wordWrap w:val="0"/>
      <w:spacing w:before="120" w:after="120"/>
      <w:ind w:firstLine="360"/>
      <w:jc w:val="right"/>
    </w:pPr>
    <w:r>
      <w:rPr>
        <w:rFonts w:hint="eastAsia"/>
      </w:rPr>
      <w:t>OS2省地级主站基础软硬件框架招标技术规范（2026版</w:t>
    </w:r>
    <w: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DCD7">
    <w:pPr>
      <w:pStyle w:val="33"/>
      <w:spacing w:before="120" w:after="12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D7B08">
    <w:pPr>
      <w:pStyle w:val="33"/>
      <w:spacing w:before="120" w:after="120"/>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CB7CD">
    <w:pPr>
      <w:pStyle w:val="33"/>
      <w:spacing w:before="120" w:after="120"/>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49175">
    <w:pPr>
      <w:pStyle w:val="33"/>
      <w:spacing w:before="120" w:after="120"/>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1029A">
    <w:pPr>
      <w:pStyle w:val="33"/>
      <w:spacing w:before="120" w:after="120"/>
      <w:ind w:firstLine="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15DD1">
    <w:pPr>
      <w:pStyle w:val="33"/>
      <w:spacing w:before="120" w:after="120"/>
      <w:ind w:firstLine="36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53E37">
    <w:pPr>
      <w:pStyle w:val="33"/>
      <w:spacing w:before="120" w:after="120"/>
      <w:ind w:firstLine="36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04443">
    <w:pPr>
      <w:pStyle w:val="33"/>
      <w:spacing w:before="120"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960951"/>
    <w:multiLevelType w:val="multilevel"/>
    <w:tmpl w:val="C6960951"/>
    <w:lvl w:ilvl="0" w:tentative="0">
      <w:start w:val="1"/>
      <w:numFmt w:val="lowerLetter"/>
      <w:suff w:val="space"/>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18F"/>
    <w:multiLevelType w:val="multilevel"/>
    <w:tmpl w:val="0000018F"/>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36A"/>
    <w:multiLevelType w:val="multilevel"/>
    <w:tmpl w:val="0000036A"/>
    <w:lvl w:ilvl="0" w:tentative="0">
      <w:start w:val="1"/>
      <w:numFmt w:val="lowerLetter"/>
      <w:lvlText w:val="%1)"/>
      <w:lvlJc w:val="left"/>
      <w:pPr>
        <w:tabs>
          <w:tab w:val="left" w:pos="840"/>
        </w:tabs>
        <w:ind w:left="840" w:hanging="360"/>
      </w:pPr>
      <w:rPr>
        <w:rFonts w:hint="default"/>
        <w:sz w:val="21"/>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0000038A"/>
    <w:multiLevelType w:val="multilevel"/>
    <w:tmpl w:val="0000038A"/>
    <w:lvl w:ilvl="0" w:tentative="0">
      <w:start w:val="1"/>
      <w:numFmt w:val="decimal"/>
      <w:lvlText w:val="%1)"/>
      <w:lvlJc w:val="left"/>
      <w:pPr>
        <w:ind w:left="1260" w:hanging="420"/>
      </w:pPr>
      <w:rPr>
        <w:rFonts w:hint="eastAsia" w:ascii="宋体" w:hAnsi="宋体" w:eastAsia="宋体"/>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
    <w:nsid w:val="0000044D"/>
    <w:multiLevelType w:val="multilevel"/>
    <w:tmpl w:val="0000044D"/>
    <w:lvl w:ilvl="0" w:tentative="0">
      <w:start w:val="1"/>
      <w:numFmt w:val="lowerLetter"/>
      <w:lvlText w:val="%1)"/>
      <w:lvlJc w:val="left"/>
      <w:pPr>
        <w:ind w:left="829" w:hanging="420"/>
      </w:pPr>
    </w:lvl>
    <w:lvl w:ilvl="1" w:tentative="0">
      <w:start w:val="1"/>
      <w:numFmt w:val="lowerLetter"/>
      <w:pStyle w:val="932"/>
      <w:lvlText w:val="%2)"/>
      <w:lvlJc w:val="left"/>
      <w:pPr>
        <w:ind w:left="1249" w:hanging="420"/>
      </w:pPr>
    </w:lvl>
    <w:lvl w:ilvl="2" w:tentative="0">
      <w:start w:val="1"/>
      <w:numFmt w:val="lowerRoman"/>
      <w:lvlText w:val="%3."/>
      <w:lvlJc w:val="right"/>
      <w:pPr>
        <w:ind w:left="1669" w:hanging="420"/>
      </w:pPr>
    </w:lvl>
    <w:lvl w:ilvl="3" w:tentative="0">
      <w:start w:val="1"/>
      <w:numFmt w:val="decimal"/>
      <w:lvlText w:val="%4."/>
      <w:lvlJc w:val="left"/>
      <w:pPr>
        <w:ind w:left="2089" w:hanging="420"/>
      </w:pPr>
    </w:lvl>
    <w:lvl w:ilvl="4" w:tentative="0">
      <w:start w:val="1"/>
      <w:numFmt w:val="lowerLetter"/>
      <w:lvlText w:val="%5)"/>
      <w:lvlJc w:val="left"/>
      <w:pPr>
        <w:ind w:left="2509" w:hanging="420"/>
      </w:pPr>
    </w:lvl>
    <w:lvl w:ilvl="5" w:tentative="0">
      <w:start w:val="1"/>
      <w:numFmt w:val="lowerRoman"/>
      <w:lvlText w:val="%6."/>
      <w:lvlJc w:val="right"/>
      <w:pPr>
        <w:ind w:left="2929" w:hanging="420"/>
      </w:pPr>
    </w:lvl>
    <w:lvl w:ilvl="6" w:tentative="0">
      <w:start w:val="1"/>
      <w:numFmt w:val="decimal"/>
      <w:lvlText w:val="%7."/>
      <w:lvlJc w:val="left"/>
      <w:pPr>
        <w:ind w:left="3349" w:hanging="420"/>
      </w:pPr>
    </w:lvl>
    <w:lvl w:ilvl="7" w:tentative="0">
      <w:start w:val="1"/>
      <w:numFmt w:val="lowerLetter"/>
      <w:lvlText w:val="%8)"/>
      <w:lvlJc w:val="left"/>
      <w:pPr>
        <w:ind w:left="3769" w:hanging="420"/>
      </w:pPr>
    </w:lvl>
    <w:lvl w:ilvl="8" w:tentative="0">
      <w:start w:val="1"/>
      <w:numFmt w:val="lowerRoman"/>
      <w:lvlText w:val="%9."/>
      <w:lvlJc w:val="right"/>
      <w:pPr>
        <w:ind w:left="4189" w:hanging="420"/>
      </w:pPr>
    </w:lvl>
  </w:abstractNum>
  <w:abstractNum w:abstractNumId="5">
    <w:nsid w:val="000005B1"/>
    <w:multiLevelType w:val="multilevel"/>
    <w:tmpl w:val="000005B1"/>
    <w:lvl w:ilvl="0" w:tentative="0">
      <w:start w:val="1"/>
      <w:numFmt w:val="decimal"/>
      <w:lvlText w:val="%1"/>
      <w:lvlJc w:val="left"/>
      <w:pPr>
        <w:ind w:left="432" w:hanging="432"/>
      </w:pPr>
      <w:rPr>
        <w:rFonts w:hint="default" w:ascii="Arial" w:hAnsi="Arial" w:cs="Arial"/>
      </w:rPr>
    </w:lvl>
    <w:lvl w:ilvl="1" w:tentative="0">
      <w:start w:val="1"/>
      <w:numFmt w:val="decimal"/>
      <w:lvlText w:val="%1.%2"/>
      <w:lvlJc w:val="left"/>
      <w:pPr>
        <w:ind w:left="576" w:hanging="576"/>
      </w:pPr>
    </w:lvl>
    <w:lvl w:ilvl="2" w:tentative="0">
      <w:start w:val="1"/>
      <w:numFmt w:val="decimal"/>
      <w:pStyle w:val="6"/>
      <w:lvlText w:val="%1.%2.%3"/>
      <w:lvlJc w:val="left"/>
      <w:pPr>
        <w:ind w:left="720" w:hanging="720"/>
      </w:pPr>
      <w:rPr>
        <w:lang w:val="en-US"/>
      </w:rPr>
    </w:lvl>
    <w:lvl w:ilvl="3" w:tentative="0">
      <w:start w:val="1"/>
      <w:numFmt w:val="decimal"/>
      <w:pStyle w:val="7"/>
      <w:lvlText w:val="%1.%2.%3.%4"/>
      <w:lvlJc w:val="left"/>
      <w:pPr>
        <w:ind w:left="1344" w:hanging="864"/>
      </w:pPr>
    </w:lvl>
    <w:lvl w:ilvl="4" w:tentative="0">
      <w:start w:val="1"/>
      <w:numFmt w:val="decimal"/>
      <w:pStyle w:val="8"/>
      <w:lvlText w:val="%1.%2.%3.%4.%5"/>
      <w:lvlJc w:val="left"/>
      <w:pPr>
        <w:ind w:left="1008" w:hanging="1008"/>
      </w:pPr>
    </w:lvl>
    <w:lvl w:ilvl="5" w:tentative="0">
      <w:start w:val="1"/>
      <w:numFmt w:val="decimal"/>
      <w:pStyle w:val="9"/>
      <w:lvlText w:val="%1.%2.%3.%4.%5.%6"/>
      <w:lvlJc w:val="left"/>
      <w:pPr>
        <w:ind w:left="1152" w:hanging="1152"/>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decimal"/>
      <w:pStyle w:val="10"/>
      <w:lvlText w:val="%1.%2.%3.%4.%5.%6.%7"/>
      <w:lvlJc w:val="left"/>
      <w:pPr>
        <w:ind w:left="1296" w:hanging="1296"/>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6">
    <w:nsid w:val="13125480"/>
    <w:multiLevelType w:val="multilevel"/>
    <w:tmpl w:val="13125480"/>
    <w:lvl w:ilvl="0" w:tentative="0">
      <w:start w:val="1"/>
      <w:numFmt w:val="decimal"/>
      <w:suff w:val="nothing"/>
      <w:lvlText w:val="%1．"/>
      <w:lvlJc w:val="left"/>
      <w:pPr>
        <w:ind w:left="0" w:firstLine="400"/>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7">
    <w:nsid w:val="18441ABC"/>
    <w:multiLevelType w:val="multilevel"/>
    <w:tmpl w:val="18441ABC"/>
    <w:lvl w:ilvl="0" w:tentative="0">
      <w:start w:val="1"/>
      <w:numFmt w:val="lowerLetter"/>
      <w:lvlText w:val="%1)"/>
      <w:lvlJc w:val="left"/>
      <w:pPr>
        <w:ind w:left="829" w:hanging="420"/>
      </w:pPr>
    </w:lvl>
    <w:lvl w:ilvl="1" w:tentative="0">
      <w:start w:val="1"/>
      <w:numFmt w:val="lowerLetter"/>
      <w:lvlText w:val="%2)"/>
      <w:lvlJc w:val="left"/>
      <w:pPr>
        <w:ind w:left="1249" w:hanging="420"/>
      </w:pPr>
    </w:lvl>
    <w:lvl w:ilvl="2" w:tentative="0">
      <w:start w:val="1"/>
      <w:numFmt w:val="lowerRoman"/>
      <w:lvlText w:val="%3."/>
      <w:lvlJc w:val="right"/>
      <w:pPr>
        <w:ind w:left="1669" w:hanging="420"/>
      </w:pPr>
    </w:lvl>
    <w:lvl w:ilvl="3" w:tentative="0">
      <w:start w:val="1"/>
      <w:numFmt w:val="decimal"/>
      <w:lvlText w:val="%4."/>
      <w:lvlJc w:val="left"/>
      <w:pPr>
        <w:ind w:left="2089" w:hanging="420"/>
      </w:pPr>
    </w:lvl>
    <w:lvl w:ilvl="4" w:tentative="0">
      <w:start w:val="1"/>
      <w:numFmt w:val="lowerLetter"/>
      <w:lvlText w:val="%5)"/>
      <w:lvlJc w:val="left"/>
      <w:pPr>
        <w:ind w:left="2509" w:hanging="420"/>
      </w:pPr>
    </w:lvl>
    <w:lvl w:ilvl="5" w:tentative="0">
      <w:start w:val="1"/>
      <w:numFmt w:val="lowerRoman"/>
      <w:lvlText w:val="%6."/>
      <w:lvlJc w:val="right"/>
      <w:pPr>
        <w:ind w:left="2929" w:hanging="420"/>
      </w:pPr>
    </w:lvl>
    <w:lvl w:ilvl="6" w:tentative="0">
      <w:start w:val="1"/>
      <w:numFmt w:val="decimal"/>
      <w:lvlText w:val="%7."/>
      <w:lvlJc w:val="left"/>
      <w:pPr>
        <w:ind w:left="3349" w:hanging="420"/>
      </w:pPr>
    </w:lvl>
    <w:lvl w:ilvl="7" w:tentative="0">
      <w:start w:val="1"/>
      <w:numFmt w:val="lowerLetter"/>
      <w:lvlText w:val="%8)"/>
      <w:lvlJc w:val="left"/>
      <w:pPr>
        <w:ind w:left="3769" w:hanging="420"/>
      </w:pPr>
    </w:lvl>
    <w:lvl w:ilvl="8" w:tentative="0">
      <w:start w:val="1"/>
      <w:numFmt w:val="lowerRoman"/>
      <w:lvlText w:val="%9."/>
      <w:lvlJc w:val="right"/>
      <w:pPr>
        <w:ind w:left="4189" w:hanging="420"/>
      </w:pPr>
    </w:lvl>
  </w:abstractNum>
  <w:abstractNum w:abstractNumId="8">
    <w:nsid w:val="2093579E"/>
    <w:multiLevelType w:val="multilevel"/>
    <w:tmpl w:val="2093579E"/>
    <w:lvl w:ilvl="0" w:tentative="0">
      <w:start w:val="1"/>
      <w:numFmt w:val="lowerLetter"/>
      <w:suff w:val="space"/>
      <w:lvlText w:val="%1)"/>
      <w:lvlJc w:val="left"/>
      <w:pPr>
        <w:ind w:left="846" w:hanging="420"/>
      </w:pPr>
      <w:rPr>
        <w:rFonts w:hint="default" w:ascii="Times New Roman" w:hAnsi="Times New Roman" w:cs="Times New Roman"/>
      </w:rPr>
    </w:lvl>
    <w:lvl w:ilvl="1" w:tentative="0">
      <w:start w:val="1"/>
      <w:numFmt w:val="bullet"/>
      <w:lvlText w:val=""/>
      <w:lvlJc w:val="left"/>
      <w:pPr>
        <w:ind w:left="1266" w:hanging="420"/>
      </w:pPr>
      <w:rPr>
        <w:rFonts w:hint="default" w:ascii="Wingdings" w:hAnsi="Wingdings"/>
      </w:rPr>
    </w:lvl>
    <w:lvl w:ilvl="2" w:tentative="0">
      <w:start w:val="1"/>
      <w:numFmt w:val="bullet"/>
      <w:lvlText w:val=""/>
      <w:lvlJc w:val="left"/>
      <w:pPr>
        <w:ind w:left="1686" w:hanging="420"/>
      </w:pPr>
      <w:rPr>
        <w:rFonts w:hint="default" w:ascii="Wingdings" w:hAnsi="Wingdings"/>
      </w:rPr>
    </w:lvl>
    <w:lvl w:ilvl="3" w:tentative="0">
      <w:start w:val="1"/>
      <w:numFmt w:val="bullet"/>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9">
    <w:nsid w:val="28BF12BD"/>
    <w:multiLevelType w:val="singleLevel"/>
    <w:tmpl w:val="28BF12BD"/>
    <w:lvl w:ilvl="0" w:tentative="0">
      <w:start w:val="1"/>
      <w:numFmt w:val="lowerLetter"/>
      <w:lvlText w:val="%1)"/>
      <w:lvlJc w:val="left"/>
      <w:pPr>
        <w:tabs>
          <w:tab w:val="left" w:pos="312"/>
        </w:tabs>
      </w:pPr>
    </w:lvl>
  </w:abstractNum>
  <w:abstractNum w:abstractNumId="10">
    <w:nsid w:val="3034177D"/>
    <w:multiLevelType w:val="multilevel"/>
    <w:tmpl w:val="3034177D"/>
    <w:lvl w:ilvl="0" w:tentative="0">
      <w:start w:val="1"/>
      <w:numFmt w:val="decimal"/>
      <w:suff w:val="nothing"/>
      <w:lvlText w:val="%1．"/>
      <w:lvlJc w:val="left"/>
      <w:pPr>
        <w:ind w:left="0" w:firstLine="400"/>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1">
    <w:nsid w:val="361B6C4C"/>
    <w:multiLevelType w:val="multilevel"/>
    <w:tmpl w:val="361B6C4C"/>
    <w:lvl w:ilvl="0" w:tentative="0">
      <w:start w:val="1"/>
      <w:numFmt w:val="lowerLetter"/>
      <w:lvlText w:val="%1)"/>
      <w:lvlJc w:val="left"/>
      <w:pPr>
        <w:ind w:left="829" w:hanging="420"/>
      </w:pPr>
    </w:lvl>
    <w:lvl w:ilvl="1" w:tentative="0">
      <w:start w:val="1"/>
      <w:numFmt w:val="lowerLetter"/>
      <w:lvlText w:val="%2)"/>
      <w:lvlJc w:val="left"/>
      <w:pPr>
        <w:ind w:left="1249" w:hanging="420"/>
      </w:pPr>
    </w:lvl>
    <w:lvl w:ilvl="2" w:tentative="0">
      <w:start w:val="1"/>
      <w:numFmt w:val="lowerRoman"/>
      <w:lvlText w:val="%3."/>
      <w:lvlJc w:val="right"/>
      <w:pPr>
        <w:ind w:left="1669" w:hanging="420"/>
      </w:pPr>
    </w:lvl>
    <w:lvl w:ilvl="3" w:tentative="0">
      <w:start w:val="1"/>
      <w:numFmt w:val="decimal"/>
      <w:lvlText w:val="%4."/>
      <w:lvlJc w:val="left"/>
      <w:pPr>
        <w:ind w:left="2089" w:hanging="420"/>
      </w:pPr>
    </w:lvl>
    <w:lvl w:ilvl="4" w:tentative="0">
      <w:start w:val="1"/>
      <w:numFmt w:val="lowerLetter"/>
      <w:lvlText w:val="%5)"/>
      <w:lvlJc w:val="left"/>
      <w:pPr>
        <w:ind w:left="2509" w:hanging="420"/>
      </w:pPr>
    </w:lvl>
    <w:lvl w:ilvl="5" w:tentative="0">
      <w:start w:val="1"/>
      <w:numFmt w:val="lowerRoman"/>
      <w:lvlText w:val="%6."/>
      <w:lvlJc w:val="right"/>
      <w:pPr>
        <w:ind w:left="2929" w:hanging="420"/>
      </w:pPr>
    </w:lvl>
    <w:lvl w:ilvl="6" w:tentative="0">
      <w:start w:val="1"/>
      <w:numFmt w:val="decimal"/>
      <w:lvlText w:val="%7."/>
      <w:lvlJc w:val="left"/>
      <w:pPr>
        <w:ind w:left="3349" w:hanging="420"/>
      </w:pPr>
    </w:lvl>
    <w:lvl w:ilvl="7" w:tentative="0">
      <w:start w:val="1"/>
      <w:numFmt w:val="lowerLetter"/>
      <w:lvlText w:val="%8)"/>
      <w:lvlJc w:val="left"/>
      <w:pPr>
        <w:ind w:left="3769" w:hanging="420"/>
      </w:pPr>
    </w:lvl>
    <w:lvl w:ilvl="8" w:tentative="0">
      <w:start w:val="1"/>
      <w:numFmt w:val="lowerRoman"/>
      <w:lvlText w:val="%9."/>
      <w:lvlJc w:val="right"/>
      <w:pPr>
        <w:ind w:left="4189" w:hanging="420"/>
      </w:pPr>
    </w:lvl>
  </w:abstractNum>
  <w:abstractNum w:abstractNumId="12">
    <w:nsid w:val="397D236F"/>
    <w:multiLevelType w:val="multilevel"/>
    <w:tmpl w:val="397D236F"/>
    <w:lvl w:ilvl="0" w:tentative="0">
      <w:start w:val="1"/>
      <w:numFmt w:val="lowerLetter"/>
      <w:suff w:val="space"/>
      <w:lvlText w:val="%1)"/>
      <w:lvlJc w:val="left"/>
      <w:pPr>
        <w:ind w:left="846" w:hanging="420"/>
      </w:pPr>
      <w:rPr>
        <w:rFonts w:hint="default" w:ascii="Times New Roman" w:hAnsi="Times New Roman" w:cs="Times New Roman"/>
      </w:rPr>
    </w:lvl>
    <w:lvl w:ilvl="1" w:tentative="0">
      <w:start w:val="1"/>
      <w:numFmt w:val="bullet"/>
      <w:lvlText w:val=""/>
      <w:lvlJc w:val="left"/>
      <w:pPr>
        <w:ind w:left="1266" w:hanging="420"/>
      </w:pPr>
      <w:rPr>
        <w:rFonts w:hint="default" w:ascii="Wingdings" w:hAnsi="Wingdings"/>
      </w:rPr>
    </w:lvl>
    <w:lvl w:ilvl="2" w:tentative="0">
      <w:start w:val="1"/>
      <w:numFmt w:val="bullet"/>
      <w:lvlText w:val=""/>
      <w:lvlJc w:val="left"/>
      <w:pPr>
        <w:ind w:left="1686" w:hanging="420"/>
      </w:pPr>
      <w:rPr>
        <w:rFonts w:hint="default" w:ascii="Wingdings" w:hAnsi="Wingdings"/>
      </w:rPr>
    </w:lvl>
    <w:lvl w:ilvl="3" w:tentative="0">
      <w:start w:val="1"/>
      <w:numFmt w:val="bullet"/>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13">
    <w:nsid w:val="3B781E7B"/>
    <w:multiLevelType w:val="multilevel"/>
    <w:tmpl w:val="3B781E7B"/>
    <w:lvl w:ilvl="0" w:tentative="0">
      <w:start w:val="1"/>
      <w:numFmt w:val="lowerLetter"/>
      <w:suff w:val="space"/>
      <w:lvlText w:val="%1)"/>
      <w:lvlJc w:val="left"/>
      <w:pPr>
        <w:ind w:left="846" w:hanging="420"/>
      </w:pPr>
      <w:rPr>
        <w:rFonts w:hint="default" w:ascii="Times New Roman" w:hAnsi="Times New Roman" w:cs="Times New Roman"/>
      </w:rPr>
    </w:lvl>
    <w:lvl w:ilvl="1" w:tentative="0">
      <w:start w:val="1"/>
      <w:numFmt w:val="bullet"/>
      <w:lvlText w:val=""/>
      <w:lvlJc w:val="left"/>
      <w:pPr>
        <w:ind w:left="1266" w:hanging="420"/>
      </w:pPr>
      <w:rPr>
        <w:rFonts w:hint="default" w:ascii="Wingdings" w:hAnsi="Wingdings"/>
      </w:rPr>
    </w:lvl>
    <w:lvl w:ilvl="2" w:tentative="0">
      <w:start w:val="1"/>
      <w:numFmt w:val="bullet"/>
      <w:lvlText w:val=""/>
      <w:lvlJc w:val="left"/>
      <w:pPr>
        <w:ind w:left="1686" w:hanging="420"/>
      </w:pPr>
      <w:rPr>
        <w:rFonts w:hint="default" w:ascii="Wingdings" w:hAnsi="Wingdings"/>
      </w:rPr>
    </w:lvl>
    <w:lvl w:ilvl="3" w:tentative="0">
      <w:start w:val="1"/>
      <w:numFmt w:val="bullet"/>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14">
    <w:nsid w:val="3FD21FE3"/>
    <w:multiLevelType w:val="multilevel"/>
    <w:tmpl w:val="3FD21FE3"/>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1.%2."/>
      <w:lvlJc w:val="left"/>
      <w:pPr>
        <w:ind w:left="850" w:hanging="453"/>
      </w:pPr>
      <w:rPr>
        <w:rFonts w:hint="default" w:ascii="Times New Roman" w:hAnsi="Times New Roman" w:cs="Times New Roman"/>
      </w:rPr>
    </w:lvl>
    <w:lvl w:ilvl="2" w:tentative="0">
      <w:start w:val="1"/>
      <w:numFmt w:val="decimal"/>
      <w:lvlText w:val="%1.%2.%3."/>
      <w:lvlJc w:val="left"/>
      <w:pPr>
        <w:ind w:left="1508" w:hanging="708"/>
      </w:pPr>
      <w:rPr>
        <w:rFonts w:hint="default" w:ascii="Times New Roman" w:hAnsi="Times New Roman" w:cs="Times New Roman"/>
      </w:rPr>
    </w:lvl>
    <w:lvl w:ilvl="3" w:tentative="0">
      <w:start w:val="1"/>
      <w:numFmt w:val="decimal"/>
      <w:lvlText w:val="%1.%2.%3.%4."/>
      <w:lvlJc w:val="left"/>
      <w:pPr>
        <w:ind w:left="853" w:hanging="853"/>
      </w:pPr>
      <w:rPr>
        <w:rFonts w:hint="default" w:ascii="Times New Roman" w:hAnsi="Times New Roman" w:cs="Times New Roman"/>
        <w:b/>
        <w:bCs/>
      </w:rPr>
    </w:lvl>
    <w:lvl w:ilvl="4" w:tentative="0">
      <w:start w:val="1"/>
      <w:numFmt w:val="decimal"/>
      <w:lvlText w:val="%1.%2.%3.%4.%5."/>
      <w:lvlJc w:val="left"/>
      <w:pPr>
        <w:ind w:left="895" w:hanging="895"/>
      </w:pPr>
      <w:rPr>
        <w:rFonts w:hint="default" w:ascii="Times New Roman" w:hAnsi="Times New Roman" w:cs="Times New Roman"/>
        <w:b/>
        <w:bCs w:val="0"/>
      </w:rPr>
    </w:lvl>
    <w:lvl w:ilvl="5" w:tentative="0">
      <w:start w:val="1"/>
      <w:numFmt w:val="bullet"/>
      <w:lvlText w:val=""/>
      <w:lvlJc w:val="left"/>
      <w:pPr>
        <w:ind w:left="2440" w:hanging="440"/>
      </w:pPr>
      <w:rPr>
        <w:rFonts w:hint="default" w:ascii="Wingdings" w:hAnsi="Wingdings"/>
      </w:rPr>
    </w:lvl>
    <w:lvl w:ilvl="6" w:tentative="0">
      <w:start w:val="1"/>
      <w:numFmt w:val="decimal"/>
      <w:lvlText w:val="%1.%2.%3.%4.%5.%6.%7."/>
      <w:lvlJc w:val="left"/>
      <w:pPr>
        <w:ind w:left="3673" w:hanging="1273"/>
      </w:pPr>
      <w:rPr>
        <w:rFonts w:hint="default" w:ascii="Times New Roman" w:hAnsi="Times New Roman" w:cs="Times New Roman"/>
      </w:rPr>
    </w:lvl>
    <w:lvl w:ilvl="7" w:tentative="0">
      <w:start w:val="1"/>
      <w:numFmt w:val="decimal"/>
      <w:lvlText w:val="%1.%2.%3.%4.%5.%6.%7.%8."/>
      <w:lvlJc w:val="left"/>
      <w:pPr>
        <w:ind w:left="4218" w:hanging="1418"/>
      </w:pPr>
      <w:rPr>
        <w:rFonts w:hint="default" w:ascii="Times New Roman" w:hAnsi="Times New Roman" w:cs="Times New Roman"/>
      </w:rPr>
    </w:lvl>
    <w:lvl w:ilvl="8" w:tentative="0">
      <w:start w:val="1"/>
      <w:numFmt w:val="decimal"/>
      <w:lvlText w:val="%1.%2.%3.%4.%5.%6.%7.%8.%9."/>
      <w:lvlJc w:val="left"/>
      <w:pPr>
        <w:ind w:left="4648" w:hanging="1448"/>
      </w:pPr>
      <w:rPr>
        <w:rFonts w:hint="default" w:ascii="Times New Roman" w:hAnsi="Times New Roman" w:cs="Times New Roman"/>
      </w:rPr>
    </w:lvl>
  </w:abstractNum>
  <w:abstractNum w:abstractNumId="15">
    <w:nsid w:val="4F9D09AB"/>
    <w:multiLevelType w:val="multilevel"/>
    <w:tmpl w:val="4F9D09AB"/>
    <w:lvl w:ilvl="0" w:tentative="0">
      <w:start w:val="1"/>
      <w:numFmt w:val="lowerLetter"/>
      <w:suff w:val="space"/>
      <w:lvlText w:val="%1)"/>
      <w:lvlJc w:val="left"/>
      <w:pPr>
        <w:ind w:left="900" w:hanging="420"/>
      </w:pPr>
      <w:rPr>
        <w:rFonts w:hint="default" w:ascii="Times New Roman" w:hAnsi="Times New Roman" w:cs="Times New Roman"/>
      </w:rPr>
    </w:lvl>
    <w:lvl w:ilvl="1" w:tentative="0">
      <w:start w:val="1"/>
      <w:numFmt w:val="lowerLetter"/>
      <w:lvlText w:val="%2)"/>
      <w:lvlJc w:val="left"/>
      <w:pPr>
        <w:ind w:left="1320" w:hanging="420"/>
      </w:pPr>
      <w:rPr>
        <w:rFonts w:hint="default" w:ascii="Times New Roman" w:hAnsi="Times New Roman" w:cs="Times New Roman"/>
      </w:rPr>
    </w:lvl>
    <w:lvl w:ilvl="2" w:tentative="0">
      <w:start w:val="1"/>
      <w:numFmt w:val="lowerRoman"/>
      <w:lvlText w:val="%3."/>
      <w:lvlJc w:val="right"/>
      <w:pPr>
        <w:ind w:left="1740" w:hanging="420"/>
      </w:pPr>
      <w:rPr>
        <w:rFonts w:hint="default" w:ascii="Times New Roman" w:hAnsi="Times New Roman" w:cs="Times New Roman"/>
      </w:rPr>
    </w:lvl>
    <w:lvl w:ilvl="3" w:tentative="0">
      <w:start w:val="1"/>
      <w:numFmt w:val="decimal"/>
      <w:lvlText w:val="%4."/>
      <w:lvlJc w:val="left"/>
      <w:pPr>
        <w:ind w:left="2160" w:hanging="420"/>
      </w:pPr>
      <w:rPr>
        <w:rFonts w:hint="default" w:ascii="Times New Roman" w:hAnsi="Times New Roman" w:cs="Times New Roman"/>
      </w:rPr>
    </w:lvl>
    <w:lvl w:ilvl="4" w:tentative="0">
      <w:start w:val="1"/>
      <w:numFmt w:val="lowerLetter"/>
      <w:lvlText w:val="%5)"/>
      <w:lvlJc w:val="left"/>
      <w:pPr>
        <w:ind w:left="2580" w:hanging="420"/>
      </w:pPr>
      <w:rPr>
        <w:rFonts w:hint="default" w:ascii="Times New Roman" w:hAnsi="Times New Roman" w:cs="Times New Roman"/>
      </w:rPr>
    </w:lvl>
    <w:lvl w:ilvl="5" w:tentative="0">
      <w:start w:val="1"/>
      <w:numFmt w:val="lowerRoman"/>
      <w:lvlText w:val="%6."/>
      <w:lvlJc w:val="right"/>
      <w:pPr>
        <w:ind w:left="3000" w:hanging="420"/>
      </w:pPr>
      <w:rPr>
        <w:rFonts w:hint="default" w:ascii="Times New Roman" w:hAnsi="Times New Roman" w:cs="Times New Roman"/>
      </w:rPr>
    </w:lvl>
    <w:lvl w:ilvl="6" w:tentative="0">
      <w:start w:val="1"/>
      <w:numFmt w:val="decimal"/>
      <w:lvlText w:val="%7."/>
      <w:lvlJc w:val="left"/>
      <w:pPr>
        <w:ind w:left="3420" w:hanging="420"/>
      </w:pPr>
      <w:rPr>
        <w:rFonts w:hint="default" w:ascii="Times New Roman" w:hAnsi="Times New Roman" w:cs="Times New Roman"/>
      </w:rPr>
    </w:lvl>
    <w:lvl w:ilvl="7" w:tentative="0">
      <w:start w:val="1"/>
      <w:numFmt w:val="lowerLetter"/>
      <w:lvlText w:val="%8)"/>
      <w:lvlJc w:val="left"/>
      <w:pPr>
        <w:ind w:left="3840" w:hanging="420"/>
      </w:pPr>
      <w:rPr>
        <w:rFonts w:hint="default" w:ascii="Times New Roman" w:hAnsi="Times New Roman" w:cs="Times New Roman"/>
      </w:rPr>
    </w:lvl>
    <w:lvl w:ilvl="8" w:tentative="0">
      <w:start w:val="1"/>
      <w:numFmt w:val="lowerRoman"/>
      <w:lvlText w:val="%9."/>
      <w:lvlJc w:val="right"/>
      <w:pPr>
        <w:ind w:left="4260" w:hanging="420"/>
      </w:pPr>
      <w:rPr>
        <w:rFonts w:hint="default" w:ascii="Times New Roman" w:hAnsi="Times New Roman" w:cs="Times New Roman"/>
      </w:rPr>
    </w:lvl>
  </w:abstractNum>
  <w:abstractNum w:abstractNumId="16">
    <w:nsid w:val="61FF3BC7"/>
    <w:multiLevelType w:val="multilevel"/>
    <w:tmpl w:val="61FF3BC7"/>
    <w:lvl w:ilvl="0" w:tentative="0">
      <w:start w:val="1"/>
      <w:numFmt w:val="decimal"/>
      <w:lvlText w:val="%1)"/>
      <w:lvlJc w:val="left"/>
      <w:pPr>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7">
    <w:nsid w:val="69286A85"/>
    <w:multiLevelType w:val="multilevel"/>
    <w:tmpl w:val="69286A85"/>
    <w:lvl w:ilvl="0" w:tentative="0">
      <w:start w:val="1"/>
      <w:numFmt w:val="lowerLetter"/>
      <w:lvlText w:val="%1)"/>
      <w:lvlJc w:val="left"/>
      <w:pPr>
        <w:ind w:left="829" w:hanging="420"/>
      </w:pPr>
    </w:lvl>
    <w:lvl w:ilvl="1" w:tentative="0">
      <w:start w:val="1"/>
      <w:numFmt w:val="lowerLetter"/>
      <w:lvlText w:val="%2)"/>
      <w:lvlJc w:val="left"/>
      <w:pPr>
        <w:ind w:left="1249" w:hanging="420"/>
      </w:pPr>
    </w:lvl>
    <w:lvl w:ilvl="2" w:tentative="0">
      <w:start w:val="1"/>
      <w:numFmt w:val="lowerRoman"/>
      <w:lvlText w:val="%3."/>
      <w:lvlJc w:val="right"/>
      <w:pPr>
        <w:ind w:left="1669" w:hanging="420"/>
      </w:pPr>
    </w:lvl>
    <w:lvl w:ilvl="3" w:tentative="0">
      <w:start w:val="1"/>
      <w:numFmt w:val="decimal"/>
      <w:lvlText w:val="%4."/>
      <w:lvlJc w:val="left"/>
      <w:pPr>
        <w:ind w:left="2089" w:hanging="420"/>
      </w:pPr>
    </w:lvl>
    <w:lvl w:ilvl="4" w:tentative="0">
      <w:start w:val="1"/>
      <w:numFmt w:val="lowerLetter"/>
      <w:lvlText w:val="%5)"/>
      <w:lvlJc w:val="left"/>
      <w:pPr>
        <w:ind w:left="2509" w:hanging="420"/>
      </w:pPr>
    </w:lvl>
    <w:lvl w:ilvl="5" w:tentative="0">
      <w:start w:val="1"/>
      <w:numFmt w:val="lowerRoman"/>
      <w:lvlText w:val="%6."/>
      <w:lvlJc w:val="right"/>
      <w:pPr>
        <w:ind w:left="2929" w:hanging="420"/>
      </w:pPr>
    </w:lvl>
    <w:lvl w:ilvl="6" w:tentative="0">
      <w:start w:val="1"/>
      <w:numFmt w:val="decimal"/>
      <w:lvlText w:val="%7."/>
      <w:lvlJc w:val="left"/>
      <w:pPr>
        <w:ind w:left="3349" w:hanging="420"/>
      </w:pPr>
    </w:lvl>
    <w:lvl w:ilvl="7" w:tentative="0">
      <w:start w:val="1"/>
      <w:numFmt w:val="lowerLetter"/>
      <w:lvlText w:val="%8)"/>
      <w:lvlJc w:val="left"/>
      <w:pPr>
        <w:ind w:left="3769" w:hanging="420"/>
      </w:pPr>
    </w:lvl>
    <w:lvl w:ilvl="8" w:tentative="0">
      <w:start w:val="1"/>
      <w:numFmt w:val="lowerRoman"/>
      <w:lvlText w:val="%9."/>
      <w:lvlJc w:val="right"/>
      <w:pPr>
        <w:ind w:left="4189" w:hanging="420"/>
      </w:pPr>
    </w:lvl>
  </w:abstractNum>
  <w:abstractNum w:abstractNumId="18">
    <w:nsid w:val="6A9F2F9C"/>
    <w:multiLevelType w:val="multilevel"/>
    <w:tmpl w:val="6A9F2F9C"/>
    <w:lvl w:ilvl="0" w:tentative="0">
      <w:start w:val="1"/>
      <w:numFmt w:val="decimal"/>
      <w:lvlText w:val="5.%1、"/>
      <w:lvlJc w:val="left"/>
      <w:pPr>
        <w:ind w:left="420" w:hanging="42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rPr>
        <w:rFonts w:hint="eastAsia" w:ascii="宋体" w:hAnsi="宋体" w:eastAsia="宋体"/>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7A0779A"/>
    <w:multiLevelType w:val="multilevel"/>
    <w:tmpl w:val="77A0779A"/>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79D6545E"/>
    <w:multiLevelType w:val="multilevel"/>
    <w:tmpl w:val="79D6545E"/>
    <w:lvl w:ilvl="0" w:tentative="0">
      <w:start w:val="1"/>
      <w:numFmt w:val="lowerLetter"/>
      <w:lvlText w:val="%1)"/>
      <w:lvlJc w:val="left"/>
      <w:pPr>
        <w:ind w:left="922" w:hanging="440"/>
      </w:pPr>
      <w:rPr>
        <w:rFonts w:hint="eastAsia"/>
      </w:rPr>
    </w:lvl>
    <w:lvl w:ilvl="1" w:tentative="0">
      <w:start w:val="1"/>
      <w:numFmt w:val="lowerLetter"/>
      <w:lvlText w:val="%2)"/>
      <w:lvlJc w:val="left"/>
      <w:pPr>
        <w:ind w:left="1362" w:hanging="440"/>
      </w:pPr>
    </w:lvl>
    <w:lvl w:ilvl="2" w:tentative="0">
      <w:start w:val="1"/>
      <w:numFmt w:val="lowerRoman"/>
      <w:lvlText w:val="%3."/>
      <w:lvlJc w:val="right"/>
      <w:pPr>
        <w:ind w:left="1802" w:hanging="440"/>
      </w:pPr>
    </w:lvl>
    <w:lvl w:ilvl="3" w:tentative="0">
      <w:start w:val="1"/>
      <w:numFmt w:val="decimal"/>
      <w:lvlText w:val="%4."/>
      <w:lvlJc w:val="left"/>
      <w:pPr>
        <w:ind w:left="2242" w:hanging="440"/>
      </w:pPr>
    </w:lvl>
    <w:lvl w:ilvl="4" w:tentative="0">
      <w:start w:val="1"/>
      <w:numFmt w:val="lowerLetter"/>
      <w:lvlText w:val="%5)"/>
      <w:lvlJc w:val="left"/>
      <w:pPr>
        <w:ind w:left="2682" w:hanging="440"/>
      </w:pPr>
    </w:lvl>
    <w:lvl w:ilvl="5" w:tentative="0">
      <w:start w:val="1"/>
      <w:numFmt w:val="lowerRoman"/>
      <w:lvlText w:val="%6."/>
      <w:lvlJc w:val="right"/>
      <w:pPr>
        <w:ind w:left="3122" w:hanging="440"/>
      </w:pPr>
    </w:lvl>
    <w:lvl w:ilvl="6" w:tentative="0">
      <w:start w:val="1"/>
      <w:numFmt w:val="decimal"/>
      <w:lvlText w:val="%7."/>
      <w:lvlJc w:val="left"/>
      <w:pPr>
        <w:ind w:left="3562" w:hanging="440"/>
      </w:pPr>
    </w:lvl>
    <w:lvl w:ilvl="7" w:tentative="0">
      <w:start w:val="1"/>
      <w:numFmt w:val="lowerLetter"/>
      <w:lvlText w:val="%8)"/>
      <w:lvlJc w:val="left"/>
      <w:pPr>
        <w:ind w:left="4002" w:hanging="440"/>
      </w:pPr>
    </w:lvl>
    <w:lvl w:ilvl="8" w:tentative="0">
      <w:start w:val="1"/>
      <w:numFmt w:val="lowerRoman"/>
      <w:lvlText w:val="%9."/>
      <w:lvlJc w:val="right"/>
      <w:pPr>
        <w:ind w:left="4442" w:hanging="440"/>
      </w:pPr>
    </w:lvl>
  </w:abstractNum>
  <w:num w:numId="1">
    <w:abstractNumId w:val="5"/>
  </w:num>
  <w:num w:numId="2">
    <w:abstractNumId w:val="4"/>
  </w:num>
  <w:num w:numId="3">
    <w:abstractNumId w:val="1"/>
  </w:num>
  <w:num w:numId="4">
    <w:abstractNumId w:val="19"/>
  </w:num>
  <w:num w:numId="5">
    <w:abstractNumId w:val="3"/>
  </w:num>
  <w:num w:numId="6">
    <w:abstractNumId w:val="2"/>
  </w:num>
  <w:num w:numId="7">
    <w:abstractNumId w:val="16"/>
  </w:num>
  <w:num w:numId="8">
    <w:abstractNumId w:val="14"/>
  </w:num>
  <w:num w:numId="9">
    <w:abstractNumId w:val="13"/>
    <w:lvlOverride w:ilvl="0">
      <w:startOverride w:val="1"/>
    </w:lvlOverride>
  </w:num>
  <w:num w:numId="10">
    <w:abstractNumId w:val="12"/>
    <w:lvlOverride w:ilvl="0">
      <w:startOverride w:val="1"/>
    </w:lvlOverride>
  </w:num>
  <w:num w:numId="11">
    <w:abstractNumId w:val="8"/>
    <w:lvlOverride w:ilvl="0">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20"/>
  </w:num>
  <w:num w:numId="15">
    <w:abstractNumId w:val="0"/>
  </w:num>
  <w:num w:numId="16">
    <w:abstractNumId w:val="18"/>
  </w:num>
  <w:num w:numId="17">
    <w:abstractNumId w:val="6"/>
  </w:num>
  <w:num w:numId="18">
    <w:abstractNumId w:val="10"/>
  </w:num>
  <w:num w:numId="19">
    <w:abstractNumId w:val="7"/>
  </w:num>
  <w:num w:numId="20">
    <w:abstractNumId w:val="1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numRestart w:val="eachPage"/>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VhYjIwYTFkMDUyN2RmOGI2OTNiMWRjYmY5MjBlYTUifQ=="/>
  </w:docVars>
  <w:rsids>
    <w:rsidRoot w:val="00172A27"/>
    <w:rsid w:val="00003EA6"/>
    <w:rsid w:val="00004939"/>
    <w:rsid w:val="00005CAF"/>
    <w:rsid w:val="00007926"/>
    <w:rsid w:val="0001048A"/>
    <w:rsid w:val="00010ACA"/>
    <w:rsid w:val="00011F77"/>
    <w:rsid w:val="00014D2D"/>
    <w:rsid w:val="00015913"/>
    <w:rsid w:val="00017EB0"/>
    <w:rsid w:val="00020126"/>
    <w:rsid w:val="00023317"/>
    <w:rsid w:val="00025102"/>
    <w:rsid w:val="000261A5"/>
    <w:rsid w:val="00026EE1"/>
    <w:rsid w:val="000276FB"/>
    <w:rsid w:val="00030F94"/>
    <w:rsid w:val="0003273F"/>
    <w:rsid w:val="00035A13"/>
    <w:rsid w:val="00035EF7"/>
    <w:rsid w:val="00036339"/>
    <w:rsid w:val="00040D2B"/>
    <w:rsid w:val="00041DFD"/>
    <w:rsid w:val="0004478A"/>
    <w:rsid w:val="00044911"/>
    <w:rsid w:val="0004623F"/>
    <w:rsid w:val="000508DC"/>
    <w:rsid w:val="00060907"/>
    <w:rsid w:val="00060D8A"/>
    <w:rsid w:val="00061BC9"/>
    <w:rsid w:val="000632AC"/>
    <w:rsid w:val="0006749D"/>
    <w:rsid w:val="0007069A"/>
    <w:rsid w:val="000741D2"/>
    <w:rsid w:val="00076A31"/>
    <w:rsid w:val="00077150"/>
    <w:rsid w:val="0007774F"/>
    <w:rsid w:val="000804E7"/>
    <w:rsid w:val="00080AB2"/>
    <w:rsid w:val="00081506"/>
    <w:rsid w:val="000921BB"/>
    <w:rsid w:val="000924D6"/>
    <w:rsid w:val="000940D3"/>
    <w:rsid w:val="00094220"/>
    <w:rsid w:val="00095E7C"/>
    <w:rsid w:val="00096614"/>
    <w:rsid w:val="00097496"/>
    <w:rsid w:val="000A1796"/>
    <w:rsid w:val="000A1984"/>
    <w:rsid w:val="000A3AE7"/>
    <w:rsid w:val="000A52FA"/>
    <w:rsid w:val="000B5123"/>
    <w:rsid w:val="000C09E7"/>
    <w:rsid w:val="000C1F10"/>
    <w:rsid w:val="000C3474"/>
    <w:rsid w:val="000C5C19"/>
    <w:rsid w:val="000C6A96"/>
    <w:rsid w:val="000D18E5"/>
    <w:rsid w:val="000D2B96"/>
    <w:rsid w:val="000D73E7"/>
    <w:rsid w:val="000E13C5"/>
    <w:rsid w:val="000E1AE1"/>
    <w:rsid w:val="000E441F"/>
    <w:rsid w:val="000E49F6"/>
    <w:rsid w:val="000E6E52"/>
    <w:rsid w:val="000F11FC"/>
    <w:rsid w:val="000F6F24"/>
    <w:rsid w:val="000F7AA0"/>
    <w:rsid w:val="00101B87"/>
    <w:rsid w:val="0010357D"/>
    <w:rsid w:val="001053E2"/>
    <w:rsid w:val="0010783B"/>
    <w:rsid w:val="00110367"/>
    <w:rsid w:val="001106C8"/>
    <w:rsid w:val="00111583"/>
    <w:rsid w:val="0011232D"/>
    <w:rsid w:val="00123943"/>
    <w:rsid w:val="00124833"/>
    <w:rsid w:val="0012633D"/>
    <w:rsid w:val="00127FF4"/>
    <w:rsid w:val="00132469"/>
    <w:rsid w:val="00135F6E"/>
    <w:rsid w:val="00135FA7"/>
    <w:rsid w:val="00136391"/>
    <w:rsid w:val="00144572"/>
    <w:rsid w:val="00145A71"/>
    <w:rsid w:val="0015520E"/>
    <w:rsid w:val="00155BCA"/>
    <w:rsid w:val="00164066"/>
    <w:rsid w:val="00165163"/>
    <w:rsid w:val="00165514"/>
    <w:rsid w:val="00166801"/>
    <w:rsid w:val="00166E21"/>
    <w:rsid w:val="001703A6"/>
    <w:rsid w:val="0017098B"/>
    <w:rsid w:val="00172A27"/>
    <w:rsid w:val="0017313C"/>
    <w:rsid w:val="00173B1A"/>
    <w:rsid w:val="00175A18"/>
    <w:rsid w:val="001808E9"/>
    <w:rsid w:val="00181563"/>
    <w:rsid w:val="00181FFD"/>
    <w:rsid w:val="00183764"/>
    <w:rsid w:val="001838E2"/>
    <w:rsid w:val="00194916"/>
    <w:rsid w:val="001962EA"/>
    <w:rsid w:val="001965B7"/>
    <w:rsid w:val="00197E53"/>
    <w:rsid w:val="001A1CBD"/>
    <w:rsid w:val="001A509B"/>
    <w:rsid w:val="001A56AB"/>
    <w:rsid w:val="001A5F52"/>
    <w:rsid w:val="001B1E75"/>
    <w:rsid w:val="001B2B90"/>
    <w:rsid w:val="001B3E4E"/>
    <w:rsid w:val="001C0F59"/>
    <w:rsid w:val="001C24A5"/>
    <w:rsid w:val="001C48DA"/>
    <w:rsid w:val="001C4FBA"/>
    <w:rsid w:val="001C5E1D"/>
    <w:rsid w:val="001C6EEB"/>
    <w:rsid w:val="001C7F5F"/>
    <w:rsid w:val="001D3B8F"/>
    <w:rsid w:val="001E04C7"/>
    <w:rsid w:val="001E0978"/>
    <w:rsid w:val="001E5B0A"/>
    <w:rsid w:val="001F244C"/>
    <w:rsid w:val="001F2D03"/>
    <w:rsid w:val="001F3301"/>
    <w:rsid w:val="001F459B"/>
    <w:rsid w:val="001F7570"/>
    <w:rsid w:val="00200A74"/>
    <w:rsid w:val="00207AA3"/>
    <w:rsid w:val="00210381"/>
    <w:rsid w:val="002139BB"/>
    <w:rsid w:val="00220E01"/>
    <w:rsid w:val="002227FF"/>
    <w:rsid w:val="00226BBC"/>
    <w:rsid w:val="00230F1D"/>
    <w:rsid w:val="0023212F"/>
    <w:rsid w:val="00232EE5"/>
    <w:rsid w:val="00233140"/>
    <w:rsid w:val="0023331C"/>
    <w:rsid w:val="00234A1A"/>
    <w:rsid w:val="00251D7F"/>
    <w:rsid w:val="002554FA"/>
    <w:rsid w:val="00256E24"/>
    <w:rsid w:val="00264D70"/>
    <w:rsid w:val="002659BE"/>
    <w:rsid w:val="00265F97"/>
    <w:rsid w:val="0027068E"/>
    <w:rsid w:val="00271E63"/>
    <w:rsid w:val="00272041"/>
    <w:rsid w:val="002807A5"/>
    <w:rsid w:val="0028393B"/>
    <w:rsid w:val="00286F58"/>
    <w:rsid w:val="002913FC"/>
    <w:rsid w:val="00291ADC"/>
    <w:rsid w:val="00291E8E"/>
    <w:rsid w:val="00292927"/>
    <w:rsid w:val="00293D51"/>
    <w:rsid w:val="002953ED"/>
    <w:rsid w:val="002977B9"/>
    <w:rsid w:val="002A3EF1"/>
    <w:rsid w:val="002A63F1"/>
    <w:rsid w:val="002A7BB4"/>
    <w:rsid w:val="002B3819"/>
    <w:rsid w:val="002B5B2A"/>
    <w:rsid w:val="002B6D5B"/>
    <w:rsid w:val="002C1FDA"/>
    <w:rsid w:val="002C3892"/>
    <w:rsid w:val="002C6588"/>
    <w:rsid w:val="002C6914"/>
    <w:rsid w:val="002C7219"/>
    <w:rsid w:val="002D3EC7"/>
    <w:rsid w:val="002D4F33"/>
    <w:rsid w:val="002D5AEC"/>
    <w:rsid w:val="002D619E"/>
    <w:rsid w:val="002E34B1"/>
    <w:rsid w:val="002E5969"/>
    <w:rsid w:val="002F0368"/>
    <w:rsid w:val="002F1117"/>
    <w:rsid w:val="002F14E5"/>
    <w:rsid w:val="002F4C45"/>
    <w:rsid w:val="00301AB4"/>
    <w:rsid w:val="003030C6"/>
    <w:rsid w:val="003036C8"/>
    <w:rsid w:val="00303848"/>
    <w:rsid w:val="003043CE"/>
    <w:rsid w:val="003053B4"/>
    <w:rsid w:val="003107FC"/>
    <w:rsid w:val="003137A6"/>
    <w:rsid w:val="0031650A"/>
    <w:rsid w:val="00320A0F"/>
    <w:rsid w:val="003229A4"/>
    <w:rsid w:val="003264BC"/>
    <w:rsid w:val="003269DD"/>
    <w:rsid w:val="00326B6C"/>
    <w:rsid w:val="00332D99"/>
    <w:rsid w:val="003376FB"/>
    <w:rsid w:val="00342B07"/>
    <w:rsid w:val="0034358A"/>
    <w:rsid w:val="00343E70"/>
    <w:rsid w:val="00343ED4"/>
    <w:rsid w:val="0034474F"/>
    <w:rsid w:val="00351B58"/>
    <w:rsid w:val="0035513A"/>
    <w:rsid w:val="00357C0B"/>
    <w:rsid w:val="00360169"/>
    <w:rsid w:val="00364E32"/>
    <w:rsid w:val="003666AD"/>
    <w:rsid w:val="003674DA"/>
    <w:rsid w:val="00367D9D"/>
    <w:rsid w:val="00370DC0"/>
    <w:rsid w:val="00374F5E"/>
    <w:rsid w:val="00376B92"/>
    <w:rsid w:val="00376FC6"/>
    <w:rsid w:val="00377D61"/>
    <w:rsid w:val="00381198"/>
    <w:rsid w:val="00384D86"/>
    <w:rsid w:val="00387ABA"/>
    <w:rsid w:val="00387EA3"/>
    <w:rsid w:val="00391E21"/>
    <w:rsid w:val="003927E4"/>
    <w:rsid w:val="00394874"/>
    <w:rsid w:val="00394A96"/>
    <w:rsid w:val="003967C1"/>
    <w:rsid w:val="00397FB8"/>
    <w:rsid w:val="003A186D"/>
    <w:rsid w:val="003A1B0D"/>
    <w:rsid w:val="003A1DE3"/>
    <w:rsid w:val="003A3AFD"/>
    <w:rsid w:val="003B5EA5"/>
    <w:rsid w:val="003B7649"/>
    <w:rsid w:val="003B7D6D"/>
    <w:rsid w:val="003C5154"/>
    <w:rsid w:val="003C5F3E"/>
    <w:rsid w:val="003D2364"/>
    <w:rsid w:val="003D3010"/>
    <w:rsid w:val="003D6F63"/>
    <w:rsid w:val="003D774F"/>
    <w:rsid w:val="003E2F76"/>
    <w:rsid w:val="003E7C37"/>
    <w:rsid w:val="003F1DA6"/>
    <w:rsid w:val="0040184E"/>
    <w:rsid w:val="00401AAD"/>
    <w:rsid w:val="00406972"/>
    <w:rsid w:val="00406A5F"/>
    <w:rsid w:val="00410070"/>
    <w:rsid w:val="004141E7"/>
    <w:rsid w:val="00414E41"/>
    <w:rsid w:val="00414F52"/>
    <w:rsid w:val="00441B72"/>
    <w:rsid w:val="00443678"/>
    <w:rsid w:val="004436F3"/>
    <w:rsid w:val="00444E57"/>
    <w:rsid w:val="00445123"/>
    <w:rsid w:val="00445619"/>
    <w:rsid w:val="004458B9"/>
    <w:rsid w:val="00451081"/>
    <w:rsid w:val="00463127"/>
    <w:rsid w:val="00467B55"/>
    <w:rsid w:val="004728C7"/>
    <w:rsid w:val="00472A50"/>
    <w:rsid w:val="00473FE6"/>
    <w:rsid w:val="00474E90"/>
    <w:rsid w:val="00480FD0"/>
    <w:rsid w:val="00481FDF"/>
    <w:rsid w:val="004829A5"/>
    <w:rsid w:val="00483F93"/>
    <w:rsid w:val="00486A4F"/>
    <w:rsid w:val="0049198F"/>
    <w:rsid w:val="004A1964"/>
    <w:rsid w:val="004A5F2C"/>
    <w:rsid w:val="004B0062"/>
    <w:rsid w:val="004B1885"/>
    <w:rsid w:val="004B18EB"/>
    <w:rsid w:val="004B4621"/>
    <w:rsid w:val="004B489A"/>
    <w:rsid w:val="004B573F"/>
    <w:rsid w:val="004B5815"/>
    <w:rsid w:val="004B6B00"/>
    <w:rsid w:val="004C1F85"/>
    <w:rsid w:val="004C3552"/>
    <w:rsid w:val="004C3897"/>
    <w:rsid w:val="004C3FBD"/>
    <w:rsid w:val="004C4396"/>
    <w:rsid w:val="004C5AFA"/>
    <w:rsid w:val="004D3455"/>
    <w:rsid w:val="004D6CD8"/>
    <w:rsid w:val="004E0E4E"/>
    <w:rsid w:val="004E2414"/>
    <w:rsid w:val="004E36EF"/>
    <w:rsid w:val="004E3738"/>
    <w:rsid w:val="004E4F50"/>
    <w:rsid w:val="004E57EB"/>
    <w:rsid w:val="004F046D"/>
    <w:rsid w:val="004F066B"/>
    <w:rsid w:val="004F53BE"/>
    <w:rsid w:val="004F6C5B"/>
    <w:rsid w:val="00500784"/>
    <w:rsid w:val="005024BF"/>
    <w:rsid w:val="00503076"/>
    <w:rsid w:val="00504A4D"/>
    <w:rsid w:val="00504A5F"/>
    <w:rsid w:val="00507CBA"/>
    <w:rsid w:val="0051014E"/>
    <w:rsid w:val="0051483B"/>
    <w:rsid w:val="0052254E"/>
    <w:rsid w:val="00525240"/>
    <w:rsid w:val="005253C8"/>
    <w:rsid w:val="0052670C"/>
    <w:rsid w:val="00531664"/>
    <w:rsid w:val="0053251B"/>
    <w:rsid w:val="005335BB"/>
    <w:rsid w:val="00535390"/>
    <w:rsid w:val="00535ED7"/>
    <w:rsid w:val="00536553"/>
    <w:rsid w:val="00541FDF"/>
    <w:rsid w:val="005428FD"/>
    <w:rsid w:val="00545BA1"/>
    <w:rsid w:val="005505D6"/>
    <w:rsid w:val="00551771"/>
    <w:rsid w:val="00552E66"/>
    <w:rsid w:val="005537F7"/>
    <w:rsid w:val="00560809"/>
    <w:rsid w:val="00564172"/>
    <w:rsid w:val="005650AB"/>
    <w:rsid w:val="00567DA3"/>
    <w:rsid w:val="005703D9"/>
    <w:rsid w:val="00573210"/>
    <w:rsid w:val="0057421A"/>
    <w:rsid w:val="00574CF4"/>
    <w:rsid w:val="00575D59"/>
    <w:rsid w:val="00591AF3"/>
    <w:rsid w:val="00594113"/>
    <w:rsid w:val="005946E5"/>
    <w:rsid w:val="005955E3"/>
    <w:rsid w:val="005A1029"/>
    <w:rsid w:val="005A10F3"/>
    <w:rsid w:val="005A29CE"/>
    <w:rsid w:val="005A4AC3"/>
    <w:rsid w:val="005A52C5"/>
    <w:rsid w:val="005A599D"/>
    <w:rsid w:val="005A5FC8"/>
    <w:rsid w:val="005A786C"/>
    <w:rsid w:val="005B06CC"/>
    <w:rsid w:val="005B7150"/>
    <w:rsid w:val="005C005D"/>
    <w:rsid w:val="005C195E"/>
    <w:rsid w:val="005C3EFC"/>
    <w:rsid w:val="005C64F1"/>
    <w:rsid w:val="005C67CC"/>
    <w:rsid w:val="005D5B4C"/>
    <w:rsid w:val="005D6148"/>
    <w:rsid w:val="005D785C"/>
    <w:rsid w:val="005E0AE3"/>
    <w:rsid w:val="005E1E19"/>
    <w:rsid w:val="005E24B0"/>
    <w:rsid w:val="005E4185"/>
    <w:rsid w:val="005E4777"/>
    <w:rsid w:val="005E7ED9"/>
    <w:rsid w:val="005F0722"/>
    <w:rsid w:val="005F1986"/>
    <w:rsid w:val="005F7B9F"/>
    <w:rsid w:val="00600538"/>
    <w:rsid w:val="006015FF"/>
    <w:rsid w:val="006027D5"/>
    <w:rsid w:val="00603CA5"/>
    <w:rsid w:val="00604E37"/>
    <w:rsid w:val="00606328"/>
    <w:rsid w:val="00607173"/>
    <w:rsid w:val="00615B03"/>
    <w:rsid w:val="00623669"/>
    <w:rsid w:val="00631B80"/>
    <w:rsid w:val="00632B52"/>
    <w:rsid w:val="0063687E"/>
    <w:rsid w:val="0064113B"/>
    <w:rsid w:val="00641498"/>
    <w:rsid w:val="0064236C"/>
    <w:rsid w:val="00642D18"/>
    <w:rsid w:val="00644BD1"/>
    <w:rsid w:val="006464A9"/>
    <w:rsid w:val="00651029"/>
    <w:rsid w:val="00652DAD"/>
    <w:rsid w:val="00653D27"/>
    <w:rsid w:val="006547F2"/>
    <w:rsid w:val="00661C80"/>
    <w:rsid w:val="00663299"/>
    <w:rsid w:val="00664BCA"/>
    <w:rsid w:val="00664CC2"/>
    <w:rsid w:val="00665869"/>
    <w:rsid w:val="00671333"/>
    <w:rsid w:val="00673EFA"/>
    <w:rsid w:val="00677D2F"/>
    <w:rsid w:val="00681A08"/>
    <w:rsid w:val="00681E41"/>
    <w:rsid w:val="00682EB4"/>
    <w:rsid w:val="00686C41"/>
    <w:rsid w:val="00687A33"/>
    <w:rsid w:val="006903AD"/>
    <w:rsid w:val="006909F2"/>
    <w:rsid w:val="00691710"/>
    <w:rsid w:val="006924CC"/>
    <w:rsid w:val="0069371D"/>
    <w:rsid w:val="006966BF"/>
    <w:rsid w:val="00696CE1"/>
    <w:rsid w:val="0069766C"/>
    <w:rsid w:val="006A0BAA"/>
    <w:rsid w:val="006A6C67"/>
    <w:rsid w:val="006A7548"/>
    <w:rsid w:val="006B3963"/>
    <w:rsid w:val="006B48F2"/>
    <w:rsid w:val="006B58A9"/>
    <w:rsid w:val="006C4085"/>
    <w:rsid w:val="006D1493"/>
    <w:rsid w:val="006D22C8"/>
    <w:rsid w:val="006D27A5"/>
    <w:rsid w:val="006D3BC2"/>
    <w:rsid w:val="006D3FF9"/>
    <w:rsid w:val="006D522A"/>
    <w:rsid w:val="006E3FAE"/>
    <w:rsid w:val="006F2012"/>
    <w:rsid w:val="006F5E11"/>
    <w:rsid w:val="00706FEB"/>
    <w:rsid w:val="0071115E"/>
    <w:rsid w:val="00713760"/>
    <w:rsid w:val="00715CA2"/>
    <w:rsid w:val="00721B81"/>
    <w:rsid w:val="00721EDE"/>
    <w:rsid w:val="00727A85"/>
    <w:rsid w:val="00727F4D"/>
    <w:rsid w:val="007300DA"/>
    <w:rsid w:val="0073110D"/>
    <w:rsid w:val="0074084E"/>
    <w:rsid w:val="00745066"/>
    <w:rsid w:val="00750BFA"/>
    <w:rsid w:val="00751240"/>
    <w:rsid w:val="00751C70"/>
    <w:rsid w:val="007534C8"/>
    <w:rsid w:val="007538D1"/>
    <w:rsid w:val="007551F6"/>
    <w:rsid w:val="0075605D"/>
    <w:rsid w:val="00757781"/>
    <w:rsid w:val="00757987"/>
    <w:rsid w:val="00765D18"/>
    <w:rsid w:val="00773FCD"/>
    <w:rsid w:val="00774701"/>
    <w:rsid w:val="00775F3D"/>
    <w:rsid w:val="00776C3A"/>
    <w:rsid w:val="007774C0"/>
    <w:rsid w:val="00787A28"/>
    <w:rsid w:val="00792C98"/>
    <w:rsid w:val="00793ADA"/>
    <w:rsid w:val="007A0893"/>
    <w:rsid w:val="007A3151"/>
    <w:rsid w:val="007A398B"/>
    <w:rsid w:val="007B1F94"/>
    <w:rsid w:val="007B3388"/>
    <w:rsid w:val="007B52BF"/>
    <w:rsid w:val="007B774B"/>
    <w:rsid w:val="007C1DB4"/>
    <w:rsid w:val="007C4ACD"/>
    <w:rsid w:val="007C5D0C"/>
    <w:rsid w:val="007C7008"/>
    <w:rsid w:val="007D09A7"/>
    <w:rsid w:val="007D73ED"/>
    <w:rsid w:val="007D76B3"/>
    <w:rsid w:val="007E0D05"/>
    <w:rsid w:val="007E0F77"/>
    <w:rsid w:val="007E187C"/>
    <w:rsid w:val="007E2831"/>
    <w:rsid w:val="007E5116"/>
    <w:rsid w:val="007E5531"/>
    <w:rsid w:val="007F6DC5"/>
    <w:rsid w:val="00800122"/>
    <w:rsid w:val="008039B1"/>
    <w:rsid w:val="00806277"/>
    <w:rsid w:val="0081147A"/>
    <w:rsid w:val="00820CD4"/>
    <w:rsid w:val="00821692"/>
    <w:rsid w:val="008217BA"/>
    <w:rsid w:val="00822989"/>
    <w:rsid w:val="00822EF1"/>
    <w:rsid w:val="00822EF6"/>
    <w:rsid w:val="00825167"/>
    <w:rsid w:val="00832352"/>
    <w:rsid w:val="00833C83"/>
    <w:rsid w:val="00833F2C"/>
    <w:rsid w:val="0083626B"/>
    <w:rsid w:val="008403CF"/>
    <w:rsid w:val="00840659"/>
    <w:rsid w:val="0084090D"/>
    <w:rsid w:val="00840A38"/>
    <w:rsid w:val="00844E8E"/>
    <w:rsid w:val="00847ABF"/>
    <w:rsid w:val="0085061C"/>
    <w:rsid w:val="008527DC"/>
    <w:rsid w:val="00853A79"/>
    <w:rsid w:val="008541A7"/>
    <w:rsid w:val="00862F5B"/>
    <w:rsid w:val="008635F2"/>
    <w:rsid w:val="008642ED"/>
    <w:rsid w:val="00865C0B"/>
    <w:rsid w:val="00875CF2"/>
    <w:rsid w:val="0088348D"/>
    <w:rsid w:val="008863ED"/>
    <w:rsid w:val="00891391"/>
    <w:rsid w:val="00895F24"/>
    <w:rsid w:val="008A4795"/>
    <w:rsid w:val="008B5F7B"/>
    <w:rsid w:val="008C028A"/>
    <w:rsid w:val="008C077C"/>
    <w:rsid w:val="008C0E12"/>
    <w:rsid w:val="008C783A"/>
    <w:rsid w:val="008D5C66"/>
    <w:rsid w:val="008D60A5"/>
    <w:rsid w:val="008D79FD"/>
    <w:rsid w:val="008E3E63"/>
    <w:rsid w:val="008F0438"/>
    <w:rsid w:val="008F0ED5"/>
    <w:rsid w:val="008F499C"/>
    <w:rsid w:val="00900DA2"/>
    <w:rsid w:val="009018F7"/>
    <w:rsid w:val="00903733"/>
    <w:rsid w:val="009057BF"/>
    <w:rsid w:val="00905FD3"/>
    <w:rsid w:val="009066DF"/>
    <w:rsid w:val="0091249F"/>
    <w:rsid w:val="00913A04"/>
    <w:rsid w:val="00913BA1"/>
    <w:rsid w:val="0092116C"/>
    <w:rsid w:val="0092687E"/>
    <w:rsid w:val="009275E7"/>
    <w:rsid w:val="00930CCF"/>
    <w:rsid w:val="009335F8"/>
    <w:rsid w:val="00933C9E"/>
    <w:rsid w:val="00935AA7"/>
    <w:rsid w:val="00935B9A"/>
    <w:rsid w:val="00937726"/>
    <w:rsid w:val="00940338"/>
    <w:rsid w:val="009420FA"/>
    <w:rsid w:val="00942260"/>
    <w:rsid w:val="009455F7"/>
    <w:rsid w:val="00946AF7"/>
    <w:rsid w:val="00946F27"/>
    <w:rsid w:val="009503DD"/>
    <w:rsid w:val="00963FA5"/>
    <w:rsid w:val="00965173"/>
    <w:rsid w:val="00970332"/>
    <w:rsid w:val="00971C83"/>
    <w:rsid w:val="00974665"/>
    <w:rsid w:val="00976CA3"/>
    <w:rsid w:val="00980A9F"/>
    <w:rsid w:val="0098326B"/>
    <w:rsid w:val="00984016"/>
    <w:rsid w:val="00986794"/>
    <w:rsid w:val="00986B4B"/>
    <w:rsid w:val="00990D9C"/>
    <w:rsid w:val="00995D75"/>
    <w:rsid w:val="00997292"/>
    <w:rsid w:val="009A094D"/>
    <w:rsid w:val="009A3B39"/>
    <w:rsid w:val="009A4E5B"/>
    <w:rsid w:val="009B4045"/>
    <w:rsid w:val="009B492A"/>
    <w:rsid w:val="009B4F97"/>
    <w:rsid w:val="009C03CD"/>
    <w:rsid w:val="009C0502"/>
    <w:rsid w:val="009C0946"/>
    <w:rsid w:val="009C76E5"/>
    <w:rsid w:val="009C779A"/>
    <w:rsid w:val="009D09C7"/>
    <w:rsid w:val="009E054B"/>
    <w:rsid w:val="009E1DEF"/>
    <w:rsid w:val="009F589F"/>
    <w:rsid w:val="009F5A4F"/>
    <w:rsid w:val="00A023A4"/>
    <w:rsid w:val="00A12330"/>
    <w:rsid w:val="00A13040"/>
    <w:rsid w:val="00A13EEA"/>
    <w:rsid w:val="00A13F4D"/>
    <w:rsid w:val="00A141F2"/>
    <w:rsid w:val="00A16BBC"/>
    <w:rsid w:val="00A24CB7"/>
    <w:rsid w:val="00A31FA6"/>
    <w:rsid w:val="00A327A1"/>
    <w:rsid w:val="00A32ABE"/>
    <w:rsid w:val="00A40FE0"/>
    <w:rsid w:val="00A42A02"/>
    <w:rsid w:val="00A43503"/>
    <w:rsid w:val="00A44741"/>
    <w:rsid w:val="00A5142F"/>
    <w:rsid w:val="00A51BBF"/>
    <w:rsid w:val="00A54A5A"/>
    <w:rsid w:val="00A55718"/>
    <w:rsid w:val="00A60D28"/>
    <w:rsid w:val="00A62323"/>
    <w:rsid w:val="00A667F2"/>
    <w:rsid w:val="00A67B1F"/>
    <w:rsid w:val="00A71969"/>
    <w:rsid w:val="00A77819"/>
    <w:rsid w:val="00A867F9"/>
    <w:rsid w:val="00A86A3B"/>
    <w:rsid w:val="00A86BA2"/>
    <w:rsid w:val="00A934F0"/>
    <w:rsid w:val="00A9461A"/>
    <w:rsid w:val="00A94F10"/>
    <w:rsid w:val="00A954E2"/>
    <w:rsid w:val="00A97D07"/>
    <w:rsid w:val="00AA03AE"/>
    <w:rsid w:val="00AA136D"/>
    <w:rsid w:val="00AA15BE"/>
    <w:rsid w:val="00AA15DC"/>
    <w:rsid w:val="00AA197F"/>
    <w:rsid w:val="00AA277C"/>
    <w:rsid w:val="00AA52A9"/>
    <w:rsid w:val="00AB006F"/>
    <w:rsid w:val="00AB0B05"/>
    <w:rsid w:val="00AB12D3"/>
    <w:rsid w:val="00AB4823"/>
    <w:rsid w:val="00AC05B6"/>
    <w:rsid w:val="00AC717D"/>
    <w:rsid w:val="00AD1A86"/>
    <w:rsid w:val="00AD392B"/>
    <w:rsid w:val="00AD39A3"/>
    <w:rsid w:val="00AD56B8"/>
    <w:rsid w:val="00AD578B"/>
    <w:rsid w:val="00AE2E40"/>
    <w:rsid w:val="00AE6751"/>
    <w:rsid w:val="00AE6A39"/>
    <w:rsid w:val="00AE6BD6"/>
    <w:rsid w:val="00AF0B94"/>
    <w:rsid w:val="00AF622D"/>
    <w:rsid w:val="00AF6269"/>
    <w:rsid w:val="00AF638F"/>
    <w:rsid w:val="00AF6E02"/>
    <w:rsid w:val="00AF6EBB"/>
    <w:rsid w:val="00AF7AA5"/>
    <w:rsid w:val="00B003B9"/>
    <w:rsid w:val="00B024D4"/>
    <w:rsid w:val="00B030C6"/>
    <w:rsid w:val="00B03E18"/>
    <w:rsid w:val="00B06D39"/>
    <w:rsid w:val="00B11130"/>
    <w:rsid w:val="00B12ECD"/>
    <w:rsid w:val="00B14CE2"/>
    <w:rsid w:val="00B25843"/>
    <w:rsid w:val="00B268D7"/>
    <w:rsid w:val="00B27E6D"/>
    <w:rsid w:val="00B31483"/>
    <w:rsid w:val="00B3182D"/>
    <w:rsid w:val="00B31E21"/>
    <w:rsid w:val="00B33808"/>
    <w:rsid w:val="00B34C16"/>
    <w:rsid w:val="00B520E5"/>
    <w:rsid w:val="00B5348A"/>
    <w:rsid w:val="00B5382D"/>
    <w:rsid w:val="00B54704"/>
    <w:rsid w:val="00B54C97"/>
    <w:rsid w:val="00B55B90"/>
    <w:rsid w:val="00B579B1"/>
    <w:rsid w:val="00B64FBC"/>
    <w:rsid w:val="00B74A30"/>
    <w:rsid w:val="00B755D4"/>
    <w:rsid w:val="00B83D95"/>
    <w:rsid w:val="00B84F9D"/>
    <w:rsid w:val="00B86BED"/>
    <w:rsid w:val="00B9133A"/>
    <w:rsid w:val="00B91EE4"/>
    <w:rsid w:val="00B92729"/>
    <w:rsid w:val="00BB1A08"/>
    <w:rsid w:val="00BB2733"/>
    <w:rsid w:val="00BB2C38"/>
    <w:rsid w:val="00BB47CE"/>
    <w:rsid w:val="00BB4C53"/>
    <w:rsid w:val="00BB53FE"/>
    <w:rsid w:val="00BB554E"/>
    <w:rsid w:val="00BB5828"/>
    <w:rsid w:val="00BB6B22"/>
    <w:rsid w:val="00BB6BA0"/>
    <w:rsid w:val="00BB6C54"/>
    <w:rsid w:val="00BC0CAB"/>
    <w:rsid w:val="00BC0E64"/>
    <w:rsid w:val="00BC2745"/>
    <w:rsid w:val="00BD31E0"/>
    <w:rsid w:val="00BD7176"/>
    <w:rsid w:val="00BE02DE"/>
    <w:rsid w:val="00BE12ED"/>
    <w:rsid w:val="00BE5C76"/>
    <w:rsid w:val="00BE7805"/>
    <w:rsid w:val="00BF14CC"/>
    <w:rsid w:val="00BF32DE"/>
    <w:rsid w:val="00BF36B2"/>
    <w:rsid w:val="00C01A61"/>
    <w:rsid w:val="00C02E13"/>
    <w:rsid w:val="00C041BA"/>
    <w:rsid w:val="00C05644"/>
    <w:rsid w:val="00C06EC7"/>
    <w:rsid w:val="00C07A26"/>
    <w:rsid w:val="00C15CC5"/>
    <w:rsid w:val="00C2175E"/>
    <w:rsid w:val="00C22A57"/>
    <w:rsid w:val="00C23CAB"/>
    <w:rsid w:val="00C24466"/>
    <w:rsid w:val="00C26CE3"/>
    <w:rsid w:val="00C31A5D"/>
    <w:rsid w:val="00C32AE4"/>
    <w:rsid w:val="00C40597"/>
    <w:rsid w:val="00C43FF7"/>
    <w:rsid w:val="00C506B1"/>
    <w:rsid w:val="00C51A97"/>
    <w:rsid w:val="00C56686"/>
    <w:rsid w:val="00C569F4"/>
    <w:rsid w:val="00C6361C"/>
    <w:rsid w:val="00C63A92"/>
    <w:rsid w:val="00C65804"/>
    <w:rsid w:val="00C71EE9"/>
    <w:rsid w:val="00C73C56"/>
    <w:rsid w:val="00C77AFA"/>
    <w:rsid w:val="00C77EE4"/>
    <w:rsid w:val="00C80A5A"/>
    <w:rsid w:val="00C8112B"/>
    <w:rsid w:val="00C8522D"/>
    <w:rsid w:val="00C85B12"/>
    <w:rsid w:val="00C85E5C"/>
    <w:rsid w:val="00C86FB9"/>
    <w:rsid w:val="00C8790B"/>
    <w:rsid w:val="00C948BC"/>
    <w:rsid w:val="00C970B8"/>
    <w:rsid w:val="00C97DD9"/>
    <w:rsid w:val="00CA5E57"/>
    <w:rsid w:val="00CB63BF"/>
    <w:rsid w:val="00CC2FD6"/>
    <w:rsid w:val="00CC4403"/>
    <w:rsid w:val="00CC5269"/>
    <w:rsid w:val="00CC548E"/>
    <w:rsid w:val="00CC55EE"/>
    <w:rsid w:val="00CC5EC6"/>
    <w:rsid w:val="00CD2AEA"/>
    <w:rsid w:val="00CD4018"/>
    <w:rsid w:val="00CD5A1F"/>
    <w:rsid w:val="00CE2022"/>
    <w:rsid w:val="00CE2611"/>
    <w:rsid w:val="00CE2839"/>
    <w:rsid w:val="00CE2F0E"/>
    <w:rsid w:val="00CF22B1"/>
    <w:rsid w:val="00CF330A"/>
    <w:rsid w:val="00CF5AB8"/>
    <w:rsid w:val="00CF695A"/>
    <w:rsid w:val="00D02102"/>
    <w:rsid w:val="00D0220F"/>
    <w:rsid w:val="00D062EC"/>
    <w:rsid w:val="00D06B1A"/>
    <w:rsid w:val="00D1010E"/>
    <w:rsid w:val="00D1330F"/>
    <w:rsid w:val="00D135F4"/>
    <w:rsid w:val="00D206DA"/>
    <w:rsid w:val="00D27675"/>
    <w:rsid w:val="00D32223"/>
    <w:rsid w:val="00D3427E"/>
    <w:rsid w:val="00D363F2"/>
    <w:rsid w:val="00D368BD"/>
    <w:rsid w:val="00D3695E"/>
    <w:rsid w:val="00D378F6"/>
    <w:rsid w:val="00D40227"/>
    <w:rsid w:val="00D412C8"/>
    <w:rsid w:val="00D42B92"/>
    <w:rsid w:val="00D510BB"/>
    <w:rsid w:val="00D569E3"/>
    <w:rsid w:val="00D56C30"/>
    <w:rsid w:val="00D6030A"/>
    <w:rsid w:val="00D62B0A"/>
    <w:rsid w:val="00D64352"/>
    <w:rsid w:val="00D65733"/>
    <w:rsid w:val="00D70617"/>
    <w:rsid w:val="00D73AC4"/>
    <w:rsid w:val="00D7463B"/>
    <w:rsid w:val="00D801E5"/>
    <w:rsid w:val="00D80C59"/>
    <w:rsid w:val="00D82386"/>
    <w:rsid w:val="00D82BD2"/>
    <w:rsid w:val="00D8482D"/>
    <w:rsid w:val="00D85E68"/>
    <w:rsid w:val="00D8734E"/>
    <w:rsid w:val="00D90BEC"/>
    <w:rsid w:val="00D91597"/>
    <w:rsid w:val="00D92034"/>
    <w:rsid w:val="00D9229E"/>
    <w:rsid w:val="00D94A11"/>
    <w:rsid w:val="00D94E4B"/>
    <w:rsid w:val="00DA24EA"/>
    <w:rsid w:val="00DA4BD9"/>
    <w:rsid w:val="00DB28C4"/>
    <w:rsid w:val="00DB2B7B"/>
    <w:rsid w:val="00DB38CA"/>
    <w:rsid w:val="00DB39AD"/>
    <w:rsid w:val="00DB75AF"/>
    <w:rsid w:val="00DC04FA"/>
    <w:rsid w:val="00DC168E"/>
    <w:rsid w:val="00DC3D1C"/>
    <w:rsid w:val="00DC5AED"/>
    <w:rsid w:val="00DD6003"/>
    <w:rsid w:val="00DE5208"/>
    <w:rsid w:val="00DF6C56"/>
    <w:rsid w:val="00E01D95"/>
    <w:rsid w:val="00E02E65"/>
    <w:rsid w:val="00E03F1E"/>
    <w:rsid w:val="00E07FB3"/>
    <w:rsid w:val="00E12310"/>
    <w:rsid w:val="00E1242E"/>
    <w:rsid w:val="00E13089"/>
    <w:rsid w:val="00E1344C"/>
    <w:rsid w:val="00E16470"/>
    <w:rsid w:val="00E16FF6"/>
    <w:rsid w:val="00E347A7"/>
    <w:rsid w:val="00E3528E"/>
    <w:rsid w:val="00E36CEB"/>
    <w:rsid w:val="00E4157A"/>
    <w:rsid w:val="00E41FF7"/>
    <w:rsid w:val="00E42A0C"/>
    <w:rsid w:val="00E44A28"/>
    <w:rsid w:val="00E5404E"/>
    <w:rsid w:val="00E54A3E"/>
    <w:rsid w:val="00E5737B"/>
    <w:rsid w:val="00E60E1F"/>
    <w:rsid w:val="00E60F2B"/>
    <w:rsid w:val="00E619BE"/>
    <w:rsid w:val="00E647B0"/>
    <w:rsid w:val="00E74C48"/>
    <w:rsid w:val="00E74CD5"/>
    <w:rsid w:val="00E770A3"/>
    <w:rsid w:val="00E77ADB"/>
    <w:rsid w:val="00E80973"/>
    <w:rsid w:val="00E86982"/>
    <w:rsid w:val="00EA31CD"/>
    <w:rsid w:val="00EA6638"/>
    <w:rsid w:val="00EB13C3"/>
    <w:rsid w:val="00EB2B0D"/>
    <w:rsid w:val="00EB36A9"/>
    <w:rsid w:val="00EB6E28"/>
    <w:rsid w:val="00EB6F05"/>
    <w:rsid w:val="00EC02A1"/>
    <w:rsid w:val="00EC20EB"/>
    <w:rsid w:val="00EC6250"/>
    <w:rsid w:val="00EC74E8"/>
    <w:rsid w:val="00EC7C5C"/>
    <w:rsid w:val="00ED37CF"/>
    <w:rsid w:val="00ED74B7"/>
    <w:rsid w:val="00EE1719"/>
    <w:rsid w:val="00EE1A1D"/>
    <w:rsid w:val="00EE28AC"/>
    <w:rsid w:val="00EE2996"/>
    <w:rsid w:val="00EE3993"/>
    <w:rsid w:val="00EE39A3"/>
    <w:rsid w:val="00EE3A95"/>
    <w:rsid w:val="00EE48E3"/>
    <w:rsid w:val="00EE64C8"/>
    <w:rsid w:val="00EE7B02"/>
    <w:rsid w:val="00EE7B3B"/>
    <w:rsid w:val="00EF41A1"/>
    <w:rsid w:val="00F00686"/>
    <w:rsid w:val="00F00B4B"/>
    <w:rsid w:val="00F04483"/>
    <w:rsid w:val="00F1598B"/>
    <w:rsid w:val="00F15ECF"/>
    <w:rsid w:val="00F25372"/>
    <w:rsid w:val="00F25A27"/>
    <w:rsid w:val="00F26486"/>
    <w:rsid w:val="00F26F88"/>
    <w:rsid w:val="00F27A26"/>
    <w:rsid w:val="00F3293B"/>
    <w:rsid w:val="00F36188"/>
    <w:rsid w:val="00F3700C"/>
    <w:rsid w:val="00F40D52"/>
    <w:rsid w:val="00F42D45"/>
    <w:rsid w:val="00F42D8A"/>
    <w:rsid w:val="00F42E3A"/>
    <w:rsid w:val="00F4587C"/>
    <w:rsid w:val="00F47726"/>
    <w:rsid w:val="00F479DF"/>
    <w:rsid w:val="00F5177C"/>
    <w:rsid w:val="00F52C02"/>
    <w:rsid w:val="00F53CC3"/>
    <w:rsid w:val="00F54612"/>
    <w:rsid w:val="00F54D27"/>
    <w:rsid w:val="00F572F2"/>
    <w:rsid w:val="00F65BB1"/>
    <w:rsid w:val="00F674A6"/>
    <w:rsid w:val="00F71F5D"/>
    <w:rsid w:val="00F72239"/>
    <w:rsid w:val="00F73BDE"/>
    <w:rsid w:val="00F75873"/>
    <w:rsid w:val="00F830FB"/>
    <w:rsid w:val="00F9425E"/>
    <w:rsid w:val="00F95863"/>
    <w:rsid w:val="00F97676"/>
    <w:rsid w:val="00FA2B35"/>
    <w:rsid w:val="00FA5079"/>
    <w:rsid w:val="00FB50B9"/>
    <w:rsid w:val="00FB71F7"/>
    <w:rsid w:val="00FC0B17"/>
    <w:rsid w:val="00FC1246"/>
    <w:rsid w:val="00FC4A1E"/>
    <w:rsid w:val="00FC75AC"/>
    <w:rsid w:val="00FD2C29"/>
    <w:rsid w:val="00FE0384"/>
    <w:rsid w:val="00FE0C5D"/>
    <w:rsid w:val="00FE1002"/>
    <w:rsid w:val="00FE5A77"/>
    <w:rsid w:val="00FF223A"/>
    <w:rsid w:val="00FF3E67"/>
    <w:rsid w:val="00FF5A27"/>
    <w:rsid w:val="01640362"/>
    <w:rsid w:val="01AE2F7A"/>
    <w:rsid w:val="01FC7E4D"/>
    <w:rsid w:val="021134D0"/>
    <w:rsid w:val="02713707"/>
    <w:rsid w:val="02D9767E"/>
    <w:rsid w:val="030F7BF8"/>
    <w:rsid w:val="039B175F"/>
    <w:rsid w:val="04226EE7"/>
    <w:rsid w:val="0452639A"/>
    <w:rsid w:val="056E5A31"/>
    <w:rsid w:val="05E34AD8"/>
    <w:rsid w:val="05F41565"/>
    <w:rsid w:val="064939E5"/>
    <w:rsid w:val="064B02EB"/>
    <w:rsid w:val="064F2183"/>
    <w:rsid w:val="06AE35EE"/>
    <w:rsid w:val="071E48E6"/>
    <w:rsid w:val="0740728F"/>
    <w:rsid w:val="07AB20F7"/>
    <w:rsid w:val="07D666A2"/>
    <w:rsid w:val="07E61214"/>
    <w:rsid w:val="082F4AD6"/>
    <w:rsid w:val="086A6CC9"/>
    <w:rsid w:val="08827FBC"/>
    <w:rsid w:val="08FC3B50"/>
    <w:rsid w:val="090A2B3B"/>
    <w:rsid w:val="090B3035"/>
    <w:rsid w:val="09750AC1"/>
    <w:rsid w:val="0A4456A9"/>
    <w:rsid w:val="0A4D7779"/>
    <w:rsid w:val="0B6836FD"/>
    <w:rsid w:val="0C3F55B8"/>
    <w:rsid w:val="0CBD4654"/>
    <w:rsid w:val="0D7D03CC"/>
    <w:rsid w:val="0D99235D"/>
    <w:rsid w:val="0DFD39E1"/>
    <w:rsid w:val="0E0B18AF"/>
    <w:rsid w:val="0E2F55A7"/>
    <w:rsid w:val="0E4357F6"/>
    <w:rsid w:val="0E771AFC"/>
    <w:rsid w:val="0EA845D1"/>
    <w:rsid w:val="0EC8358F"/>
    <w:rsid w:val="0FA77648"/>
    <w:rsid w:val="10BC35A9"/>
    <w:rsid w:val="118B7FC9"/>
    <w:rsid w:val="11A94818"/>
    <w:rsid w:val="13527D08"/>
    <w:rsid w:val="138F7673"/>
    <w:rsid w:val="13BC72C0"/>
    <w:rsid w:val="13D860A3"/>
    <w:rsid w:val="14A04640"/>
    <w:rsid w:val="14BB338F"/>
    <w:rsid w:val="14FF3D81"/>
    <w:rsid w:val="15970B9F"/>
    <w:rsid w:val="159A21B9"/>
    <w:rsid w:val="15FD6D29"/>
    <w:rsid w:val="161304D0"/>
    <w:rsid w:val="17684094"/>
    <w:rsid w:val="17797A0F"/>
    <w:rsid w:val="1782710D"/>
    <w:rsid w:val="17963070"/>
    <w:rsid w:val="18412976"/>
    <w:rsid w:val="184D66C6"/>
    <w:rsid w:val="18986264"/>
    <w:rsid w:val="193740CB"/>
    <w:rsid w:val="19406B43"/>
    <w:rsid w:val="1A4D5A25"/>
    <w:rsid w:val="1A5E1C61"/>
    <w:rsid w:val="1A7566BC"/>
    <w:rsid w:val="1C7E7790"/>
    <w:rsid w:val="1DC834EC"/>
    <w:rsid w:val="1DE8351C"/>
    <w:rsid w:val="1E2D2FEC"/>
    <w:rsid w:val="1E4C137F"/>
    <w:rsid w:val="1E726D03"/>
    <w:rsid w:val="1E7F12CE"/>
    <w:rsid w:val="1E885CD4"/>
    <w:rsid w:val="1EFF4DAB"/>
    <w:rsid w:val="1F2604A5"/>
    <w:rsid w:val="1FA951C6"/>
    <w:rsid w:val="20171B4A"/>
    <w:rsid w:val="20285FF3"/>
    <w:rsid w:val="207C1350"/>
    <w:rsid w:val="223E27EB"/>
    <w:rsid w:val="231715F6"/>
    <w:rsid w:val="23971A22"/>
    <w:rsid w:val="23A02A73"/>
    <w:rsid w:val="2436469E"/>
    <w:rsid w:val="24743E0F"/>
    <w:rsid w:val="25885261"/>
    <w:rsid w:val="25AF6F99"/>
    <w:rsid w:val="25B54415"/>
    <w:rsid w:val="268362C1"/>
    <w:rsid w:val="26BF22FE"/>
    <w:rsid w:val="26FF6F87"/>
    <w:rsid w:val="27124DC1"/>
    <w:rsid w:val="27764348"/>
    <w:rsid w:val="27DE579E"/>
    <w:rsid w:val="27EC4823"/>
    <w:rsid w:val="285F5016"/>
    <w:rsid w:val="28AA49EB"/>
    <w:rsid w:val="28BE1064"/>
    <w:rsid w:val="29097610"/>
    <w:rsid w:val="29E7224E"/>
    <w:rsid w:val="29FF5944"/>
    <w:rsid w:val="2A0964CE"/>
    <w:rsid w:val="2ABB028C"/>
    <w:rsid w:val="2B131040"/>
    <w:rsid w:val="2B357622"/>
    <w:rsid w:val="2B663BF2"/>
    <w:rsid w:val="2BC64791"/>
    <w:rsid w:val="2CB126E1"/>
    <w:rsid w:val="2D1924A8"/>
    <w:rsid w:val="2D314E7E"/>
    <w:rsid w:val="2D485B6F"/>
    <w:rsid w:val="2D4C0361"/>
    <w:rsid w:val="2D700692"/>
    <w:rsid w:val="2DD04E4A"/>
    <w:rsid w:val="2E213D95"/>
    <w:rsid w:val="2E3F536B"/>
    <w:rsid w:val="2F7F19AF"/>
    <w:rsid w:val="2FA5374C"/>
    <w:rsid w:val="30B3710F"/>
    <w:rsid w:val="30EB1AD1"/>
    <w:rsid w:val="30F85A5F"/>
    <w:rsid w:val="31E03203"/>
    <w:rsid w:val="320D213D"/>
    <w:rsid w:val="322A6204"/>
    <w:rsid w:val="32774452"/>
    <w:rsid w:val="328D3C14"/>
    <w:rsid w:val="329E7573"/>
    <w:rsid w:val="331E69D9"/>
    <w:rsid w:val="332E5E53"/>
    <w:rsid w:val="333333FD"/>
    <w:rsid w:val="337C29BF"/>
    <w:rsid w:val="33D63266"/>
    <w:rsid w:val="34445433"/>
    <w:rsid w:val="34CF7455"/>
    <w:rsid w:val="351A6C31"/>
    <w:rsid w:val="354712D6"/>
    <w:rsid w:val="355A1395"/>
    <w:rsid w:val="36220173"/>
    <w:rsid w:val="371D1170"/>
    <w:rsid w:val="375869AC"/>
    <w:rsid w:val="37BB42A9"/>
    <w:rsid w:val="380D6799"/>
    <w:rsid w:val="382A3B6E"/>
    <w:rsid w:val="38604C2D"/>
    <w:rsid w:val="39A91EE7"/>
    <w:rsid w:val="39EE28B3"/>
    <w:rsid w:val="3A683CF4"/>
    <w:rsid w:val="3AC37016"/>
    <w:rsid w:val="3ADD2BA4"/>
    <w:rsid w:val="3B6224F2"/>
    <w:rsid w:val="3B737A10"/>
    <w:rsid w:val="3B890534"/>
    <w:rsid w:val="3C1435D6"/>
    <w:rsid w:val="3C385891"/>
    <w:rsid w:val="3C851E2D"/>
    <w:rsid w:val="3CBD71AD"/>
    <w:rsid w:val="3CFF4D4D"/>
    <w:rsid w:val="3CFF5E1E"/>
    <w:rsid w:val="3D11223C"/>
    <w:rsid w:val="3D14356A"/>
    <w:rsid w:val="3D956865"/>
    <w:rsid w:val="3DC436B3"/>
    <w:rsid w:val="3DD7497C"/>
    <w:rsid w:val="3EF11C39"/>
    <w:rsid w:val="3F3C7B50"/>
    <w:rsid w:val="3F656A54"/>
    <w:rsid w:val="40372BB2"/>
    <w:rsid w:val="40AC732D"/>
    <w:rsid w:val="40FF60D5"/>
    <w:rsid w:val="417D0E52"/>
    <w:rsid w:val="41A3607A"/>
    <w:rsid w:val="41F93484"/>
    <w:rsid w:val="42D323E0"/>
    <w:rsid w:val="43DE22D0"/>
    <w:rsid w:val="446B4480"/>
    <w:rsid w:val="449851D6"/>
    <w:rsid w:val="44AE4D29"/>
    <w:rsid w:val="4508235C"/>
    <w:rsid w:val="451A45AD"/>
    <w:rsid w:val="45C7558C"/>
    <w:rsid w:val="45DA7FEC"/>
    <w:rsid w:val="461E0B0D"/>
    <w:rsid w:val="46A40A85"/>
    <w:rsid w:val="46DA7268"/>
    <w:rsid w:val="472E0857"/>
    <w:rsid w:val="47511604"/>
    <w:rsid w:val="47B41D97"/>
    <w:rsid w:val="47EE2F8C"/>
    <w:rsid w:val="482A5B6D"/>
    <w:rsid w:val="48643D4D"/>
    <w:rsid w:val="48DD4030"/>
    <w:rsid w:val="48E36D3B"/>
    <w:rsid w:val="49210EC4"/>
    <w:rsid w:val="49EE55C6"/>
    <w:rsid w:val="4A1556D3"/>
    <w:rsid w:val="4A6F3EE9"/>
    <w:rsid w:val="4AF03B40"/>
    <w:rsid w:val="4B2311C5"/>
    <w:rsid w:val="4C9954B3"/>
    <w:rsid w:val="4CAF57B3"/>
    <w:rsid w:val="4D426A4E"/>
    <w:rsid w:val="4DB164D1"/>
    <w:rsid w:val="4DC57904"/>
    <w:rsid w:val="4DD36BA2"/>
    <w:rsid w:val="4DEF09C3"/>
    <w:rsid w:val="4E7E1B80"/>
    <w:rsid w:val="4E870CEE"/>
    <w:rsid w:val="4EF7346A"/>
    <w:rsid w:val="4F386C62"/>
    <w:rsid w:val="4F4E7DA7"/>
    <w:rsid w:val="50016325"/>
    <w:rsid w:val="50055393"/>
    <w:rsid w:val="505E25AD"/>
    <w:rsid w:val="50976715"/>
    <w:rsid w:val="51781FD5"/>
    <w:rsid w:val="51EF1D72"/>
    <w:rsid w:val="520C0A1B"/>
    <w:rsid w:val="53176882"/>
    <w:rsid w:val="53650073"/>
    <w:rsid w:val="53FE6159"/>
    <w:rsid w:val="55316D9F"/>
    <w:rsid w:val="55710A70"/>
    <w:rsid w:val="56013960"/>
    <w:rsid w:val="561B1C62"/>
    <w:rsid w:val="56345834"/>
    <w:rsid w:val="56537993"/>
    <w:rsid w:val="56B61FBC"/>
    <w:rsid w:val="56EE7FEF"/>
    <w:rsid w:val="57095B78"/>
    <w:rsid w:val="57104150"/>
    <w:rsid w:val="576461ED"/>
    <w:rsid w:val="57780712"/>
    <w:rsid w:val="57B94E24"/>
    <w:rsid w:val="58633B93"/>
    <w:rsid w:val="5868310F"/>
    <w:rsid w:val="59E76AB6"/>
    <w:rsid w:val="5BAC0409"/>
    <w:rsid w:val="5BD42235"/>
    <w:rsid w:val="5C79361C"/>
    <w:rsid w:val="5C9A7BB3"/>
    <w:rsid w:val="5DF253E7"/>
    <w:rsid w:val="5E5B7EE8"/>
    <w:rsid w:val="5FBC70DB"/>
    <w:rsid w:val="5FEC46F8"/>
    <w:rsid w:val="60DF2AFE"/>
    <w:rsid w:val="61BD5668"/>
    <w:rsid w:val="628F2A00"/>
    <w:rsid w:val="62FF28BA"/>
    <w:rsid w:val="63664402"/>
    <w:rsid w:val="6397692D"/>
    <w:rsid w:val="65E1327B"/>
    <w:rsid w:val="65E5119C"/>
    <w:rsid w:val="66B65BC1"/>
    <w:rsid w:val="66C66F0B"/>
    <w:rsid w:val="66CE696B"/>
    <w:rsid w:val="671D539B"/>
    <w:rsid w:val="681D4688"/>
    <w:rsid w:val="6856014F"/>
    <w:rsid w:val="689904FD"/>
    <w:rsid w:val="69217D81"/>
    <w:rsid w:val="69C0272B"/>
    <w:rsid w:val="6A2B0D10"/>
    <w:rsid w:val="6A8B502C"/>
    <w:rsid w:val="6AC57291"/>
    <w:rsid w:val="6AE10DD5"/>
    <w:rsid w:val="6B056A69"/>
    <w:rsid w:val="6B5B3717"/>
    <w:rsid w:val="6BB66CD8"/>
    <w:rsid w:val="6BC21921"/>
    <w:rsid w:val="6BC336CE"/>
    <w:rsid w:val="6BDC7FC1"/>
    <w:rsid w:val="6CA66065"/>
    <w:rsid w:val="6CB87914"/>
    <w:rsid w:val="6D2A39A0"/>
    <w:rsid w:val="6E6C7AB6"/>
    <w:rsid w:val="6E7A334F"/>
    <w:rsid w:val="6E811B57"/>
    <w:rsid w:val="6EDA6DB9"/>
    <w:rsid w:val="6EEE3A24"/>
    <w:rsid w:val="6F180098"/>
    <w:rsid w:val="6F857F81"/>
    <w:rsid w:val="6FD1307C"/>
    <w:rsid w:val="704D5938"/>
    <w:rsid w:val="713B2801"/>
    <w:rsid w:val="717F435F"/>
    <w:rsid w:val="72935730"/>
    <w:rsid w:val="733A495A"/>
    <w:rsid w:val="739F518E"/>
    <w:rsid w:val="73A5572C"/>
    <w:rsid w:val="7430661C"/>
    <w:rsid w:val="74523876"/>
    <w:rsid w:val="749D5174"/>
    <w:rsid w:val="74AC1B7A"/>
    <w:rsid w:val="74D82963"/>
    <w:rsid w:val="757562C2"/>
    <w:rsid w:val="766904AB"/>
    <w:rsid w:val="789B710C"/>
    <w:rsid w:val="78B86852"/>
    <w:rsid w:val="78DE57BC"/>
    <w:rsid w:val="79406C7C"/>
    <w:rsid w:val="79C105EF"/>
    <w:rsid w:val="7A22766D"/>
    <w:rsid w:val="7A3A69F4"/>
    <w:rsid w:val="7B086683"/>
    <w:rsid w:val="7B4A0C39"/>
    <w:rsid w:val="7CB76948"/>
    <w:rsid w:val="7DE80C9C"/>
    <w:rsid w:val="7E074E86"/>
    <w:rsid w:val="7E23541C"/>
    <w:rsid w:val="7E6924EF"/>
    <w:rsid w:val="7E6933A2"/>
    <w:rsid w:val="7E773F24"/>
    <w:rsid w:val="7FA55299"/>
    <w:rsid w:val="7FDF5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56" w:after="156" w:line="360" w:lineRule="auto"/>
      <w:ind w:firstLine="482"/>
      <w:jc w:val="both"/>
    </w:pPr>
    <w:rPr>
      <w:rFonts w:ascii="Times New Roman" w:hAnsi="Times New Roman" w:eastAsia="宋体" w:cs="Times New Roman"/>
      <w:kern w:val="2"/>
      <w:sz w:val="24"/>
      <w:lang w:val="en-US" w:eastAsia="zh-CN" w:bidi="ar-SA"/>
    </w:rPr>
  </w:style>
  <w:style w:type="paragraph" w:styleId="4">
    <w:name w:val="heading 1"/>
    <w:basedOn w:val="1"/>
    <w:next w:val="1"/>
    <w:link w:val="143"/>
    <w:qFormat/>
    <w:uiPriority w:val="0"/>
    <w:pPr>
      <w:keepNext/>
      <w:keepLines/>
      <w:spacing w:before="120" w:after="120"/>
      <w:ind w:firstLine="0"/>
      <w:outlineLvl w:val="0"/>
    </w:pPr>
    <w:rPr>
      <w:b/>
      <w:kern w:val="44"/>
      <w:sz w:val="28"/>
    </w:rPr>
  </w:style>
  <w:style w:type="paragraph" w:styleId="5">
    <w:name w:val="heading 2"/>
    <w:basedOn w:val="1"/>
    <w:next w:val="1"/>
    <w:link w:val="113"/>
    <w:qFormat/>
    <w:uiPriority w:val="0"/>
    <w:pPr>
      <w:keepNext/>
      <w:keepLines/>
      <w:tabs>
        <w:tab w:val="left" w:pos="720"/>
      </w:tabs>
      <w:spacing w:before="120" w:after="120"/>
      <w:ind w:firstLine="0"/>
      <w:outlineLvl w:val="1"/>
    </w:pPr>
    <w:rPr>
      <w:rFonts w:ascii="Arial" w:hAnsi="Arial"/>
      <w:b/>
      <w:sz w:val="28"/>
    </w:rPr>
  </w:style>
  <w:style w:type="paragraph" w:styleId="6">
    <w:name w:val="heading 3"/>
    <w:basedOn w:val="1"/>
    <w:next w:val="1"/>
    <w:link w:val="145"/>
    <w:qFormat/>
    <w:uiPriority w:val="0"/>
    <w:pPr>
      <w:keepNext/>
      <w:keepLines/>
      <w:numPr>
        <w:ilvl w:val="2"/>
        <w:numId w:val="1"/>
      </w:numPr>
      <w:spacing w:before="120" w:after="120"/>
      <w:outlineLvl w:val="2"/>
    </w:pPr>
    <w:rPr>
      <w:b/>
      <w:sz w:val="28"/>
    </w:rPr>
  </w:style>
  <w:style w:type="paragraph" w:styleId="7">
    <w:name w:val="heading 4"/>
    <w:basedOn w:val="1"/>
    <w:next w:val="1"/>
    <w:link w:val="109"/>
    <w:qFormat/>
    <w:uiPriority w:val="0"/>
    <w:pPr>
      <w:keepNext/>
      <w:keepLines/>
      <w:widowControl w:val="0"/>
      <w:numPr>
        <w:ilvl w:val="3"/>
        <w:numId w:val="1"/>
      </w:numPr>
      <w:spacing w:before="120" w:after="120" w:line="480" w:lineRule="exact"/>
      <w:outlineLvl w:val="3"/>
    </w:pPr>
    <w:rPr>
      <w:rFonts w:ascii="Arial" w:hAnsi="Arial"/>
      <w:b/>
      <w:sz w:val="28"/>
    </w:rPr>
  </w:style>
  <w:style w:type="paragraph" w:styleId="8">
    <w:name w:val="heading 5"/>
    <w:basedOn w:val="1"/>
    <w:next w:val="1"/>
    <w:link w:val="146"/>
    <w:qFormat/>
    <w:uiPriority w:val="0"/>
    <w:pPr>
      <w:keepNext/>
      <w:keepLines/>
      <w:numPr>
        <w:ilvl w:val="4"/>
        <w:numId w:val="1"/>
      </w:numPr>
      <w:spacing w:before="120" w:after="120"/>
      <w:ind w:left="0" w:firstLine="0"/>
      <w:outlineLvl w:val="4"/>
    </w:pPr>
    <w:rPr>
      <w:rFonts w:ascii="宋体" w:hAnsi="宋体"/>
      <w:b/>
      <w:sz w:val="28"/>
    </w:rPr>
  </w:style>
  <w:style w:type="paragraph" w:styleId="9">
    <w:name w:val="heading 6"/>
    <w:basedOn w:val="1"/>
    <w:next w:val="1"/>
    <w:link w:val="154"/>
    <w:qFormat/>
    <w:uiPriority w:val="0"/>
    <w:pPr>
      <w:keepNext/>
      <w:keepLines/>
      <w:numPr>
        <w:ilvl w:val="5"/>
        <w:numId w:val="1"/>
      </w:numPr>
      <w:spacing w:before="120" w:after="120"/>
      <w:outlineLvl w:val="5"/>
    </w:pPr>
    <w:rPr>
      <w:rFonts w:ascii="Arial" w:hAnsi="Arial"/>
      <w:b/>
      <w:sz w:val="28"/>
    </w:rPr>
  </w:style>
  <w:style w:type="paragraph" w:styleId="10">
    <w:name w:val="heading 7"/>
    <w:basedOn w:val="1"/>
    <w:next w:val="1"/>
    <w:link w:val="147"/>
    <w:qFormat/>
    <w:uiPriority w:val="0"/>
    <w:pPr>
      <w:keepNext/>
      <w:keepLines/>
      <w:numPr>
        <w:ilvl w:val="6"/>
        <w:numId w:val="1"/>
      </w:numPr>
      <w:spacing w:before="120" w:after="120"/>
      <w:ind w:left="0" w:firstLine="0"/>
      <w:outlineLvl w:val="6"/>
    </w:pPr>
    <w:rPr>
      <w:rFonts w:ascii="宋体" w:hAnsi="宋体"/>
      <w:b/>
      <w:sz w:val="28"/>
    </w:rPr>
  </w:style>
  <w:style w:type="paragraph" w:styleId="11">
    <w:name w:val="heading 8"/>
    <w:basedOn w:val="1"/>
    <w:next w:val="1"/>
    <w:link w:val="151"/>
    <w:qFormat/>
    <w:uiPriority w:val="9"/>
    <w:pPr>
      <w:keepNext/>
      <w:keepLines/>
      <w:spacing w:before="120" w:after="120"/>
      <w:ind w:firstLine="0"/>
      <w:outlineLvl w:val="7"/>
    </w:pPr>
    <w:rPr>
      <w:rFonts w:ascii="Arial" w:hAnsi="Arial" w:eastAsia="黑体"/>
    </w:rPr>
  </w:style>
  <w:style w:type="paragraph" w:styleId="12">
    <w:name w:val="heading 9"/>
    <w:basedOn w:val="1"/>
    <w:next w:val="1"/>
    <w:link w:val="159"/>
    <w:qFormat/>
    <w:uiPriority w:val="9"/>
    <w:pPr>
      <w:keepNext/>
      <w:keepLines/>
      <w:spacing w:before="240" w:after="64"/>
      <w:ind w:left="1584" w:firstLine="0"/>
      <w:outlineLvl w:val="8"/>
    </w:pPr>
    <w:rPr>
      <w:rFonts w:ascii="Arial" w:hAnsi="Arial" w:eastAsia="黑体"/>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64"/>
    <w:qFormat/>
    <w:uiPriority w:val="99"/>
    <w:pPr>
      <w:spacing w:after="120"/>
    </w:pPr>
  </w:style>
  <w:style w:type="paragraph" w:styleId="3">
    <w:name w:val="Title"/>
    <w:basedOn w:val="1"/>
    <w:next w:val="1"/>
    <w:link w:val="155"/>
    <w:qFormat/>
    <w:uiPriority w:val="0"/>
    <w:pPr>
      <w:adjustRightInd w:val="0"/>
      <w:spacing w:line="360" w:lineRule="atLeast"/>
      <w:ind w:firstLine="0"/>
      <w:textAlignment w:val="baseline"/>
      <w:outlineLvl w:val="0"/>
    </w:pPr>
    <w:rPr>
      <w:rFonts w:ascii="Cambria" w:hAnsi="Cambria"/>
      <w:b/>
      <w:kern w:val="0"/>
      <w:sz w:val="32"/>
    </w:rPr>
  </w:style>
  <w:style w:type="paragraph" w:styleId="13">
    <w:name w:val="toc 7"/>
    <w:basedOn w:val="1"/>
    <w:next w:val="1"/>
    <w:qFormat/>
    <w:uiPriority w:val="39"/>
    <w:pPr>
      <w:spacing w:line="240" w:lineRule="auto"/>
      <w:ind w:left="2520" w:leftChars="1200" w:firstLine="0"/>
    </w:pPr>
    <w:rPr>
      <w:rFonts w:ascii="Calibri" w:hAnsi="Calibri"/>
      <w:sz w:val="21"/>
    </w:rPr>
  </w:style>
  <w:style w:type="paragraph" w:styleId="14">
    <w:name w:val="List Bullet 4"/>
    <w:basedOn w:val="1"/>
    <w:qFormat/>
    <w:uiPriority w:val="0"/>
    <w:pPr>
      <w:tabs>
        <w:tab w:val="left" w:pos="3096"/>
      </w:tabs>
      <w:spacing w:beforeLines="20"/>
      <w:ind w:left="3096" w:firstLine="0"/>
    </w:pPr>
    <w:rPr>
      <w:sz w:val="28"/>
    </w:rPr>
  </w:style>
  <w:style w:type="paragraph" w:styleId="15">
    <w:name w:val="List Number"/>
    <w:basedOn w:val="1"/>
    <w:qFormat/>
    <w:uiPriority w:val="0"/>
    <w:pPr>
      <w:tabs>
        <w:tab w:val="left" w:pos="360"/>
      </w:tabs>
      <w:spacing w:line="240" w:lineRule="auto"/>
      <w:ind w:left="360" w:hanging="360"/>
    </w:pPr>
    <w:rPr>
      <w:color w:val="000000"/>
      <w:kern w:val="0"/>
      <w:lang w:eastAsia="en-US"/>
    </w:rPr>
  </w:style>
  <w:style w:type="paragraph" w:styleId="16">
    <w:name w:val="Normal Indent"/>
    <w:basedOn w:val="1"/>
    <w:qFormat/>
    <w:uiPriority w:val="0"/>
    <w:pPr>
      <w:spacing w:before="0" w:after="0"/>
      <w:ind w:firstLine="420"/>
    </w:pPr>
    <w:rPr>
      <w:sz w:val="21"/>
    </w:rPr>
  </w:style>
  <w:style w:type="paragraph" w:styleId="17">
    <w:name w:val="caption"/>
    <w:basedOn w:val="1"/>
    <w:next w:val="1"/>
    <w:link w:val="162"/>
    <w:qFormat/>
    <w:uiPriority w:val="0"/>
    <w:pPr>
      <w:spacing w:before="120" w:after="120"/>
      <w:ind w:firstLine="0"/>
    </w:pPr>
    <w:rPr>
      <w:sz w:val="21"/>
    </w:rPr>
  </w:style>
  <w:style w:type="paragraph" w:styleId="18">
    <w:name w:val="List Bullet"/>
    <w:basedOn w:val="1"/>
    <w:qFormat/>
    <w:uiPriority w:val="0"/>
    <w:pPr>
      <w:tabs>
        <w:tab w:val="left" w:pos="845"/>
      </w:tabs>
      <w:spacing w:beforeLines="20"/>
      <w:ind w:left="845" w:firstLine="0"/>
    </w:pPr>
    <w:rPr>
      <w:sz w:val="28"/>
    </w:rPr>
  </w:style>
  <w:style w:type="paragraph" w:styleId="19">
    <w:name w:val="Document Map"/>
    <w:basedOn w:val="1"/>
    <w:link w:val="709"/>
    <w:unhideWhenUsed/>
    <w:qFormat/>
    <w:uiPriority w:val="99"/>
    <w:rPr>
      <w:rFonts w:ascii="宋体"/>
      <w:sz w:val="18"/>
      <w:szCs w:val="18"/>
    </w:rPr>
  </w:style>
  <w:style w:type="paragraph" w:styleId="20">
    <w:name w:val="annotation text"/>
    <w:basedOn w:val="1"/>
    <w:link w:val="158"/>
    <w:qFormat/>
    <w:uiPriority w:val="0"/>
  </w:style>
  <w:style w:type="paragraph" w:styleId="21">
    <w:name w:val="List Bullet 3"/>
    <w:basedOn w:val="1"/>
    <w:qFormat/>
    <w:uiPriority w:val="0"/>
    <w:pPr>
      <w:tabs>
        <w:tab w:val="left" w:pos="2376"/>
      </w:tabs>
      <w:spacing w:beforeLines="20"/>
      <w:ind w:left="2376" w:firstLine="0"/>
    </w:pPr>
    <w:rPr>
      <w:sz w:val="28"/>
    </w:rPr>
  </w:style>
  <w:style w:type="paragraph" w:styleId="22">
    <w:name w:val="Body Text Indent"/>
    <w:basedOn w:val="1"/>
    <w:link w:val="930"/>
    <w:unhideWhenUsed/>
    <w:qFormat/>
    <w:uiPriority w:val="0"/>
    <w:pPr>
      <w:spacing w:after="120"/>
      <w:ind w:left="420" w:leftChars="200"/>
    </w:pPr>
  </w:style>
  <w:style w:type="paragraph" w:styleId="23">
    <w:name w:val="Block Text"/>
    <w:basedOn w:val="1"/>
    <w:next w:val="1"/>
    <w:link w:val="161"/>
    <w:qFormat/>
    <w:uiPriority w:val="0"/>
    <w:pPr>
      <w:spacing w:line="276" w:lineRule="auto"/>
      <w:ind w:firstLine="0"/>
    </w:pPr>
    <w:rPr>
      <w:rFonts w:ascii="Cambria" w:hAnsi="Cambria"/>
      <w:i/>
      <w:kern w:val="0"/>
      <w:sz w:val="22"/>
      <w:lang w:eastAsia="en-US"/>
    </w:rPr>
  </w:style>
  <w:style w:type="paragraph" w:styleId="24">
    <w:name w:val="List Bullet 2"/>
    <w:basedOn w:val="1"/>
    <w:qFormat/>
    <w:uiPriority w:val="0"/>
    <w:pPr>
      <w:tabs>
        <w:tab w:val="left" w:pos="1656"/>
      </w:tabs>
      <w:spacing w:beforeLines="20"/>
      <w:ind w:left="1656" w:firstLine="0"/>
    </w:pPr>
    <w:rPr>
      <w:sz w:val="28"/>
    </w:rPr>
  </w:style>
  <w:style w:type="paragraph" w:styleId="25">
    <w:name w:val="toc 5"/>
    <w:basedOn w:val="1"/>
    <w:next w:val="1"/>
    <w:qFormat/>
    <w:uiPriority w:val="39"/>
    <w:pPr>
      <w:spacing w:line="240" w:lineRule="auto"/>
      <w:ind w:left="1680" w:leftChars="800" w:firstLine="0"/>
    </w:pPr>
    <w:rPr>
      <w:rFonts w:ascii="Calibri" w:hAnsi="Calibri"/>
      <w:sz w:val="21"/>
    </w:rPr>
  </w:style>
  <w:style w:type="paragraph" w:styleId="26">
    <w:name w:val="toc 3"/>
    <w:basedOn w:val="1"/>
    <w:next w:val="1"/>
    <w:qFormat/>
    <w:uiPriority w:val="39"/>
    <w:pPr>
      <w:tabs>
        <w:tab w:val="left" w:pos="2520"/>
        <w:tab w:val="right" w:leader="dot" w:pos="9061"/>
      </w:tabs>
      <w:spacing w:line="240" w:lineRule="auto"/>
      <w:ind w:left="400" w:leftChars="400"/>
    </w:pPr>
  </w:style>
  <w:style w:type="paragraph" w:styleId="27">
    <w:name w:val="Plain Text"/>
    <w:basedOn w:val="1"/>
    <w:link w:val="1053"/>
    <w:unhideWhenUsed/>
    <w:qFormat/>
    <w:uiPriority w:val="0"/>
    <w:rPr>
      <w:rFonts w:ascii="宋体" w:hAnsi="Courier New" w:cs="Courier New"/>
      <w:sz w:val="21"/>
      <w:szCs w:val="21"/>
    </w:rPr>
  </w:style>
  <w:style w:type="paragraph" w:styleId="28">
    <w:name w:val="List Bullet 5"/>
    <w:basedOn w:val="1"/>
    <w:qFormat/>
    <w:uiPriority w:val="0"/>
    <w:pPr>
      <w:tabs>
        <w:tab w:val="left" w:pos="360"/>
      </w:tabs>
      <w:spacing w:before="0" w:after="0" w:line="276" w:lineRule="auto"/>
      <w:ind w:firstLine="0"/>
      <w:jc w:val="left"/>
    </w:pPr>
    <w:rPr>
      <w:rFonts w:ascii="Calibri" w:hAnsi="Calibri"/>
      <w:kern w:val="0"/>
      <w:sz w:val="22"/>
      <w:szCs w:val="22"/>
      <w:lang w:eastAsia="en-US"/>
    </w:rPr>
  </w:style>
  <w:style w:type="paragraph" w:styleId="29">
    <w:name w:val="toc 8"/>
    <w:basedOn w:val="1"/>
    <w:next w:val="1"/>
    <w:qFormat/>
    <w:uiPriority w:val="39"/>
    <w:pPr>
      <w:spacing w:line="240" w:lineRule="auto"/>
      <w:ind w:left="2940" w:leftChars="1400" w:firstLine="0"/>
    </w:pPr>
    <w:rPr>
      <w:rFonts w:ascii="Calibri" w:hAnsi="Calibri"/>
      <w:sz w:val="21"/>
    </w:rPr>
  </w:style>
  <w:style w:type="paragraph" w:styleId="30">
    <w:name w:val="endnote text"/>
    <w:basedOn w:val="1"/>
    <w:link w:val="148"/>
    <w:qFormat/>
    <w:uiPriority w:val="0"/>
    <w:pPr>
      <w:snapToGrid w:val="0"/>
      <w:spacing w:line="240" w:lineRule="auto"/>
      <w:ind w:firstLine="0"/>
    </w:pPr>
    <w:rPr>
      <w:sz w:val="21"/>
    </w:rPr>
  </w:style>
  <w:style w:type="paragraph" w:styleId="31">
    <w:name w:val="Balloon Text"/>
    <w:basedOn w:val="1"/>
    <w:link w:val="163"/>
    <w:qFormat/>
    <w:uiPriority w:val="99"/>
    <w:rPr>
      <w:sz w:val="18"/>
    </w:rPr>
  </w:style>
  <w:style w:type="paragraph" w:styleId="32">
    <w:name w:val="footer"/>
    <w:basedOn w:val="1"/>
    <w:link w:val="160"/>
    <w:qFormat/>
    <w:uiPriority w:val="99"/>
    <w:pPr>
      <w:tabs>
        <w:tab w:val="center" w:pos="4153"/>
        <w:tab w:val="right" w:pos="8306"/>
      </w:tabs>
      <w:snapToGrid w:val="0"/>
      <w:spacing w:line="240" w:lineRule="auto"/>
    </w:pPr>
    <w:rPr>
      <w:sz w:val="18"/>
    </w:rPr>
  </w:style>
  <w:style w:type="paragraph" w:styleId="33">
    <w:name w:val="header"/>
    <w:basedOn w:val="1"/>
    <w:link w:val="144"/>
    <w:qFormat/>
    <w:uiPriority w:val="99"/>
    <w:pPr>
      <w:pBdr>
        <w:bottom w:val="single" w:color="auto" w:sz="6" w:space="1"/>
      </w:pBdr>
      <w:tabs>
        <w:tab w:val="center" w:pos="4153"/>
        <w:tab w:val="right" w:pos="8306"/>
      </w:tabs>
      <w:snapToGrid w:val="0"/>
      <w:spacing w:line="240" w:lineRule="auto"/>
    </w:pPr>
    <w:rPr>
      <w:sz w:val="18"/>
    </w:rPr>
  </w:style>
  <w:style w:type="paragraph" w:styleId="34">
    <w:name w:val="toc 1"/>
    <w:basedOn w:val="1"/>
    <w:next w:val="1"/>
    <w:qFormat/>
    <w:uiPriority w:val="39"/>
    <w:pPr>
      <w:tabs>
        <w:tab w:val="left" w:pos="1260"/>
        <w:tab w:val="right" w:leader="dot" w:pos="9061"/>
      </w:tabs>
      <w:spacing w:line="240" w:lineRule="auto"/>
      <w:ind w:firstLine="480"/>
    </w:pPr>
  </w:style>
  <w:style w:type="paragraph" w:styleId="35">
    <w:name w:val="toc 4"/>
    <w:basedOn w:val="1"/>
    <w:next w:val="1"/>
    <w:qFormat/>
    <w:uiPriority w:val="39"/>
    <w:pPr>
      <w:ind w:left="1260" w:leftChars="600"/>
    </w:pPr>
  </w:style>
  <w:style w:type="paragraph" w:styleId="36">
    <w:name w:val="Subtitle"/>
    <w:basedOn w:val="1"/>
    <w:next w:val="1"/>
    <w:link w:val="156"/>
    <w:qFormat/>
    <w:uiPriority w:val="0"/>
    <w:pPr>
      <w:spacing w:line="276" w:lineRule="auto"/>
      <w:ind w:firstLine="0"/>
    </w:pPr>
    <w:rPr>
      <w:rFonts w:ascii="Cambria" w:hAnsi="Cambria"/>
      <w:i/>
      <w:smallCaps/>
      <w:spacing w:val="10"/>
      <w:kern w:val="0"/>
      <w:sz w:val="28"/>
      <w:lang w:eastAsia="en-US"/>
    </w:rPr>
  </w:style>
  <w:style w:type="paragraph" w:styleId="37">
    <w:name w:val="footnote text"/>
    <w:basedOn w:val="1"/>
    <w:link w:val="107"/>
    <w:qFormat/>
    <w:uiPriority w:val="0"/>
    <w:pPr>
      <w:snapToGrid w:val="0"/>
      <w:spacing w:line="240" w:lineRule="auto"/>
      <w:ind w:firstLine="0"/>
    </w:pPr>
    <w:rPr>
      <w:sz w:val="18"/>
    </w:rPr>
  </w:style>
  <w:style w:type="paragraph" w:styleId="38">
    <w:name w:val="toc 6"/>
    <w:basedOn w:val="1"/>
    <w:next w:val="1"/>
    <w:qFormat/>
    <w:uiPriority w:val="39"/>
    <w:pPr>
      <w:spacing w:line="240" w:lineRule="auto"/>
      <w:ind w:left="2100" w:leftChars="1000" w:firstLine="0"/>
    </w:pPr>
    <w:rPr>
      <w:rFonts w:ascii="Calibri" w:hAnsi="Calibri"/>
      <w:sz w:val="21"/>
    </w:rPr>
  </w:style>
  <w:style w:type="paragraph" w:styleId="39">
    <w:name w:val="toc 2"/>
    <w:basedOn w:val="1"/>
    <w:next w:val="1"/>
    <w:qFormat/>
    <w:uiPriority w:val="39"/>
    <w:pPr>
      <w:tabs>
        <w:tab w:val="left" w:pos="1680"/>
        <w:tab w:val="right" w:leader="dot" w:pos="9061"/>
      </w:tabs>
      <w:spacing w:line="240" w:lineRule="auto"/>
      <w:ind w:left="200" w:leftChars="200"/>
    </w:pPr>
  </w:style>
  <w:style w:type="paragraph" w:styleId="40">
    <w:name w:val="toc 9"/>
    <w:basedOn w:val="1"/>
    <w:next w:val="1"/>
    <w:qFormat/>
    <w:uiPriority w:val="39"/>
    <w:pPr>
      <w:spacing w:line="240" w:lineRule="auto"/>
      <w:ind w:left="3360" w:leftChars="1600" w:firstLine="0"/>
    </w:pPr>
    <w:rPr>
      <w:rFonts w:ascii="Calibri" w:hAnsi="Calibri"/>
      <w:sz w:val="21"/>
    </w:rPr>
  </w:style>
  <w:style w:type="paragraph" w:styleId="41">
    <w:name w:val="HTML Preformatted"/>
    <w:basedOn w:val="1"/>
    <w:link w:val="922"/>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宋体" w:hAnsi="宋体"/>
      <w:kern w:val="0"/>
      <w:szCs w:val="24"/>
    </w:rPr>
  </w:style>
  <w:style w:type="paragraph" w:styleId="42">
    <w:name w:val="Normal (Web)"/>
    <w:basedOn w:val="1"/>
    <w:unhideWhenUsed/>
    <w:qFormat/>
    <w:uiPriority w:val="99"/>
    <w:pPr>
      <w:spacing w:before="100" w:beforeAutospacing="1" w:after="100" w:afterAutospacing="1" w:line="240" w:lineRule="auto"/>
      <w:ind w:firstLine="0"/>
      <w:jc w:val="left"/>
    </w:pPr>
    <w:rPr>
      <w:rFonts w:ascii="宋体" w:hAnsi="宋体" w:cs="宋体"/>
      <w:kern w:val="0"/>
      <w:szCs w:val="24"/>
    </w:rPr>
  </w:style>
  <w:style w:type="paragraph" w:styleId="43">
    <w:name w:val="annotation subject"/>
    <w:basedOn w:val="20"/>
    <w:next w:val="20"/>
    <w:link w:val="712"/>
    <w:unhideWhenUsed/>
    <w:qFormat/>
    <w:uiPriority w:val="99"/>
    <w:pPr>
      <w:jc w:val="left"/>
    </w:pPr>
    <w:rPr>
      <w:b/>
      <w:bCs/>
    </w:rPr>
  </w:style>
  <w:style w:type="paragraph" w:styleId="44">
    <w:name w:val="Body Text First Indent"/>
    <w:basedOn w:val="2"/>
    <w:qFormat/>
    <w:uiPriority w:val="0"/>
    <w:pPr>
      <w:ind w:firstLine="420" w:firstLineChars="100"/>
    </w:pPr>
  </w:style>
  <w:style w:type="paragraph" w:styleId="45">
    <w:name w:val="Body Text First Indent 2"/>
    <w:basedOn w:val="22"/>
    <w:link w:val="931"/>
    <w:unhideWhenUsed/>
    <w:qFormat/>
    <w:uiPriority w:val="99"/>
    <w:pPr>
      <w:ind w:firstLine="420"/>
    </w:pPr>
  </w:style>
  <w:style w:type="table" w:styleId="47">
    <w:name w:val="Table Grid"/>
    <w:basedOn w:val="46"/>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rPr>
  </w:style>
  <w:style w:type="character" w:styleId="50">
    <w:name w:val="endnote reference"/>
    <w:qFormat/>
    <w:uiPriority w:val="0"/>
    <w:rPr>
      <w:vertAlign w:val="superscript"/>
    </w:rPr>
  </w:style>
  <w:style w:type="character" w:styleId="51">
    <w:name w:val="page number"/>
    <w:basedOn w:val="48"/>
    <w:qFormat/>
    <w:uiPriority w:val="0"/>
    <w:rPr>
      <w:rFonts w:ascii="Times New Roman" w:hAnsi="Times New Roman" w:eastAsia="宋体"/>
      <w:sz w:val="18"/>
    </w:rPr>
  </w:style>
  <w:style w:type="character" w:styleId="52">
    <w:name w:val="FollowedHyperlink"/>
    <w:qFormat/>
    <w:uiPriority w:val="99"/>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basedOn w:val="48"/>
    <w:unhideWhenUsed/>
    <w:qFormat/>
    <w:uiPriority w:val="99"/>
    <w:rPr>
      <w:sz w:val="21"/>
      <w:szCs w:val="21"/>
    </w:rPr>
  </w:style>
  <w:style w:type="character" w:styleId="56">
    <w:name w:val="footnote reference"/>
    <w:qFormat/>
    <w:uiPriority w:val="0"/>
    <w:rPr>
      <w:vertAlign w:val="superscript"/>
    </w:rPr>
  </w:style>
  <w:style w:type="paragraph" w:customStyle="1" w:styleId="57">
    <w:name w:val="Default"/>
    <w:qFormat/>
    <w:uiPriority w:val="0"/>
    <w:pPr>
      <w:widowControl w:val="0"/>
      <w:autoSpaceDE w:val="0"/>
      <w:autoSpaceDN w:val="0"/>
      <w:adjustRightInd w:val="0"/>
      <w:spacing w:before="156" w:after="156" w:line="360" w:lineRule="auto"/>
      <w:ind w:firstLine="482"/>
      <w:jc w:val="both"/>
    </w:pPr>
    <w:rPr>
      <w:rFonts w:ascii="Times New Roman" w:hAnsi="Times New Roman" w:eastAsia="宋体" w:cs="Times New Roman"/>
      <w:color w:val="000000"/>
      <w:sz w:val="24"/>
      <w:lang w:val="en-US" w:eastAsia="zh-CN" w:bidi="ar-SA"/>
    </w:rPr>
  </w:style>
  <w:style w:type="character" w:customStyle="1" w:styleId="58">
    <w:name w:val="正文文本缩进 3 Char"/>
    <w:link w:val="59"/>
    <w:qFormat/>
    <w:uiPriority w:val="0"/>
    <w:rPr>
      <w:sz w:val="16"/>
    </w:rPr>
  </w:style>
  <w:style w:type="paragraph" w:customStyle="1" w:styleId="59">
    <w:name w:val="正文文本缩进 31"/>
    <w:basedOn w:val="1"/>
    <w:link w:val="58"/>
    <w:qFormat/>
    <w:uiPriority w:val="0"/>
    <w:pPr>
      <w:adjustRightInd w:val="0"/>
      <w:spacing w:line="360" w:lineRule="atLeast"/>
      <w:ind w:left="420" w:leftChars="200" w:firstLine="0"/>
      <w:textAlignment w:val="baseline"/>
    </w:pPr>
    <w:rPr>
      <w:kern w:val="0"/>
      <w:sz w:val="16"/>
    </w:rPr>
  </w:style>
  <w:style w:type="character" w:customStyle="1" w:styleId="60">
    <w:name w:val="正文文本缩进 Char"/>
    <w:link w:val="61"/>
    <w:qFormat/>
    <w:uiPriority w:val="99"/>
    <w:rPr>
      <w:rFonts w:eastAsia="宋体"/>
      <w:kern w:val="2"/>
      <w:sz w:val="21"/>
      <w:lang w:val="en-US" w:eastAsia="zh-CN"/>
    </w:rPr>
  </w:style>
  <w:style w:type="paragraph" w:customStyle="1" w:styleId="61">
    <w:name w:val="正文文本缩进1"/>
    <w:basedOn w:val="1"/>
    <w:link w:val="60"/>
    <w:qFormat/>
    <w:uiPriority w:val="99"/>
    <w:pPr>
      <w:spacing w:after="120"/>
      <w:ind w:left="420" w:leftChars="200" w:firstLine="0"/>
    </w:pPr>
    <w:rPr>
      <w:sz w:val="21"/>
    </w:rPr>
  </w:style>
  <w:style w:type="character" w:customStyle="1" w:styleId="62">
    <w:name w:val="apple-style-span"/>
    <w:qFormat/>
    <w:uiPriority w:val="0"/>
  </w:style>
  <w:style w:type="character" w:customStyle="1" w:styleId="63">
    <w:name w:val="short_text"/>
    <w:qFormat/>
    <w:uiPriority w:val="0"/>
  </w:style>
  <w:style w:type="character" w:customStyle="1" w:styleId="64">
    <w:name w:val="HTML 样本1"/>
    <w:qFormat/>
    <w:uiPriority w:val="0"/>
    <w:rPr>
      <w:rFonts w:ascii="Courier New" w:hAnsi="Courier New"/>
    </w:rPr>
  </w:style>
  <w:style w:type="character" w:customStyle="1" w:styleId="65">
    <w:name w:val="正文－段落 Char Char"/>
    <w:link w:val="66"/>
    <w:qFormat/>
    <w:uiPriority w:val="0"/>
    <w:rPr>
      <w:sz w:val="24"/>
      <w:lang w:val="en-US" w:eastAsia="zh-CN" w:bidi="ar-SA"/>
    </w:rPr>
  </w:style>
  <w:style w:type="paragraph" w:customStyle="1" w:styleId="66">
    <w:name w:val="正文－段落"/>
    <w:link w:val="65"/>
    <w:qFormat/>
    <w:uiPriority w:val="0"/>
    <w:pPr>
      <w:spacing w:before="156" w:after="156" w:line="360" w:lineRule="auto"/>
      <w:ind w:firstLine="480" w:firstLineChars="200"/>
      <w:jc w:val="both"/>
    </w:pPr>
    <w:rPr>
      <w:rFonts w:ascii="Times New Roman" w:hAnsi="Times New Roman" w:eastAsia="宋体" w:cs="Times New Roman"/>
      <w:sz w:val="24"/>
      <w:lang w:val="en-US" w:eastAsia="zh-CN" w:bidi="ar-SA"/>
    </w:rPr>
  </w:style>
  <w:style w:type="character" w:customStyle="1" w:styleId="67">
    <w:name w:val="标题 4 Char1"/>
    <w:qFormat/>
    <w:uiPriority w:val="0"/>
    <w:rPr>
      <w:rFonts w:ascii="Cambria" w:hAnsi="Cambria" w:eastAsia="宋体"/>
      <w:b/>
      <w:kern w:val="2"/>
      <w:sz w:val="28"/>
    </w:rPr>
  </w:style>
  <w:style w:type="character" w:customStyle="1" w:styleId="68">
    <w:name w:val="正文首行缩进 Char"/>
    <w:link w:val="69"/>
    <w:qFormat/>
    <w:uiPriority w:val="0"/>
    <w:rPr>
      <w:rFonts w:eastAsia="宋体"/>
      <w:kern w:val="2"/>
      <w:sz w:val="21"/>
      <w:lang w:val="en-US" w:eastAsia="zh-CN"/>
    </w:rPr>
  </w:style>
  <w:style w:type="paragraph" w:customStyle="1" w:styleId="69">
    <w:name w:val="正文首行缩进1"/>
    <w:basedOn w:val="2"/>
    <w:link w:val="68"/>
    <w:qFormat/>
    <w:uiPriority w:val="0"/>
    <w:pPr>
      <w:ind w:firstLine="420"/>
    </w:pPr>
    <w:rPr>
      <w:sz w:val="21"/>
    </w:rPr>
  </w:style>
  <w:style w:type="character" w:customStyle="1" w:styleId="70">
    <w:name w:val="个人撰写风格"/>
    <w:qFormat/>
    <w:uiPriority w:val="0"/>
    <w:rPr>
      <w:rFonts w:ascii="Arial" w:hAnsi="Arial" w:eastAsia="宋体"/>
      <w:color w:val="auto"/>
      <w:sz w:val="20"/>
    </w:rPr>
  </w:style>
  <w:style w:type="character" w:customStyle="1" w:styleId="71">
    <w:name w:val="图 Char Char"/>
    <w:link w:val="72"/>
    <w:qFormat/>
    <w:uiPriority w:val="0"/>
    <w:rPr>
      <w:rFonts w:ascii="Arial" w:hAnsi="宋体" w:eastAsia="黑体"/>
      <w:kern w:val="2"/>
      <w:sz w:val="24"/>
    </w:rPr>
  </w:style>
  <w:style w:type="paragraph" w:customStyle="1" w:styleId="72">
    <w:name w:val="图"/>
    <w:basedOn w:val="17"/>
    <w:link w:val="71"/>
    <w:qFormat/>
    <w:uiPriority w:val="0"/>
    <w:pPr>
      <w:ind w:firstLine="420"/>
    </w:pPr>
    <w:rPr>
      <w:rFonts w:ascii="Arial" w:hAnsi="宋体" w:eastAsia="黑体"/>
      <w:sz w:val="24"/>
    </w:rPr>
  </w:style>
  <w:style w:type="character" w:customStyle="1" w:styleId="73">
    <w:name w:val="HTML 预设格式 Char"/>
    <w:link w:val="74"/>
    <w:qFormat/>
    <w:uiPriority w:val="0"/>
    <w:rPr>
      <w:rFonts w:ascii="Arial" w:hAnsi="Arial"/>
      <w:sz w:val="21"/>
    </w:rPr>
  </w:style>
  <w:style w:type="paragraph" w:customStyle="1" w:styleId="74">
    <w:name w:val="HTML 预设格式1"/>
    <w:basedOn w:val="1"/>
    <w:link w:val="73"/>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0"/>
    </w:pPr>
    <w:rPr>
      <w:rFonts w:ascii="Arial" w:hAnsi="Arial"/>
      <w:kern w:val="0"/>
      <w:sz w:val="21"/>
    </w:rPr>
  </w:style>
  <w:style w:type="character" w:customStyle="1" w:styleId="75">
    <w:name w:val="正文首行缩进 2 Char"/>
    <w:link w:val="76"/>
    <w:qFormat/>
    <w:uiPriority w:val="0"/>
    <w:rPr>
      <w:kern w:val="2"/>
      <w:sz w:val="24"/>
    </w:rPr>
  </w:style>
  <w:style w:type="paragraph" w:customStyle="1" w:styleId="76">
    <w:name w:val="正文首行缩进 21"/>
    <w:basedOn w:val="61"/>
    <w:link w:val="75"/>
    <w:qFormat/>
    <w:uiPriority w:val="0"/>
    <w:pPr>
      <w:ind w:firstLine="420" w:firstLineChars="200"/>
    </w:pPr>
    <w:rPr>
      <w:sz w:val="24"/>
    </w:rPr>
  </w:style>
  <w:style w:type="character" w:customStyle="1" w:styleId="77">
    <w:name w:val="正文缩进 Char"/>
    <w:link w:val="78"/>
    <w:qFormat/>
    <w:uiPriority w:val="0"/>
    <w:rPr>
      <w:rFonts w:eastAsia="宋体"/>
      <w:kern w:val="2"/>
      <w:sz w:val="21"/>
      <w:lang w:val="en-US" w:eastAsia="zh-CN"/>
    </w:rPr>
  </w:style>
  <w:style w:type="paragraph" w:customStyle="1" w:styleId="78">
    <w:name w:val="正文缩进1"/>
    <w:basedOn w:val="1"/>
    <w:link w:val="77"/>
    <w:qFormat/>
    <w:uiPriority w:val="0"/>
    <w:pPr>
      <w:ind w:firstLine="420"/>
    </w:pPr>
    <w:rPr>
      <w:sz w:val="21"/>
    </w:rPr>
  </w:style>
  <w:style w:type="character" w:customStyle="1" w:styleId="79">
    <w:name w:val="文档结构图 Char"/>
    <w:link w:val="80"/>
    <w:qFormat/>
    <w:uiPriority w:val="0"/>
    <w:rPr>
      <w:rFonts w:eastAsia="宋体"/>
      <w:kern w:val="2"/>
      <w:sz w:val="24"/>
      <w:lang w:val="en-US" w:eastAsia="zh-CN"/>
    </w:rPr>
  </w:style>
  <w:style w:type="paragraph" w:customStyle="1" w:styleId="80">
    <w:name w:val="文档结构图1"/>
    <w:basedOn w:val="1"/>
    <w:link w:val="79"/>
    <w:qFormat/>
    <w:uiPriority w:val="0"/>
    <w:pPr>
      <w:shd w:val="clear" w:color="auto" w:fill="000080"/>
    </w:pPr>
  </w:style>
  <w:style w:type="character" w:customStyle="1" w:styleId="81">
    <w:name w:val="日期 Char"/>
    <w:link w:val="82"/>
    <w:qFormat/>
    <w:uiPriority w:val="0"/>
    <w:rPr>
      <w:kern w:val="2"/>
      <w:sz w:val="24"/>
    </w:rPr>
  </w:style>
  <w:style w:type="paragraph" w:customStyle="1" w:styleId="82">
    <w:name w:val="日期1"/>
    <w:basedOn w:val="1"/>
    <w:next w:val="1"/>
    <w:link w:val="81"/>
    <w:qFormat/>
    <w:uiPriority w:val="0"/>
    <w:pPr>
      <w:ind w:left="100" w:leftChars="2500"/>
    </w:pPr>
  </w:style>
  <w:style w:type="character" w:customStyle="1" w:styleId="83">
    <w:name w:val="正文文本 2 Char"/>
    <w:link w:val="84"/>
    <w:qFormat/>
    <w:uiPriority w:val="0"/>
    <w:rPr>
      <w:kern w:val="2"/>
      <w:sz w:val="21"/>
    </w:rPr>
  </w:style>
  <w:style w:type="paragraph" w:customStyle="1" w:styleId="84">
    <w:name w:val="正文文本 22"/>
    <w:basedOn w:val="1"/>
    <w:link w:val="83"/>
    <w:qFormat/>
    <w:uiPriority w:val="0"/>
    <w:pPr>
      <w:spacing w:line="480" w:lineRule="auto"/>
      <w:ind w:firstLine="0"/>
    </w:pPr>
    <w:rPr>
      <w:sz w:val="21"/>
    </w:rPr>
  </w:style>
  <w:style w:type="character" w:customStyle="1" w:styleId="85">
    <w:name w:val="批注主题 Char"/>
    <w:link w:val="86"/>
    <w:qFormat/>
    <w:uiPriority w:val="0"/>
    <w:rPr>
      <w:b/>
      <w:kern w:val="2"/>
      <w:sz w:val="24"/>
    </w:rPr>
  </w:style>
  <w:style w:type="paragraph" w:customStyle="1" w:styleId="86">
    <w:name w:val="批注主题1"/>
    <w:basedOn w:val="20"/>
    <w:next w:val="20"/>
    <w:link w:val="85"/>
    <w:qFormat/>
    <w:uiPriority w:val="0"/>
    <w:rPr>
      <w:b/>
    </w:rPr>
  </w:style>
  <w:style w:type="character" w:customStyle="1" w:styleId="87">
    <w:name w:val="纯文本 Char"/>
    <w:link w:val="88"/>
    <w:qFormat/>
    <w:uiPriority w:val="0"/>
    <w:rPr>
      <w:rFonts w:ascii="宋体" w:hAnsi="Courier New"/>
      <w:kern w:val="2"/>
      <w:sz w:val="21"/>
    </w:rPr>
  </w:style>
  <w:style w:type="paragraph" w:customStyle="1" w:styleId="88">
    <w:name w:val="纯文本1"/>
    <w:basedOn w:val="1"/>
    <w:link w:val="87"/>
    <w:qFormat/>
    <w:uiPriority w:val="0"/>
    <w:pPr>
      <w:spacing w:line="240" w:lineRule="auto"/>
      <w:ind w:firstLine="0"/>
    </w:pPr>
    <w:rPr>
      <w:rFonts w:ascii="宋体" w:hAnsi="Courier New"/>
      <w:sz w:val="21"/>
    </w:rPr>
  </w:style>
  <w:style w:type="character" w:customStyle="1" w:styleId="89">
    <w:name w:val="样式91 Char Char"/>
    <w:link w:val="90"/>
    <w:qFormat/>
    <w:uiPriority w:val="0"/>
    <w:rPr>
      <w:rFonts w:ascii="Arial" w:hAnsi="Arial"/>
      <w:snapToGrid/>
      <w:sz w:val="24"/>
    </w:rPr>
  </w:style>
  <w:style w:type="paragraph" w:customStyle="1" w:styleId="90">
    <w:name w:val="样式91"/>
    <w:basedOn w:val="1"/>
    <w:link w:val="89"/>
    <w:qFormat/>
    <w:uiPriority w:val="0"/>
    <w:pPr>
      <w:adjustRightInd w:val="0"/>
      <w:snapToGrid w:val="0"/>
      <w:ind w:firstLine="480"/>
      <w:textAlignment w:val="baseline"/>
    </w:pPr>
    <w:rPr>
      <w:rFonts w:ascii="Arial" w:hAnsi="Arial"/>
      <w:kern w:val="0"/>
    </w:rPr>
  </w:style>
  <w:style w:type="character" w:customStyle="1" w:styleId="91">
    <w:name w:val="HTML 地址 Char"/>
    <w:link w:val="92"/>
    <w:qFormat/>
    <w:uiPriority w:val="0"/>
    <w:rPr>
      <w:i/>
      <w:kern w:val="2"/>
      <w:sz w:val="21"/>
    </w:rPr>
  </w:style>
  <w:style w:type="paragraph" w:customStyle="1" w:styleId="92">
    <w:name w:val="HTML 地址1"/>
    <w:basedOn w:val="1"/>
    <w:link w:val="91"/>
    <w:qFormat/>
    <w:uiPriority w:val="0"/>
    <w:pPr>
      <w:spacing w:line="240" w:lineRule="auto"/>
      <w:ind w:firstLine="0"/>
    </w:pPr>
    <w:rPr>
      <w:i/>
      <w:sz w:val="21"/>
    </w:rPr>
  </w:style>
  <w:style w:type="character" w:customStyle="1" w:styleId="93">
    <w:name w:val="正文文本 3 Char"/>
    <w:link w:val="94"/>
    <w:qFormat/>
    <w:uiPriority w:val="0"/>
    <w:rPr>
      <w:kern w:val="2"/>
      <w:sz w:val="16"/>
    </w:rPr>
  </w:style>
  <w:style w:type="paragraph" w:customStyle="1" w:styleId="94">
    <w:name w:val="正文文本 31"/>
    <w:basedOn w:val="1"/>
    <w:link w:val="93"/>
    <w:qFormat/>
    <w:uiPriority w:val="0"/>
    <w:pPr>
      <w:spacing w:line="240" w:lineRule="auto"/>
      <w:ind w:firstLine="0"/>
    </w:pPr>
    <w:rPr>
      <w:sz w:val="16"/>
    </w:rPr>
  </w:style>
  <w:style w:type="character" w:customStyle="1" w:styleId="95">
    <w:name w:val="正文文本缩进 2 Char"/>
    <w:link w:val="96"/>
    <w:qFormat/>
    <w:uiPriority w:val="0"/>
    <w:rPr>
      <w:kern w:val="2"/>
      <w:sz w:val="21"/>
    </w:rPr>
  </w:style>
  <w:style w:type="paragraph" w:customStyle="1" w:styleId="96">
    <w:name w:val="正文文本缩进 21"/>
    <w:basedOn w:val="1"/>
    <w:link w:val="95"/>
    <w:qFormat/>
    <w:uiPriority w:val="0"/>
    <w:pPr>
      <w:spacing w:line="480" w:lineRule="auto"/>
      <w:ind w:left="420" w:leftChars="200" w:firstLine="0"/>
    </w:pPr>
    <w:rPr>
      <w:sz w:val="21"/>
    </w:rPr>
  </w:style>
  <w:style w:type="character" w:customStyle="1" w:styleId="97">
    <w:name w:val="一级条标题 Char Char"/>
    <w:link w:val="98"/>
    <w:qFormat/>
    <w:uiPriority w:val="0"/>
    <w:rPr>
      <w:rFonts w:ascii="黑体" w:eastAsia="黑体"/>
      <w:b/>
      <w:sz w:val="21"/>
    </w:rPr>
  </w:style>
  <w:style w:type="paragraph" w:customStyle="1" w:styleId="98">
    <w:name w:val="一级条标题"/>
    <w:basedOn w:val="99"/>
    <w:next w:val="1"/>
    <w:link w:val="97"/>
    <w:qFormat/>
    <w:uiPriority w:val="0"/>
    <w:pPr>
      <w:tabs>
        <w:tab w:val="left" w:pos="360"/>
        <w:tab w:val="left" w:pos="420"/>
        <w:tab w:val="left" w:pos="525"/>
        <w:tab w:val="left" w:pos="720"/>
      </w:tabs>
      <w:outlineLvl w:val="2"/>
    </w:pPr>
  </w:style>
  <w:style w:type="paragraph" w:customStyle="1" w:styleId="99">
    <w:name w:val="章标题"/>
    <w:next w:val="1"/>
    <w:qFormat/>
    <w:uiPriority w:val="0"/>
    <w:pPr>
      <w:tabs>
        <w:tab w:val="left" w:pos="360"/>
        <w:tab w:val="left" w:pos="420"/>
      </w:tabs>
      <w:spacing w:beforeLines="50" w:afterLines="50" w:line="360" w:lineRule="auto"/>
      <w:ind w:firstLine="482"/>
      <w:jc w:val="both"/>
      <w:outlineLvl w:val="1"/>
    </w:pPr>
    <w:rPr>
      <w:rFonts w:ascii="黑体" w:hAnsi="Times New Roman" w:eastAsia="黑体" w:cs="Times New Roman"/>
      <w:b/>
      <w:sz w:val="21"/>
      <w:lang w:val="en-US" w:eastAsia="zh-CN" w:bidi="ar-SA"/>
    </w:rPr>
  </w:style>
  <w:style w:type="character" w:customStyle="1" w:styleId="100">
    <w:name w:val="04 Char Char"/>
    <w:link w:val="101"/>
    <w:qFormat/>
    <w:uiPriority w:val="0"/>
    <w:rPr>
      <w:sz w:val="28"/>
      <w:lang w:val="en-US" w:eastAsia="zh-CN" w:bidi="ar-SA"/>
    </w:rPr>
  </w:style>
  <w:style w:type="paragraph" w:customStyle="1" w:styleId="101">
    <w:name w:val="04"/>
    <w:link w:val="100"/>
    <w:qFormat/>
    <w:uiPriority w:val="0"/>
    <w:pPr>
      <w:widowControl w:val="0"/>
      <w:spacing w:before="156" w:after="156" w:line="360" w:lineRule="auto"/>
      <w:ind w:firstLine="200" w:firstLineChars="200"/>
      <w:jc w:val="both"/>
    </w:pPr>
    <w:rPr>
      <w:rFonts w:ascii="Times New Roman" w:hAnsi="Times New Roman" w:eastAsia="宋体" w:cs="Times New Roman"/>
      <w:sz w:val="28"/>
      <w:lang w:val="en-US" w:eastAsia="zh-CN" w:bidi="ar-SA"/>
    </w:rPr>
  </w:style>
  <w:style w:type="character" w:customStyle="1" w:styleId="102">
    <w:name w:val="项目编号A Char Char"/>
    <w:link w:val="103"/>
    <w:qFormat/>
    <w:uiPriority w:val="0"/>
    <w:rPr>
      <w:rFonts w:ascii="宋体"/>
      <w:kern w:val="2"/>
      <w:sz w:val="24"/>
    </w:rPr>
  </w:style>
  <w:style w:type="paragraph" w:customStyle="1" w:styleId="103">
    <w:name w:val="项目编号A"/>
    <w:basedOn w:val="1"/>
    <w:link w:val="102"/>
    <w:qFormat/>
    <w:uiPriority w:val="0"/>
    <w:pPr>
      <w:tabs>
        <w:tab w:val="left" w:pos="987"/>
      </w:tabs>
      <w:snapToGrid w:val="0"/>
      <w:ind w:left="900" w:firstLine="0"/>
    </w:pPr>
    <w:rPr>
      <w:rFonts w:ascii="宋体"/>
    </w:rPr>
  </w:style>
  <w:style w:type="character" w:customStyle="1" w:styleId="104">
    <w:name w:val="HTML 缩写1"/>
    <w:qFormat/>
    <w:uiPriority w:val="0"/>
  </w:style>
  <w:style w:type="character" w:customStyle="1" w:styleId="105">
    <w:name w:val="发布"/>
    <w:qFormat/>
    <w:uiPriority w:val="0"/>
    <w:rPr>
      <w:rFonts w:ascii="黑体" w:eastAsia="黑体"/>
      <w:spacing w:val="22"/>
      <w:w w:val="100"/>
      <w:position w:val="3"/>
      <w:sz w:val="28"/>
    </w:rPr>
  </w:style>
  <w:style w:type="character" w:customStyle="1" w:styleId="106">
    <w:name w:val="批注文字 Char1"/>
    <w:qFormat/>
    <w:uiPriority w:val="0"/>
    <w:rPr>
      <w:rFonts w:ascii="Calibri" w:hAnsi="Calibri" w:eastAsia="宋体"/>
    </w:rPr>
  </w:style>
  <w:style w:type="character" w:customStyle="1" w:styleId="107">
    <w:name w:val="脚注文本 字符"/>
    <w:link w:val="37"/>
    <w:qFormat/>
    <w:uiPriority w:val="0"/>
    <w:rPr>
      <w:kern w:val="2"/>
      <w:sz w:val="18"/>
    </w:rPr>
  </w:style>
  <w:style w:type="character" w:customStyle="1" w:styleId="108">
    <w:name w:val="Char Char2"/>
    <w:qFormat/>
    <w:uiPriority w:val="0"/>
    <w:rPr>
      <w:rFonts w:eastAsia="黑体"/>
      <w:b/>
      <w:kern w:val="44"/>
      <w:sz w:val="21"/>
      <w:lang w:val="en-US" w:eastAsia="zh-CN"/>
    </w:rPr>
  </w:style>
  <w:style w:type="character" w:customStyle="1" w:styleId="109">
    <w:name w:val="标题 4 字符"/>
    <w:link w:val="7"/>
    <w:qFormat/>
    <w:uiPriority w:val="0"/>
    <w:rPr>
      <w:rFonts w:ascii="Arial" w:hAnsi="Arial"/>
      <w:b/>
      <w:kern w:val="2"/>
      <w:sz w:val="28"/>
    </w:rPr>
  </w:style>
  <w:style w:type="character" w:customStyle="1" w:styleId="110">
    <w:name w:val="bodycopy"/>
    <w:basedOn w:val="48"/>
    <w:qFormat/>
    <w:uiPriority w:val="0"/>
  </w:style>
  <w:style w:type="character" w:customStyle="1" w:styleId="111">
    <w:name w:val="不明显参考1"/>
    <w:qFormat/>
    <w:uiPriority w:val="0"/>
    <w:rPr>
      <w:smallCaps/>
    </w:rPr>
  </w:style>
  <w:style w:type="character" w:customStyle="1" w:styleId="112">
    <w:name w:val="SoDA Field"/>
    <w:qFormat/>
    <w:uiPriority w:val="0"/>
    <w:rPr>
      <w:color w:val="0000FF"/>
    </w:rPr>
  </w:style>
  <w:style w:type="character" w:customStyle="1" w:styleId="113">
    <w:name w:val="标题 2 字符"/>
    <w:link w:val="5"/>
    <w:qFormat/>
    <w:uiPriority w:val="0"/>
    <w:rPr>
      <w:rFonts w:ascii="Arial" w:hAnsi="Arial"/>
      <w:b/>
      <w:kern w:val="2"/>
      <w:sz w:val="28"/>
    </w:rPr>
  </w:style>
  <w:style w:type="character" w:customStyle="1" w:styleId="114">
    <w:name w:val="图表 Char Char"/>
    <w:link w:val="115"/>
    <w:qFormat/>
    <w:uiPriority w:val="0"/>
    <w:rPr>
      <w:rFonts w:ascii="宋体" w:hAnsi="宋体"/>
      <w:b/>
      <w:kern w:val="2"/>
      <w:sz w:val="21"/>
      <w:lang w:val="zh-CN"/>
    </w:rPr>
  </w:style>
  <w:style w:type="paragraph" w:customStyle="1" w:styleId="115">
    <w:name w:val="图表"/>
    <w:basedOn w:val="1"/>
    <w:link w:val="114"/>
    <w:qFormat/>
    <w:uiPriority w:val="0"/>
    <w:pPr>
      <w:ind w:firstLine="420"/>
    </w:pPr>
    <w:rPr>
      <w:rFonts w:ascii="宋体" w:hAnsi="宋体"/>
      <w:b/>
      <w:sz w:val="21"/>
      <w:lang w:val="zh-CN"/>
    </w:rPr>
  </w:style>
  <w:style w:type="character" w:customStyle="1" w:styleId="116">
    <w:name w:val="样式 标准正文 + 宋体 小四 Char Char"/>
    <w:link w:val="117"/>
    <w:qFormat/>
    <w:uiPriority w:val="0"/>
    <w:rPr>
      <w:rFonts w:ascii="宋体" w:hAnsi="宋体"/>
      <w:kern w:val="2"/>
      <w:sz w:val="24"/>
    </w:rPr>
  </w:style>
  <w:style w:type="paragraph" w:customStyle="1" w:styleId="117">
    <w:name w:val="样式 标准正文 + 宋体 小四"/>
    <w:basedOn w:val="1"/>
    <w:link w:val="116"/>
    <w:qFormat/>
    <w:uiPriority w:val="0"/>
    <w:rPr>
      <w:rFonts w:ascii="宋体" w:hAnsi="宋体"/>
    </w:rPr>
  </w:style>
  <w:style w:type="character" w:customStyle="1" w:styleId="118">
    <w:name w:val="样式5 Char Char"/>
    <w:link w:val="119"/>
    <w:qFormat/>
    <w:uiPriority w:val="0"/>
    <w:rPr>
      <w:rFonts w:ascii="宋体" w:hAnsi="宋体"/>
      <w:kern w:val="2"/>
      <w:sz w:val="21"/>
    </w:rPr>
  </w:style>
  <w:style w:type="paragraph" w:customStyle="1" w:styleId="119">
    <w:name w:val="样式5"/>
    <w:basedOn w:val="1"/>
    <w:link w:val="118"/>
    <w:qFormat/>
    <w:uiPriority w:val="0"/>
    <w:pPr>
      <w:snapToGrid w:val="0"/>
      <w:spacing w:line="300" w:lineRule="auto"/>
      <w:ind w:left="840" w:firstLine="0"/>
    </w:pPr>
    <w:rPr>
      <w:rFonts w:ascii="宋体" w:hAnsi="宋体"/>
      <w:sz w:val="21"/>
    </w:rPr>
  </w:style>
  <w:style w:type="character" w:customStyle="1" w:styleId="120">
    <w:name w:val="标题 3 Char1"/>
    <w:qFormat/>
    <w:uiPriority w:val="0"/>
    <w:rPr>
      <w:b/>
      <w:kern w:val="2"/>
      <w:sz w:val="32"/>
    </w:rPr>
  </w:style>
  <w:style w:type="character" w:customStyle="1" w:styleId="121">
    <w:name w:val="正文缩进加粗 Char"/>
    <w:qFormat/>
    <w:uiPriority w:val="0"/>
    <w:rPr>
      <w:rFonts w:ascii="Tahoma" w:hAnsi="Tahoma" w:eastAsia="宋体"/>
      <w:b/>
      <w:kern w:val="2"/>
      <w:sz w:val="24"/>
      <w:lang w:val="en-US" w:eastAsia="zh-CN"/>
    </w:rPr>
  </w:style>
  <w:style w:type="character" w:customStyle="1" w:styleId="122">
    <w:name w:val="line1"/>
    <w:qFormat/>
    <w:uiPriority w:val="0"/>
    <w:rPr>
      <w:spacing w:val="360"/>
    </w:rPr>
  </w:style>
  <w:style w:type="character" w:customStyle="1" w:styleId="123">
    <w:name w:val="标题55 Char Char"/>
    <w:link w:val="124"/>
    <w:qFormat/>
    <w:uiPriority w:val="0"/>
    <w:rPr>
      <w:rFonts w:hAnsi="Cambria"/>
      <w:kern w:val="2"/>
      <w:sz w:val="24"/>
    </w:rPr>
  </w:style>
  <w:style w:type="paragraph" w:customStyle="1" w:styleId="124">
    <w:name w:val="标题55"/>
    <w:basedOn w:val="1"/>
    <w:next w:val="1"/>
    <w:link w:val="123"/>
    <w:qFormat/>
    <w:uiPriority w:val="0"/>
    <w:pPr>
      <w:keepNext/>
      <w:keepLines/>
      <w:tabs>
        <w:tab w:val="left" w:pos="1080"/>
      </w:tabs>
      <w:adjustRightInd w:val="0"/>
      <w:ind w:left="100" w:leftChars="100" w:right="100" w:rightChars="100" w:firstLine="0"/>
      <w:outlineLvl w:val="4"/>
    </w:pPr>
    <w:rPr>
      <w:rFonts w:hAnsi="Cambria"/>
    </w:rPr>
  </w:style>
  <w:style w:type="character" w:customStyle="1" w:styleId="125">
    <w:name w:val="apple-converted-space"/>
    <w:qFormat/>
    <w:uiPriority w:val="0"/>
  </w:style>
  <w:style w:type="character" w:customStyle="1" w:styleId="126">
    <w:name w:val="Char Char1"/>
    <w:qFormat/>
    <w:uiPriority w:val="0"/>
    <w:rPr>
      <w:rFonts w:ascii="Arial" w:hAnsi="Arial" w:eastAsia="黑体"/>
      <w:b/>
      <w:kern w:val="2"/>
      <w:sz w:val="21"/>
      <w:lang w:val="en-US" w:eastAsia="zh-CN"/>
    </w:rPr>
  </w:style>
  <w:style w:type="character" w:customStyle="1" w:styleId="127">
    <w:name w:val="不明显强调1"/>
    <w:qFormat/>
    <w:uiPriority w:val="0"/>
    <w:rPr>
      <w:i/>
    </w:rPr>
  </w:style>
  <w:style w:type="character" w:customStyle="1" w:styleId="128">
    <w:name w:val="Char Char Char Char Char Char Char Char Char Char Char Char Char Char"/>
    <w:link w:val="129"/>
    <w:qFormat/>
    <w:uiPriority w:val="0"/>
    <w:rPr>
      <w:rFonts w:ascii="Arial" w:hAnsi="Arial" w:eastAsia="黑体"/>
      <w:b/>
      <w:kern w:val="2"/>
      <w:sz w:val="21"/>
      <w:lang w:val="en-US" w:eastAsia="zh-CN"/>
    </w:rPr>
  </w:style>
  <w:style w:type="paragraph" w:customStyle="1" w:styleId="129">
    <w:name w:val="Char"/>
    <w:basedOn w:val="1"/>
    <w:link w:val="128"/>
    <w:qFormat/>
    <w:uiPriority w:val="0"/>
    <w:pPr>
      <w:spacing w:before="0" w:after="0"/>
      <w:ind w:firstLine="0"/>
    </w:pPr>
    <w:rPr>
      <w:rFonts w:ascii="Arial" w:hAnsi="Arial" w:eastAsia="黑体"/>
      <w:b/>
      <w:sz w:val="21"/>
    </w:rPr>
  </w:style>
  <w:style w:type="character" w:customStyle="1" w:styleId="130">
    <w:name w:val="unn1"/>
    <w:qFormat/>
    <w:uiPriority w:val="0"/>
  </w:style>
  <w:style w:type="character" w:customStyle="1" w:styleId="131">
    <w:name w:val="hps"/>
    <w:qFormat/>
    <w:uiPriority w:val="0"/>
  </w:style>
  <w:style w:type="character" w:customStyle="1" w:styleId="132">
    <w:name w:val="正文文本缩进 Char1"/>
    <w:qFormat/>
    <w:uiPriority w:val="0"/>
    <w:rPr>
      <w:kern w:val="2"/>
      <w:sz w:val="24"/>
    </w:rPr>
  </w:style>
  <w:style w:type="character" w:customStyle="1" w:styleId="133">
    <w:name w:val="11-正文 Char Char"/>
    <w:link w:val="134"/>
    <w:qFormat/>
    <w:uiPriority w:val="0"/>
    <w:rPr>
      <w:kern w:val="2"/>
      <w:sz w:val="21"/>
    </w:rPr>
  </w:style>
  <w:style w:type="paragraph" w:customStyle="1" w:styleId="134">
    <w:name w:val="11-正文"/>
    <w:basedOn w:val="1"/>
    <w:link w:val="133"/>
    <w:qFormat/>
    <w:uiPriority w:val="0"/>
    <w:pPr>
      <w:ind w:firstLine="420"/>
    </w:pPr>
    <w:rPr>
      <w:sz w:val="21"/>
    </w:rPr>
  </w:style>
  <w:style w:type="character" w:customStyle="1" w:styleId="135">
    <w:name w:val="标题5 Char Char"/>
    <w:link w:val="136"/>
    <w:qFormat/>
    <w:uiPriority w:val="0"/>
    <w:rPr>
      <w:rFonts w:ascii="Cambria" w:hAnsi="Cambria"/>
      <w:b/>
      <w:kern w:val="2"/>
      <w:sz w:val="24"/>
    </w:rPr>
  </w:style>
  <w:style w:type="paragraph" w:customStyle="1" w:styleId="136">
    <w:name w:val="标题5"/>
    <w:basedOn w:val="7"/>
    <w:next w:val="1"/>
    <w:link w:val="135"/>
    <w:qFormat/>
    <w:uiPriority w:val="0"/>
    <w:pPr>
      <w:numPr>
        <w:numId w:val="0"/>
      </w:numPr>
      <w:tabs>
        <w:tab w:val="left" w:pos="992"/>
      </w:tabs>
      <w:adjustRightInd w:val="0"/>
      <w:ind w:left="992" w:hanging="992"/>
    </w:pPr>
    <w:rPr>
      <w:rFonts w:ascii="Cambria" w:hAnsi="Cambria"/>
      <w:sz w:val="24"/>
    </w:rPr>
  </w:style>
  <w:style w:type="character" w:customStyle="1" w:styleId="137">
    <w:name w:val="HTML 代码1"/>
    <w:qFormat/>
    <w:uiPriority w:val="0"/>
    <w:rPr>
      <w:rFonts w:ascii="Courier New" w:hAnsi="Courier New"/>
      <w:sz w:val="20"/>
    </w:rPr>
  </w:style>
  <w:style w:type="character" w:customStyle="1" w:styleId="138">
    <w:name w:val="正文段 Char Char"/>
    <w:link w:val="139"/>
    <w:qFormat/>
    <w:uiPriority w:val="0"/>
    <w:rPr>
      <w:rFonts w:ascii="宋体"/>
      <w:sz w:val="24"/>
    </w:rPr>
  </w:style>
  <w:style w:type="paragraph" w:customStyle="1" w:styleId="139">
    <w:name w:val="正文段"/>
    <w:basedOn w:val="1"/>
    <w:link w:val="138"/>
    <w:qFormat/>
    <w:uiPriority w:val="0"/>
    <w:pPr>
      <w:adjustRightInd w:val="0"/>
      <w:spacing w:line="360" w:lineRule="atLeast"/>
      <w:ind w:firstLine="454"/>
      <w:textAlignment w:val="bottom"/>
    </w:pPr>
    <w:rPr>
      <w:rFonts w:ascii="宋体"/>
      <w:kern w:val="0"/>
    </w:rPr>
  </w:style>
  <w:style w:type="character" w:customStyle="1" w:styleId="140">
    <w:name w:val="段 Char Char"/>
    <w:qFormat/>
    <w:uiPriority w:val="0"/>
    <w:rPr>
      <w:rFonts w:ascii="宋体" w:hAnsi="Times New Roman"/>
      <w:sz w:val="21"/>
    </w:rPr>
  </w:style>
  <w:style w:type="character" w:customStyle="1" w:styleId="141">
    <w:name w:val="纯文本 Char1"/>
    <w:qFormat/>
    <w:uiPriority w:val="0"/>
    <w:rPr>
      <w:rFonts w:ascii="宋体" w:hAnsi="Courier New"/>
      <w:kern w:val="2"/>
      <w:sz w:val="21"/>
    </w:rPr>
  </w:style>
  <w:style w:type="character" w:customStyle="1" w:styleId="142">
    <w:name w:val="EmailStyle681"/>
    <w:qFormat/>
    <w:uiPriority w:val="0"/>
    <w:rPr>
      <w:rFonts w:ascii="Arial" w:hAnsi="Arial" w:eastAsia="宋体"/>
      <w:color w:val="auto"/>
      <w:sz w:val="20"/>
    </w:rPr>
  </w:style>
  <w:style w:type="character" w:customStyle="1" w:styleId="143">
    <w:name w:val="标题 1 字符"/>
    <w:link w:val="4"/>
    <w:qFormat/>
    <w:uiPriority w:val="0"/>
    <w:rPr>
      <w:b/>
      <w:kern w:val="44"/>
      <w:sz w:val="28"/>
    </w:rPr>
  </w:style>
  <w:style w:type="character" w:customStyle="1" w:styleId="144">
    <w:name w:val="页眉 字符"/>
    <w:link w:val="33"/>
    <w:qFormat/>
    <w:uiPriority w:val="99"/>
    <w:rPr>
      <w:rFonts w:eastAsia="宋体"/>
      <w:kern w:val="2"/>
      <w:sz w:val="18"/>
      <w:lang w:val="en-US" w:eastAsia="zh-CN"/>
    </w:rPr>
  </w:style>
  <w:style w:type="character" w:customStyle="1" w:styleId="145">
    <w:name w:val="标题 3 字符"/>
    <w:link w:val="6"/>
    <w:qFormat/>
    <w:uiPriority w:val="0"/>
    <w:rPr>
      <w:b/>
      <w:kern w:val="2"/>
      <w:sz w:val="28"/>
    </w:rPr>
  </w:style>
  <w:style w:type="character" w:customStyle="1" w:styleId="146">
    <w:name w:val="标题 5 字符"/>
    <w:link w:val="8"/>
    <w:qFormat/>
    <w:uiPriority w:val="0"/>
    <w:rPr>
      <w:rFonts w:ascii="宋体" w:hAnsi="宋体"/>
      <w:b/>
      <w:kern w:val="2"/>
      <w:sz w:val="28"/>
    </w:rPr>
  </w:style>
  <w:style w:type="character" w:customStyle="1" w:styleId="147">
    <w:name w:val="标题 7 字符"/>
    <w:link w:val="10"/>
    <w:qFormat/>
    <w:uiPriority w:val="99"/>
    <w:rPr>
      <w:rFonts w:ascii="宋体" w:hAnsi="宋体"/>
      <w:b/>
      <w:kern w:val="2"/>
      <w:sz w:val="28"/>
    </w:rPr>
  </w:style>
  <w:style w:type="character" w:customStyle="1" w:styleId="148">
    <w:name w:val="尾注文本 字符"/>
    <w:link w:val="30"/>
    <w:qFormat/>
    <w:uiPriority w:val="0"/>
    <w:rPr>
      <w:kern w:val="2"/>
      <w:sz w:val="21"/>
    </w:rPr>
  </w:style>
  <w:style w:type="character" w:customStyle="1" w:styleId="149">
    <w:name w:val="标准正文_1:段前: 0.5 行 + 段前: 0.5 行 + 段前: 0.4 行 Char Char"/>
    <w:link w:val="150"/>
    <w:qFormat/>
    <w:uiPriority w:val="0"/>
    <w:rPr>
      <w:sz w:val="24"/>
    </w:rPr>
  </w:style>
  <w:style w:type="paragraph" w:customStyle="1" w:styleId="150">
    <w:name w:val="标准正文_1:段前: 0.5 行 + 段前: 0.5 行 + 段前: 0.4 行"/>
    <w:basedOn w:val="1"/>
    <w:link w:val="149"/>
    <w:qFormat/>
    <w:uiPriority w:val="0"/>
    <w:pPr>
      <w:spacing w:line="300" w:lineRule="auto"/>
    </w:pPr>
    <w:rPr>
      <w:kern w:val="0"/>
    </w:rPr>
  </w:style>
  <w:style w:type="character" w:customStyle="1" w:styleId="151">
    <w:name w:val="标题 8 字符"/>
    <w:link w:val="11"/>
    <w:qFormat/>
    <w:uiPriority w:val="99"/>
    <w:rPr>
      <w:rFonts w:ascii="Arial" w:hAnsi="Arial" w:eastAsia="黑体"/>
      <w:kern w:val="2"/>
      <w:sz w:val="24"/>
    </w:rPr>
  </w:style>
  <w:style w:type="character" w:customStyle="1" w:styleId="152">
    <w:name w:val="样式1 正文（首行缩进2字） Char + 首行缩进:  2 字符 段前: 0 行 Char Char"/>
    <w:link w:val="153"/>
    <w:qFormat/>
    <w:uiPriority w:val="0"/>
    <w:rPr>
      <w:rFonts w:hAnsi="Arial"/>
      <w:kern w:val="2"/>
      <w:sz w:val="21"/>
    </w:rPr>
  </w:style>
  <w:style w:type="paragraph" w:customStyle="1" w:styleId="153">
    <w:name w:val="样式1 正文（首行缩进2字） Char + 首行缩进:  2 字符 段前: 0 行"/>
    <w:basedOn w:val="1"/>
    <w:next w:val="1"/>
    <w:link w:val="152"/>
    <w:qFormat/>
    <w:uiPriority w:val="0"/>
    <w:pPr>
      <w:spacing w:line="276" w:lineRule="auto"/>
      <w:ind w:firstLine="420"/>
    </w:pPr>
    <w:rPr>
      <w:rFonts w:hAnsi="Arial"/>
      <w:sz w:val="21"/>
    </w:rPr>
  </w:style>
  <w:style w:type="character" w:customStyle="1" w:styleId="154">
    <w:name w:val="标题 6 字符"/>
    <w:link w:val="9"/>
    <w:qFormat/>
    <w:uiPriority w:val="0"/>
    <w:rPr>
      <w:rFonts w:ascii="Arial" w:hAnsi="Arial"/>
      <w:b/>
      <w:kern w:val="2"/>
      <w:sz w:val="28"/>
    </w:rPr>
  </w:style>
  <w:style w:type="character" w:customStyle="1" w:styleId="155">
    <w:name w:val="标题 字符"/>
    <w:link w:val="3"/>
    <w:qFormat/>
    <w:uiPriority w:val="0"/>
    <w:rPr>
      <w:rFonts w:ascii="Cambria" w:hAnsi="Cambria"/>
      <w:b/>
      <w:sz w:val="32"/>
    </w:rPr>
  </w:style>
  <w:style w:type="character" w:customStyle="1" w:styleId="156">
    <w:name w:val="副标题 字符"/>
    <w:link w:val="36"/>
    <w:qFormat/>
    <w:uiPriority w:val="0"/>
    <w:rPr>
      <w:rFonts w:ascii="Cambria" w:hAnsi="Cambria"/>
      <w:i/>
      <w:smallCaps/>
      <w:spacing w:val="10"/>
      <w:sz w:val="28"/>
      <w:lang w:eastAsia="en-US"/>
    </w:rPr>
  </w:style>
  <w:style w:type="character" w:customStyle="1" w:styleId="157">
    <w:name w:val="unnamed21"/>
    <w:qFormat/>
    <w:uiPriority w:val="0"/>
    <w:rPr>
      <w:sz w:val="18"/>
    </w:rPr>
  </w:style>
  <w:style w:type="character" w:customStyle="1" w:styleId="158">
    <w:name w:val="批注文字 字符"/>
    <w:link w:val="20"/>
    <w:qFormat/>
    <w:uiPriority w:val="0"/>
    <w:rPr>
      <w:kern w:val="2"/>
      <w:sz w:val="24"/>
    </w:rPr>
  </w:style>
  <w:style w:type="character" w:customStyle="1" w:styleId="159">
    <w:name w:val="标题 9 字符"/>
    <w:link w:val="12"/>
    <w:qFormat/>
    <w:uiPriority w:val="99"/>
    <w:rPr>
      <w:rFonts w:ascii="Arial" w:hAnsi="Arial" w:eastAsia="黑体"/>
      <w:kern w:val="2"/>
      <w:sz w:val="24"/>
    </w:rPr>
  </w:style>
  <w:style w:type="character" w:customStyle="1" w:styleId="160">
    <w:name w:val="页脚 字符"/>
    <w:link w:val="32"/>
    <w:qFormat/>
    <w:uiPriority w:val="99"/>
    <w:rPr>
      <w:kern w:val="2"/>
      <w:sz w:val="18"/>
    </w:rPr>
  </w:style>
  <w:style w:type="character" w:customStyle="1" w:styleId="161">
    <w:name w:val="文本块 字符"/>
    <w:link w:val="23"/>
    <w:qFormat/>
    <w:uiPriority w:val="0"/>
    <w:rPr>
      <w:rFonts w:ascii="Cambria" w:hAnsi="Cambria"/>
      <w:i/>
      <w:sz w:val="22"/>
      <w:lang w:eastAsia="en-US"/>
    </w:rPr>
  </w:style>
  <w:style w:type="character" w:customStyle="1" w:styleId="162">
    <w:name w:val="题注 字符"/>
    <w:link w:val="17"/>
    <w:qFormat/>
    <w:uiPriority w:val="0"/>
    <w:rPr>
      <w:kern w:val="2"/>
      <w:sz w:val="21"/>
    </w:rPr>
  </w:style>
  <w:style w:type="character" w:customStyle="1" w:styleId="163">
    <w:name w:val="批注框文本 字符"/>
    <w:link w:val="31"/>
    <w:qFormat/>
    <w:uiPriority w:val="99"/>
    <w:rPr>
      <w:rFonts w:eastAsia="宋体"/>
      <w:kern w:val="2"/>
      <w:sz w:val="18"/>
      <w:lang w:val="en-US" w:eastAsia="zh-CN"/>
    </w:rPr>
  </w:style>
  <w:style w:type="character" w:customStyle="1" w:styleId="164">
    <w:name w:val="正文文本 字符"/>
    <w:link w:val="2"/>
    <w:qFormat/>
    <w:uiPriority w:val="0"/>
    <w:rPr>
      <w:rFonts w:eastAsia="宋体"/>
      <w:kern w:val="2"/>
      <w:sz w:val="24"/>
      <w:lang w:val="en-US" w:eastAsia="zh-CN"/>
    </w:rPr>
  </w:style>
  <w:style w:type="character" w:customStyle="1" w:styleId="165">
    <w:name w:val="样式 样式 样式 标题 2 + 段前: 0.5 行 段后: 0.5 行 + 段前: 0.5 行 段后: 0.5 行 + (西文)... Char Char"/>
    <w:link w:val="166"/>
    <w:qFormat/>
    <w:uiPriority w:val="0"/>
    <w:rPr>
      <w:rFonts w:ascii="宋体" w:hAnsi="宋体"/>
      <w:b/>
      <w:kern w:val="2"/>
      <w:sz w:val="28"/>
    </w:rPr>
  </w:style>
  <w:style w:type="paragraph" w:customStyle="1" w:styleId="166">
    <w:name w:val="样式 样式 样式 标题 2 + 段前: 0.5 行 段后: 0.5 行 + 段前: 0.5 行 段后: 0.5 行 + (西文)..."/>
    <w:basedOn w:val="1"/>
    <w:link w:val="165"/>
    <w:qFormat/>
    <w:uiPriority w:val="0"/>
    <w:pPr>
      <w:keepNext/>
      <w:keepLines/>
      <w:tabs>
        <w:tab w:val="left" w:pos="0"/>
      </w:tabs>
      <w:spacing w:line="240" w:lineRule="auto"/>
      <w:ind w:firstLine="0"/>
      <w:outlineLvl w:val="1"/>
    </w:pPr>
    <w:rPr>
      <w:rFonts w:ascii="宋体" w:hAnsi="宋体"/>
      <w:b/>
      <w:sz w:val="28"/>
    </w:rPr>
  </w:style>
  <w:style w:type="character" w:customStyle="1" w:styleId="167">
    <w:name w:val="HTML 打字机1"/>
    <w:qFormat/>
    <w:uiPriority w:val="0"/>
    <w:rPr>
      <w:rFonts w:ascii="Courier New" w:hAnsi="Courier New"/>
      <w:sz w:val="20"/>
    </w:rPr>
  </w:style>
  <w:style w:type="character" w:customStyle="1" w:styleId="168">
    <w:name w:val="0段落 Char Char"/>
    <w:qFormat/>
    <w:uiPriority w:val="0"/>
    <w:rPr>
      <w:kern w:val="2"/>
      <w:sz w:val="21"/>
    </w:rPr>
  </w:style>
  <w:style w:type="character" w:customStyle="1" w:styleId="169">
    <w:name w:val="页码1"/>
    <w:basedOn w:val="48"/>
    <w:qFormat/>
    <w:uiPriority w:val="0"/>
  </w:style>
  <w:style w:type="character" w:customStyle="1" w:styleId="170">
    <w:name w:val="Legal Level 1.1.1. Char"/>
    <w:qFormat/>
    <w:uiPriority w:val="0"/>
    <w:rPr>
      <w:rFonts w:ascii="Arial" w:hAnsi="Arial" w:eastAsia="黑体"/>
      <w:kern w:val="2"/>
      <w:sz w:val="24"/>
    </w:rPr>
  </w:style>
  <w:style w:type="character" w:customStyle="1" w:styleId="171">
    <w:name w:val="样式 宋体"/>
    <w:qFormat/>
    <w:uiPriority w:val="0"/>
    <w:rPr>
      <w:rFonts w:ascii="宋体" w:hAnsi="宋体"/>
      <w:kern w:val="0"/>
      <w:sz w:val="24"/>
    </w:rPr>
  </w:style>
  <w:style w:type="character" w:customStyle="1" w:styleId="172">
    <w:name w:val="文字 Char Char"/>
    <w:link w:val="173"/>
    <w:qFormat/>
    <w:uiPriority w:val="0"/>
    <w:rPr>
      <w:rFonts w:ascii="宋体" w:hAnsi="宋体"/>
      <w:kern w:val="2"/>
      <w:sz w:val="28"/>
    </w:rPr>
  </w:style>
  <w:style w:type="paragraph" w:customStyle="1" w:styleId="173">
    <w:name w:val="文字"/>
    <w:basedOn w:val="1"/>
    <w:link w:val="172"/>
    <w:qFormat/>
    <w:uiPriority w:val="0"/>
    <w:pPr>
      <w:tabs>
        <w:tab w:val="left" w:pos="8520"/>
      </w:tabs>
      <w:spacing w:line="312" w:lineRule="auto"/>
      <w:ind w:firstLine="556"/>
    </w:pPr>
    <w:rPr>
      <w:rFonts w:ascii="宋体" w:hAnsi="宋体"/>
      <w:sz w:val="28"/>
    </w:rPr>
  </w:style>
  <w:style w:type="character" w:customStyle="1" w:styleId="174">
    <w:name w:val="1 - RFP Main Head Char Char"/>
    <w:link w:val="175"/>
    <w:qFormat/>
    <w:uiPriority w:val="0"/>
    <w:rPr>
      <w:rFonts w:ascii="Arial" w:hAnsi="Arial"/>
      <w:b/>
      <w:color w:val="034694"/>
      <w:sz w:val="32"/>
      <w:lang w:eastAsia="en-US"/>
    </w:rPr>
  </w:style>
  <w:style w:type="paragraph" w:customStyle="1" w:styleId="175">
    <w:name w:val="1 - RFP Main Head"/>
    <w:basedOn w:val="176"/>
    <w:link w:val="174"/>
    <w:qFormat/>
    <w:uiPriority w:val="0"/>
    <w:rPr>
      <w:b/>
      <w:color w:val="034694"/>
      <w:sz w:val="32"/>
    </w:rPr>
  </w:style>
  <w:style w:type="paragraph" w:customStyle="1" w:styleId="176">
    <w:name w:val="1 - RFP Text"/>
    <w:basedOn w:val="1"/>
    <w:link w:val="230"/>
    <w:qFormat/>
    <w:uiPriority w:val="0"/>
    <w:pPr>
      <w:spacing w:line="240" w:lineRule="auto"/>
      <w:ind w:firstLine="0"/>
    </w:pPr>
    <w:rPr>
      <w:rFonts w:ascii="Arial" w:hAnsi="Arial"/>
      <w:kern w:val="0"/>
      <w:sz w:val="22"/>
      <w:lang w:eastAsia="en-US"/>
    </w:rPr>
  </w:style>
  <w:style w:type="character" w:customStyle="1" w:styleId="177">
    <w:name w:val="表格内文字 Char Char"/>
    <w:link w:val="178"/>
    <w:qFormat/>
    <w:uiPriority w:val="0"/>
    <w:rPr>
      <w:rFonts w:ascii="Arial" w:hAnsi="Arial"/>
      <w:kern w:val="2"/>
      <w:sz w:val="18"/>
    </w:rPr>
  </w:style>
  <w:style w:type="paragraph" w:customStyle="1" w:styleId="178">
    <w:name w:val="表格内文字"/>
    <w:basedOn w:val="1"/>
    <w:link w:val="177"/>
    <w:qFormat/>
    <w:uiPriority w:val="0"/>
    <w:pPr>
      <w:keepLines/>
      <w:spacing w:line="240" w:lineRule="auto"/>
      <w:ind w:firstLine="0"/>
    </w:pPr>
    <w:rPr>
      <w:rFonts w:ascii="Arial" w:hAnsi="Arial"/>
      <w:sz w:val="18"/>
    </w:rPr>
  </w:style>
  <w:style w:type="character" w:customStyle="1" w:styleId="179">
    <w:name w:val="hang11"/>
    <w:qFormat/>
    <w:uiPriority w:val="0"/>
    <w:rPr>
      <w:spacing w:val="257"/>
    </w:rPr>
  </w:style>
  <w:style w:type="character" w:customStyle="1" w:styleId="180">
    <w:name w:val="HTML 变量1"/>
    <w:qFormat/>
    <w:uiPriority w:val="0"/>
    <w:rPr>
      <w:i/>
    </w:rPr>
  </w:style>
  <w:style w:type="character" w:customStyle="1" w:styleId="181">
    <w:name w:val="style251"/>
    <w:qFormat/>
    <w:uiPriority w:val="0"/>
    <w:rPr>
      <w:b/>
      <w:sz w:val="29"/>
    </w:rPr>
  </w:style>
  <w:style w:type="character" w:customStyle="1" w:styleId="182">
    <w:name w:val="样式 样式 样式 标题 3二级节名H331323334353113213313631232233237313... + 段后: ... Char Char"/>
    <w:link w:val="183"/>
    <w:qFormat/>
    <w:uiPriority w:val="0"/>
    <w:rPr>
      <w:rFonts w:ascii="宋体" w:hAnsi="宋体" w:eastAsia="宋体"/>
      <w:b/>
      <w:color w:val="000000"/>
      <w:kern w:val="2"/>
      <w:sz w:val="24"/>
      <w:lang w:val="en-US" w:eastAsia="zh-CN"/>
    </w:rPr>
  </w:style>
  <w:style w:type="paragraph" w:customStyle="1" w:styleId="183">
    <w:name w:val="样式 样式 样式 标题 3二级节名H331323334353113213313631232233237313... + 段后: ..."/>
    <w:basedOn w:val="184"/>
    <w:link w:val="182"/>
    <w:qFormat/>
    <w:uiPriority w:val="0"/>
    <w:pPr>
      <w:tabs>
        <w:tab w:val="left" w:pos="480"/>
        <w:tab w:val="left" w:pos="567"/>
      </w:tabs>
      <w:ind w:left="454" w:hanging="454"/>
    </w:pPr>
    <w:rPr>
      <w:color w:val="000000"/>
    </w:rPr>
  </w:style>
  <w:style w:type="paragraph" w:customStyle="1" w:styleId="184">
    <w:name w:val="样式 样式 标题 3二级节名H331323334353113213313631232233237313... + 段后: 24 磅"/>
    <w:basedOn w:val="1"/>
    <w:qFormat/>
    <w:uiPriority w:val="0"/>
    <w:pPr>
      <w:keepNext/>
      <w:keepLines/>
      <w:spacing w:before="200"/>
      <w:ind w:firstLine="0"/>
      <w:outlineLvl w:val="2"/>
    </w:pPr>
    <w:rPr>
      <w:rFonts w:ascii="宋体" w:hAnsi="宋体"/>
      <w:b/>
    </w:rPr>
  </w:style>
  <w:style w:type="character" w:customStyle="1" w:styleId="185">
    <w:name w:val="1.1.1 Char Char"/>
    <w:link w:val="186"/>
    <w:qFormat/>
    <w:uiPriority w:val="0"/>
    <w:rPr>
      <w:kern w:val="2"/>
      <w:sz w:val="24"/>
    </w:rPr>
  </w:style>
  <w:style w:type="paragraph" w:customStyle="1" w:styleId="186">
    <w:name w:val="1.1.1"/>
    <w:basedOn w:val="187"/>
    <w:link w:val="185"/>
    <w:qFormat/>
    <w:uiPriority w:val="0"/>
    <w:pPr>
      <w:outlineLvl w:val="2"/>
    </w:pPr>
  </w:style>
  <w:style w:type="paragraph" w:customStyle="1" w:styleId="187">
    <w:name w:val="1.1"/>
    <w:basedOn w:val="1"/>
    <w:link w:val="282"/>
    <w:qFormat/>
    <w:uiPriority w:val="0"/>
    <w:pPr>
      <w:ind w:left="454"/>
      <w:outlineLvl w:val="1"/>
    </w:pPr>
  </w:style>
  <w:style w:type="character" w:customStyle="1" w:styleId="188">
    <w:name w:val="正文文字样式 Char Char"/>
    <w:link w:val="189"/>
    <w:qFormat/>
    <w:uiPriority w:val="0"/>
    <w:rPr>
      <w:rFonts w:eastAsia="宋体"/>
      <w:kern w:val="2"/>
      <w:sz w:val="24"/>
      <w:lang w:val="en-US" w:eastAsia="zh-CN"/>
    </w:rPr>
  </w:style>
  <w:style w:type="paragraph" w:customStyle="1" w:styleId="189">
    <w:name w:val="正文文字样式"/>
    <w:basedOn w:val="1"/>
    <w:link w:val="188"/>
    <w:qFormat/>
    <w:uiPriority w:val="0"/>
    <w:pPr>
      <w:ind w:firstLine="480"/>
    </w:pPr>
  </w:style>
  <w:style w:type="character" w:customStyle="1" w:styleId="190">
    <w:name w:val="标题 1 Char1"/>
    <w:qFormat/>
    <w:uiPriority w:val="0"/>
    <w:rPr>
      <w:b/>
      <w:kern w:val="44"/>
      <w:sz w:val="44"/>
    </w:rPr>
  </w:style>
  <w:style w:type="character" w:customStyle="1" w:styleId="191">
    <w:name w:val="EmailStyle671"/>
    <w:qFormat/>
    <w:uiPriority w:val="0"/>
    <w:rPr>
      <w:rFonts w:ascii="Arial" w:hAnsi="Arial" w:eastAsia="宋体"/>
      <w:color w:val="auto"/>
      <w:sz w:val="20"/>
    </w:rPr>
  </w:style>
  <w:style w:type="character" w:customStyle="1" w:styleId="192">
    <w:name w:val="样式116 Char Char"/>
    <w:link w:val="193"/>
    <w:qFormat/>
    <w:uiPriority w:val="0"/>
    <w:rPr>
      <w:rFonts w:ascii="Arial" w:hAnsi="Arial"/>
      <w:b/>
      <w:kern w:val="2"/>
      <w:sz w:val="24"/>
    </w:rPr>
  </w:style>
  <w:style w:type="paragraph" w:customStyle="1" w:styleId="193">
    <w:name w:val="样式116"/>
    <w:basedOn w:val="1"/>
    <w:link w:val="192"/>
    <w:qFormat/>
    <w:uiPriority w:val="0"/>
    <w:rPr>
      <w:rFonts w:ascii="Arial" w:hAnsi="Arial"/>
      <w:b/>
    </w:rPr>
  </w:style>
  <w:style w:type="character" w:customStyle="1" w:styleId="194">
    <w:name w:val="标题 31"/>
    <w:qFormat/>
    <w:uiPriority w:val="0"/>
    <w:rPr>
      <w:rFonts w:ascii="Arial" w:hAnsi="Arial" w:eastAsia="黑体"/>
      <w:b/>
      <w:kern w:val="2"/>
      <w:sz w:val="28"/>
      <w:lang w:val="en-US" w:eastAsia="zh-CN"/>
    </w:rPr>
  </w:style>
  <w:style w:type="character" w:customStyle="1" w:styleId="195">
    <w:name w:val="条 5 Char"/>
    <w:qFormat/>
    <w:uiPriority w:val="0"/>
    <w:rPr>
      <w:rFonts w:ascii="Times New Roman" w:hAnsi="Times New Roman"/>
      <w:b/>
      <w:kern w:val="2"/>
      <w:sz w:val="24"/>
    </w:rPr>
  </w:style>
  <w:style w:type="character" w:customStyle="1" w:styleId="196">
    <w:name w:val="图片名 Char Char"/>
    <w:link w:val="197"/>
    <w:qFormat/>
    <w:uiPriority w:val="0"/>
    <w:rPr>
      <w:rFonts w:ascii="Arial" w:hAnsi="Arial" w:eastAsia="黑体"/>
      <w:b/>
      <w:kern w:val="2"/>
      <w:sz w:val="24"/>
    </w:rPr>
  </w:style>
  <w:style w:type="paragraph" w:customStyle="1" w:styleId="197">
    <w:name w:val="图片名"/>
    <w:basedOn w:val="17"/>
    <w:link w:val="196"/>
    <w:qFormat/>
    <w:uiPriority w:val="0"/>
    <w:rPr>
      <w:rFonts w:ascii="Arial" w:hAnsi="Arial" w:eastAsia="黑体"/>
      <w:b/>
      <w:sz w:val="24"/>
    </w:rPr>
  </w:style>
  <w:style w:type="character" w:customStyle="1" w:styleId="198">
    <w:name w:val="文档正文 Char Char"/>
    <w:link w:val="199"/>
    <w:qFormat/>
    <w:uiPriority w:val="0"/>
    <w:rPr>
      <w:rFonts w:ascii="仿宋_GB2312" w:eastAsia="仿宋_GB2312"/>
      <w:sz w:val="28"/>
    </w:rPr>
  </w:style>
  <w:style w:type="paragraph" w:customStyle="1" w:styleId="199">
    <w:name w:val="文档正文"/>
    <w:basedOn w:val="1"/>
    <w:link w:val="198"/>
    <w:qFormat/>
    <w:uiPriority w:val="0"/>
    <w:pPr>
      <w:adjustRightInd w:val="0"/>
      <w:spacing w:line="500" w:lineRule="exact"/>
      <w:ind w:firstLine="567"/>
      <w:textAlignment w:val="baseline"/>
    </w:pPr>
    <w:rPr>
      <w:rFonts w:ascii="仿宋_GB2312" w:eastAsia="仿宋_GB2312"/>
      <w:kern w:val="0"/>
      <w:sz w:val="28"/>
    </w:rPr>
  </w:style>
  <w:style w:type="character" w:customStyle="1" w:styleId="200">
    <w:name w:val="样式 样式 样式4 + 宋体 + Arial Char Char"/>
    <w:link w:val="201"/>
    <w:qFormat/>
    <w:uiPriority w:val="0"/>
    <w:rPr>
      <w:rFonts w:ascii="Arial" w:hAnsi="Arial"/>
      <w:kern w:val="2"/>
      <w:sz w:val="24"/>
    </w:rPr>
  </w:style>
  <w:style w:type="paragraph" w:customStyle="1" w:styleId="201">
    <w:name w:val="样式 样式 样式4 + 宋体 + Arial"/>
    <w:basedOn w:val="1"/>
    <w:link w:val="200"/>
    <w:qFormat/>
    <w:uiPriority w:val="0"/>
    <w:pPr>
      <w:ind w:firstLine="480"/>
    </w:pPr>
    <w:rPr>
      <w:rFonts w:ascii="Arial" w:hAnsi="Arial"/>
    </w:rPr>
  </w:style>
  <w:style w:type="character" w:customStyle="1" w:styleId="202">
    <w:name w:val="封面“EPC联合体”中文文字 Char Char"/>
    <w:link w:val="203"/>
    <w:qFormat/>
    <w:uiPriority w:val="0"/>
    <w:rPr>
      <w:rFonts w:hAnsi="宋体" w:eastAsia="宋体"/>
      <w:b/>
      <w:kern w:val="2"/>
      <w:sz w:val="32"/>
      <w:lang w:val="en-US" w:eastAsia="zh-CN"/>
    </w:rPr>
  </w:style>
  <w:style w:type="paragraph" w:customStyle="1" w:styleId="203">
    <w:name w:val="封面“EPC联合体”中文文字"/>
    <w:basedOn w:val="189"/>
    <w:link w:val="202"/>
    <w:qFormat/>
    <w:uiPriority w:val="0"/>
    <w:pPr>
      <w:ind w:firstLine="0"/>
    </w:pPr>
    <w:rPr>
      <w:rFonts w:hAnsi="宋体"/>
      <w:b/>
      <w:sz w:val="32"/>
    </w:rPr>
  </w:style>
  <w:style w:type="character" w:customStyle="1" w:styleId="204">
    <w:name w:val="样式17 Char Char"/>
    <w:link w:val="205"/>
    <w:qFormat/>
    <w:uiPriority w:val="0"/>
    <w:rPr>
      <w:rFonts w:ascii="Arial" w:hAnsi="Arial"/>
      <w:kern w:val="2"/>
      <w:sz w:val="18"/>
      <w:lang w:eastAsia="en-US"/>
    </w:rPr>
  </w:style>
  <w:style w:type="paragraph" w:customStyle="1" w:styleId="205">
    <w:name w:val="样式17"/>
    <w:basedOn w:val="17"/>
    <w:link w:val="204"/>
    <w:qFormat/>
    <w:uiPriority w:val="0"/>
    <w:pPr>
      <w:tabs>
        <w:tab w:val="left" w:pos="2000"/>
      </w:tabs>
      <w:spacing w:line="240" w:lineRule="auto"/>
      <w:ind w:left="1701" w:hanging="340"/>
    </w:pPr>
    <w:rPr>
      <w:rFonts w:ascii="Arial" w:hAnsi="Arial"/>
      <w:sz w:val="18"/>
      <w:lang w:eastAsia="en-US"/>
    </w:rPr>
  </w:style>
  <w:style w:type="character" w:customStyle="1" w:styleId="206">
    <w:name w:val="方案文档 Char Char"/>
    <w:link w:val="207"/>
    <w:qFormat/>
    <w:uiPriority w:val="0"/>
    <w:rPr>
      <w:rFonts w:ascii="宋体"/>
      <w:b/>
      <w:color w:val="000000"/>
      <w:kern w:val="2"/>
      <w:sz w:val="24"/>
      <w:lang w:val="zh-CN"/>
    </w:rPr>
  </w:style>
  <w:style w:type="paragraph" w:customStyle="1" w:styleId="207">
    <w:name w:val="方案文档"/>
    <w:basedOn w:val="1"/>
    <w:link w:val="206"/>
    <w:qFormat/>
    <w:uiPriority w:val="0"/>
    <w:pPr>
      <w:snapToGrid w:val="0"/>
      <w:ind w:firstLine="480"/>
    </w:pPr>
    <w:rPr>
      <w:rFonts w:ascii="宋体"/>
      <w:b/>
      <w:color w:val="000000"/>
      <w:lang w:val="zh-CN"/>
    </w:rPr>
  </w:style>
  <w:style w:type="character" w:customStyle="1" w:styleId="208">
    <w:name w:val="样式2 Char Char"/>
    <w:link w:val="209"/>
    <w:qFormat/>
    <w:uiPriority w:val="0"/>
    <w:rPr>
      <w:rFonts w:ascii="Arial" w:hAnsi="Arial"/>
      <w:kern w:val="2"/>
      <w:sz w:val="18"/>
      <w:lang w:eastAsia="en-US"/>
    </w:rPr>
  </w:style>
  <w:style w:type="paragraph" w:customStyle="1" w:styleId="209">
    <w:name w:val="样式2"/>
    <w:basedOn w:val="17"/>
    <w:link w:val="208"/>
    <w:qFormat/>
    <w:uiPriority w:val="0"/>
    <w:pPr>
      <w:keepNext/>
      <w:tabs>
        <w:tab w:val="left" w:pos="1701"/>
      </w:tabs>
      <w:spacing w:line="240" w:lineRule="auto"/>
      <w:ind w:left="1701" w:hanging="340"/>
    </w:pPr>
    <w:rPr>
      <w:rFonts w:ascii="Arial" w:hAnsi="Arial"/>
      <w:sz w:val="18"/>
      <w:lang w:eastAsia="en-US"/>
    </w:rPr>
  </w:style>
  <w:style w:type="character" w:customStyle="1" w:styleId="210">
    <w:name w:val="正文-一体化 Char Char"/>
    <w:link w:val="211"/>
    <w:qFormat/>
    <w:uiPriority w:val="0"/>
    <w:rPr>
      <w:sz w:val="24"/>
    </w:rPr>
  </w:style>
  <w:style w:type="paragraph" w:customStyle="1" w:styleId="211">
    <w:name w:val="正文-一体化"/>
    <w:basedOn w:val="1"/>
    <w:link w:val="210"/>
    <w:qFormat/>
    <w:uiPriority w:val="0"/>
    <w:pPr>
      <w:adjustRightInd w:val="0"/>
      <w:snapToGrid w:val="0"/>
      <w:ind w:firstLine="480"/>
    </w:pPr>
    <w:rPr>
      <w:kern w:val="0"/>
    </w:rPr>
  </w:style>
  <w:style w:type="character" w:customStyle="1" w:styleId="212">
    <w:name w:val="样式3 Char Char"/>
    <w:link w:val="213"/>
    <w:qFormat/>
    <w:uiPriority w:val="0"/>
    <w:rPr>
      <w:kern w:val="2"/>
      <w:sz w:val="21"/>
    </w:rPr>
  </w:style>
  <w:style w:type="paragraph" w:customStyle="1" w:styleId="213">
    <w:name w:val="样式3"/>
    <w:basedOn w:val="1"/>
    <w:link w:val="212"/>
    <w:qFormat/>
    <w:uiPriority w:val="0"/>
    <w:pPr>
      <w:spacing w:line="300" w:lineRule="auto"/>
      <w:ind w:left="1680" w:firstLine="0"/>
    </w:pPr>
    <w:rPr>
      <w:sz w:val="21"/>
    </w:rPr>
  </w:style>
  <w:style w:type="character" w:customStyle="1" w:styleId="214">
    <w:name w:val="个人答复风格"/>
    <w:qFormat/>
    <w:uiPriority w:val="0"/>
    <w:rPr>
      <w:rFonts w:ascii="Arial" w:hAnsi="Arial" w:eastAsia="宋体"/>
      <w:color w:val="auto"/>
      <w:sz w:val="20"/>
    </w:rPr>
  </w:style>
  <w:style w:type="character" w:customStyle="1" w:styleId="215">
    <w:name w:val="large-text1"/>
    <w:qFormat/>
    <w:uiPriority w:val="0"/>
    <w:rPr>
      <w:color w:val="000000"/>
      <w:spacing w:val="270"/>
      <w:sz w:val="21"/>
      <w:u w:val="none"/>
    </w:rPr>
  </w:style>
  <w:style w:type="character" w:customStyle="1" w:styleId="216">
    <w:name w:val="1.1.1.1 Char Char"/>
    <w:link w:val="217"/>
    <w:qFormat/>
    <w:uiPriority w:val="0"/>
    <w:rPr>
      <w:kern w:val="2"/>
      <w:sz w:val="24"/>
    </w:rPr>
  </w:style>
  <w:style w:type="paragraph" w:customStyle="1" w:styleId="217">
    <w:name w:val="1.1.1.1"/>
    <w:basedOn w:val="186"/>
    <w:link w:val="216"/>
    <w:qFormat/>
    <w:uiPriority w:val="0"/>
    <w:pPr>
      <w:outlineLvl w:val="3"/>
    </w:pPr>
  </w:style>
  <w:style w:type="character" w:customStyle="1" w:styleId="218">
    <w:name w:val="Body Char Char"/>
    <w:link w:val="219"/>
    <w:qFormat/>
    <w:uiPriority w:val="0"/>
    <w:rPr>
      <w:rFonts w:ascii="Arial" w:hAnsi="Arial"/>
      <w:sz w:val="21"/>
      <w:lang w:eastAsia="en-US"/>
    </w:rPr>
  </w:style>
  <w:style w:type="paragraph" w:customStyle="1" w:styleId="219">
    <w:name w:val="Body"/>
    <w:basedOn w:val="1"/>
    <w:link w:val="218"/>
    <w:qFormat/>
    <w:uiPriority w:val="0"/>
    <w:pPr>
      <w:tabs>
        <w:tab w:val="left" w:pos="1247"/>
      </w:tabs>
      <w:spacing w:line="288" w:lineRule="auto"/>
      <w:ind w:left="1247" w:firstLine="0"/>
    </w:pPr>
    <w:rPr>
      <w:rFonts w:ascii="Arial" w:hAnsi="Arial"/>
      <w:kern w:val="0"/>
      <w:sz w:val="21"/>
      <w:lang w:eastAsia="en-US"/>
    </w:rPr>
  </w:style>
  <w:style w:type="character" w:customStyle="1" w:styleId="220">
    <w:name w:val="段 Char Char Char"/>
    <w:link w:val="221"/>
    <w:qFormat/>
    <w:uiPriority w:val="39"/>
    <w:rPr>
      <w:rFonts w:ascii="Arial" w:hAnsi="Arial"/>
      <w:spacing w:val="20"/>
      <w:kern w:val="2"/>
      <w:sz w:val="24"/>
    </w:rPr>
  </w:style>
  <w:style w:type="paragraph" w:customStyle="1" w:styleId="221">
    <w:name w:val="段"/>
    <w:basedOn w:val="1"/>
    <w:link w:val="220"/>
    <w:qFormat/>
    <w:uiPriority w:val="0"/>
    <w:pPr>
      <w:ind w:firstLine="480"/>
    </w:pPr>
    <w:rPr>
      <w:rFonts w:ascii="Arial" w:hAnsi="Arial"/>
      <w:spacing w:val="20"/>
    </w:rPr>
  </w:style>
  <w:style w:type="character" w:customStyle="1" w:styleId="222">
    <w:name w:val="二级正文 Char Char"/>
    <w:link w:val="223"/>
    <w:qFormat/>
    <w:uiPriority w:val="0"/>
    <w:rPr>
      <w:rFonts w:hAnsi="宋体"/>
      <w:kern w:val="24"/>
      <w:sz w:val="24"/>
      <w:lang w:val="en-US" w:eastAsia="zh-CN" w:bidi="ar-SA"/>
    </w:rPr>
  </w:style>
  <w:style w:type="paragraph" w:customStyle="1" w:styleId="223">
    <w:name w:val="二级正文"/>
    <w:link w:val="222"/>
    <w:qFormat/>
    <w:uiPriority w:val="0"/>
    <w:pPr>
      <w:tabs>
        <w:tab w:val="left" w:pos="567"/>
        <w:tab w:val="left" w:pos="938"/>
      </w:tabs>
      <w:autoSpaceDE w:val="0"/>
      <w:autoSpaceDN w:val="0"/>
      <w:adjustRightInd w:val="0"/>
      <w:snapToGrid w:val="0"/>
      <w:spacing w:before="156" w:after="156" w:line="360" w:lineRule="auto"/>
      <w:ind w:left="567" w:hanging="567"/>
      <w:jc w:val="both"/>
    </w:pPr>
    <w:rPr>
      <w:rFonts w:ascii="Times New Roman" w:hAnsi="宋体" w:eastAsia="宋体" w:cs="Times New Roman"/>
      <w:kern w:val="24"/>
      <w:sz w:val="24"/>
      <w:lang w:val="en-US" w:eastAsia="zh-CN" w:bidi="ar-SA"/>
    </w:rPr>
  </w:style>
  <w:style w:type="character" w:customStyle="1" w:styleId="224">
    <w:name w:val="def"/>
    <w:qFormat/>
    <w:uiPriority w:val="0"/>
  </w:style>
  <w:style w:type="character" w:customStyle="1" w:styleId="225">
    <w:name w:val="表头文字 Char Char"/>
    <w:link w:val="226"/>
    <w:qFormat/>
    <w:uiPriority w:val="0"/>
    <w:rPr>
      <w:rFonts w:ascii="Arial" w:hAnsi="Arial"/>
      <w:b/>
      <w:kern w:val="2"/>
      <w:sz w:val="18"/>
    </w:rPr>
  </w:style>
  <w:style w:type="paragraph" w:customStyle="1" w:styleId="226">
    <w:name w:val="表头文字"/>
    <w:basedOn w:val="1"/>
    <w:link w:val="225"/>
    <w:qFormat/>
    <w:uiPriority w:val="0"/>
    <w:pPr>
      <w:keepNext/>
      <w:spacing w:line="240" w:lineRule="auto"/>
      <w:ind w:firstLine="0"/>
    </w:pPr>
    <w:rPr>
      <w:rFonts w:ascii="Arial" w:hAnsi="Arial"/>
      <w:b/>
      <w:sz w:val="18"/>
    </w:rPr>
  </w:style>
  <w:style w:type="character" w:customStyle="1" w:styleId="227">
    <w:name w:val="表格 Char Char"/>
    <w:link w:val="228"/>
    <w:qFormat/>
    <w:uiPriority w:val="0"/>
    <w:rPr>
      <w:kern w:val="2"/>
      <w:sz w:val="24"/>
    </w:rPr>
  </w:style>
  <w:style w:type="paragraph" w:customStyle="1" w:styleId="228">
    <w:name w:val="表格"/>
    <w:basedOn w:val="1"/>
    <w:link w:val="227"/>
    <w:qFormat/>
    <w:uiPriority w:val="0"/>
    <w:pPr>
      <w:spacing w:line="240" w:lineRule="auto"/>
      <w:ind w:firstLine="0"/>
    </w:pPr>
  </w:style>
  <w:style w:type="character" w:customStyle="1" w:styleId="229">
    <w:name w:val="批注引用1"/>
    <w:qFormat/>
    <w:uiPriority w:val="0"/>
    <w:rPr>
      <w:sz w:val="21"/>
    </w:rPr>
  </w:style>
  <w:style w:type="character" w:customStyle="1" w:styleId="230">
    <w:name w:val="1 - RFP Text Char Char"/>
    <w:link w:val="176"/>
    <w:qFormat/>
    <w:uiPriority w:val="0"/>
    <w:rPr>
      <w:rFonts w:ascii="Arial" w:hAnsi="Arial"/>
      <w:sz w:val="22"/>
      <w:lang w:eastAsia="en-US"/>
    </w:rPr>
  </w:style>
  <w:style w:type="character" w:customStyle="1" w:styleId="231">
    <w:name w:val="已访问的超链接1"/>
    <w:qFormat/>
    <w:uiPriority w:val="0"/>
    <w:rPr>
      <w:color w:val="800080"/>
      <w:u w:val="single"/>
    </w:rPr>
  </w:style>
  <w:style w:type="character" w:customStyle="1" w:styleId="232">
    <w:name w:val="明显强调1"/>
    <w:qFormat/>
    <w:uiPriority w:val="0"/>
    <w:rPr>
      <w:b/>
      <w:i/>
    </w:rPr>
  </w:style>
  <w:style w:type="character" w:customStyle="1" w:styleId="233">
    <w:name w:val="条 4 Char"/>
    <w:qFormat/>
    <w:uiPriority w:val="0"/>
    <w:rPr>
      <w:rFonts w:ascii="Arial" w:hAnsi="Arial"/>
      <w:b/>
      <w:kern w:val="2"/>
      <w:sz w:val="28"/>
    </w:rPr>
  </w:style>
  <w:style w:type="character" w:customStyle="1" w:styleId="234">
    <w:name w:val="样式 加粗"/>
    <w:qFormat/>
    <w:uiPriority w:val="0"/>
    <w:rPr>
      <w:b/>
    </w:rPr>
  </w:style>
  <w:style w:type="character" w:customStyle="1" w:styleId="235">
    <w:name w:val="页眉 Char1"/>
    <w:qFormat/>
    <w:uiPriority w:val="0"/>
    <w:rPr>
      <w:kern w:val="2"/>
      <w:sz w:val="18"/>
    </w:rPr>
  </w:style>
  <w:style w:type="character" w:customStyle="1" w:styleId="236">
    <w:name w:val="科东_正文 Char Char"/>
    <w:link w:val="237"/>
    <w:qFormat/>
    <w:uiPriority w:val="0"/>
    <w:rPr>
      <w:rFonts w:eastAsia="宋体"/>
      <w:kern w:val="2"/>
      <w:sz w:val="24"/>
      <w:lang w:val="en-US" w:eastAsia="zh-CN"/>
    </w:rPr>
  </w:style>
  <w:style w:type="paragraph" w:customStyle="1" w:styleId="237">
    <w:name w:val="科东_正文"/>
    <w:basedOn w:val="1"/>
    <w:link w:val="236"/>
    <w:qFormat/>
    <w:uiPriority w:val="0"/>
  </w:style>
  <w:style w:type="character" w:customStyle="1" w:styleId="238">
    <w:name w:val="报告正文 Char Char"/>
    <w:link w:val="239"/>
    <w:qFormat/>
    <w:uiPriority w:val="0"/>
    <w:rPr>
      <w:rFonts w:ascii="宋体" w:hAnsi="宋体"/>
      <w:kern w:val="2"/>
      <w:sz w:val="24"/>
    </w:rPr>
  </w:style>
  <w:style w:type="paragraph" w:customStyle="1" w:styleId="239">
    <w:name w:val="报告正文"/>
    <w:basedOn w:val="1"/>
    <w:link w:val="238"/>
    <w:qFormat/>
    <w:uiPriority w:val="0"/>
    <w:pPr>
      <w:ind w:firstLine="480"/>
    </w:pPr>
    <w:rPr>
      <w:rFonts w:ascii="宋体" w:hAnsi="宋体"/>
    </w:rPr>
  </w:style>
  <w:style w:type="character" w:customStyle="1" w:styleId="240">
    <w:name w:val="图名 Char Char"/>
    <w:link w:val="241"/>
    <w:qFormat/>
    <w:uiPriority w:val="0"/>
    <w:rPr>
      <w:rFonts w:ascii="宋体" w:hAnsi="宋体"/>
      <w:kern w:val="2"/>
      <w:sz w:val="24"/>
    </w:rPr>
  </w:style>
  <w:style w:type="paragraph" w:customStyle="1" w:styleId="241">
    <w:name w:val="图名"/>
    <w:basedOn w:val="1"/>
    <w:next w:val="1"/>
    <w:link w:val="240"/>
    <w:qFormat/>
    <w:uiPriority w:val="0"/>
    <w:pPr>
      <w:ind w:left="420" w:firstLine="0"/>
    </w:pPr>
    <w:rPr>
      <w:rFonts w:ascii="宋体" w:hAnsi="宋体"/>
    </w:rPr>
  </w:style>
  <w:style w:type="character" w:customStyle="1" w:styleId="242">
    <w:name w:val="样式 正文首行缩进 + 段前: 0.5 行 段后: 0.5 行 Char Char"/>
    <w:link w:val="243"/>
    <w:qFormat/>
    <w:uiPriority w:val="0"/>
    <w:rPr>
      <w:rFonts w:eastAsia="宋体"/>
      <w:kern w:val="2"/>
      <w:sz w:val="24"/>
      <w:lang w:val="en-US" w:eastAsia="zh-CN"/>
    </w:rPr>
  </w:style>
  <w:style w:type="paragraph" w:customStyle="1" w:styleId="243">
    <w:name w:val="样式 正文首行缩进 + 段前: 0.5 行 段后: 0.5 行"/>
    <w:basedOn w:val="44"/>
    <w:link w:val="242"/>
    <w:qFormat/>
    <w:uiPriority w:val="0"/>
    <w:pPr>
      <w:spacing w:after="156"/>
    </w:pPr>
  </w:style>
  <w:style w:type="character" w:customStyle="1" w:styleId="244">
    <w:name w:val="Bullet Char Char"/>
    <w:link w:val="245"/>
    <w:qFormat/>
    <w:uiPriority w:val="0"/>
    <w:rPr>
      <w:rFonts w:ascii="Arial" w:hAnsi="Arial"/>
      <w:kern w:val="2"/>
      <w:sz w:val="21"/>
      <w:lang w:eastAsia="en-US"/>
    </w:rPr>
  </w:style>
  <w:style w:type="paragraph" w:customStyle="1" w:styleId="245">
    <w:name w:val="Bullet"/>
    <w:basedOn w:val="1"/>
    <w:link w:val="244"/>
    <w:qFormat/>
    <w:uiPriority w:val="0"/>
    <w:pPr>
      <w:tabs>
        <w:tab w:val="left" w:pos="1712"/>
      </w:tabs>
      <w:adjustRightInd w:val="0"/>
      <w:spacing w:line="288" w:lineRule="auto"/>
      <w:ind w:left="1712" w:firstLine="0"/>
    </w:pPr>
    <w:rPr>
      <w:rFonts w:ascii="Arial" w:hAnsi="Arial"/>
      <w:sz w:val="21"/>
      <w:lang w:eastAsia="en-US"/>
    </w:rPr>
  </w:style>
  <w:style w:type="character" w:customStyle="1" w:styleId="246">
    <w:name w:val="标题 5 Char1"/>
    <w:qFormat/>
    <w:uiPriority w:val="0"/>
    <w:rPr>
      <w:b/>
      <w:kern w:val="2"/>
      <w:sz w:val="28"/>
    </w:rPr>
  </w:style>
  <w:style w:type="character" w:customStyle="1" w:styleId="247">
    <w:name w:val="search_content1"/>
    <w:qFormat/>
    <w:uiPriority w:val="0"/>
    <w:rPr>
      <w:sz w:val="18"/>
    </w:rPr>
  </w:style>
  <w:style w:type="character" w:customStyle="1" w:styleId="248">
    <w:name w:val="EmailStyle2661"/>
    <w:qFormat/>
    <w:uiPriority w:val="0"/>
    <w:rPr>
      <w:rFonts w:ascii="Arial" w:hAnsi="Arial" w:eastAsia="宋体"/>
      <w:color w:val="auto"/>
      <w:sz w:val="20"/>
    </w:rPr>
  </w:style>
  <w:style w:type="character" w:customStyle="1" w:styleId="249">
    <w:name w:val="表格名 Char Char"/>
    <w:link w:val="250"/>
    <w:qFormat/>
    <w:uiPriority w:val="0"/>
    <w:rPr>
      <w:rFonts w:ascii="Arial" w:hAnsi="Arial" w:eastAsia="黑体"/>
      <w:b/>
      <w:kern w:val="2"/>
      <w:sz w:val="24"/>
    </w:rPr>
  </w:style>
  <w:style w:type="paragraph" w:customStyle="1" w:styleId="250">
    <w:name w:val="表格名"/>
    <w:basedOn w:val="17"/>
    <w:link w:val="249"/>
    <w:qFormat/>
    <w:uiPriority w:val="0"/>
    <w:rPr>
      <w:rFonts w:ascii="Arial" w:hAnsi="Arial" w:eastAsia="黑体"/>
      <w:b/>
      <w:sz w:val="24"/>
    </w:rPr>
  </w:style>
  <w:style w:type="character" w:customStyle="1" w:styleId="251">
    <w:name w:val="PIM 9 Char"/>
    <w:qFormat/>
    <w:uiPriority w:val="0"/>
    <w:rPr>
      <w:rFonts w:ascii="Arial" w:hAnsi="Arial" w:eastAsia="黑体"/>
      <w:kern w:val="2"/>
      <w:sz w:val="24"/>
    </w:rPr>
  </w:style>
  <w:style w:type="character" w:customStyle="1" w:styleId="252">
    <w:name w:val="HTML 引文1"/>
    <w:qFormat/>
    <w:uiPriority w:val="0"/>
    <w:rPr>
      <w:i/>
    </w:rPr>
  </w:style>
  <w:style w:type="character" w:customStyle="1" w:styleId="253">
    <w:name w:val="1 - RFP Bullet 1 Char Char"/>
    <w:link w:val="254"/>
    <w:qFormat/>
    <w:uiPriority w:val="0"/>
    <w:rPr>
      <w:rFonts w:ascii="Arial" w:hAnsi="Arial"/>
      <w:sz w:val="22"/>
      <w:lang w:eastAsia="en-US"/>
    </w:rPr>
  </w:style>
  <w:style w:type="paragraph" w:customStyle="1" w:styleId="254">
    <w:name w:val="1 - RFP Bullet 1"/>
    <w:basedOn w:val="176"/>
    <w:link w:val="253"/>
    <w:qFormat/>
    <w:uiPriority w:val="0"/>
  </w:style>
  <w:style w:type="character" w:customStyle="1" w:styleId="255">
    <w:name w:val="样式34 Char Char"/>
    <w:link w:val="256"/>
    <w:qFormat/>
    <w:uiPriority w:val="0"/>
    <w:rPr>
      <w:rFonts w:hAnsi="宋体"/>
      <w:sz w:val="24"/>
      <w:lang w:val="en-US" w:eastAsia="zh-CN"/>
    </w:rPr>
  </w:style>
  <w:style w:type="paragraph" w:customStyle="1" w:styleId="256">
    <w:name w:val="样式34"/>
    <w:basedOn w:val="257"/>
    <w:link w:val="255"/>
    <w:qFormat/>
    <w:uiPriority w:val="0"/>
    <w:pPr>
      <w:tabs>
        <w:tab w:val="left" w:pos="846"/>
        <w:tab w:val="left" w:pos="900"/>
        <w:tab w:val="left" w:pos="918"/>
      </w:tabs>
      <w:ind w:left="0" w:firstLine="198"/>
    </w:pPr>
    <w:rPr>
      <w:rFonts w:ascii="Times New Roman"/>
      <w:kern w:val="0"/>
    </w:rPr>
  </w:style>
  <w:style w:type="paragraph" w:customStyle="1" w:styleId="257">
    <w:name w:val="样式31"/>
    <w:basedOn w:val="258"/>
    <w:link w:val="269"/>
    <w:qFormat/>
    <w:uiPriority w:val="0"/>
    <w:pPr>
      <w:tabs>
        <w:tab w:val="left" w:pos="846"/>
        <w:tab w:val="left" w:pos="900"/>
      </w:tabs>
      <w:spacing w:line="360" w:lineRule="auto"/>
      <w:ind w:left="900"/>
    </w:pPr>
    <w:rPr>
      <w:sz w:val="24"/>
    </w:rPr>
  </w:style>
  <w:style w:type="paragraph" w:customStyle="1" w:styleId="258">
    <w:name w:val="样式4"/>
    <w:basedOn w:val="1"/>
    <w:link w:val="281"/>
    <w:qFormat/>
    <w:uiPriority w:val="0"/>
    <w:pPr>
      <w:tabs>
        <w:tab w:val="left" w:pos="846"/>
      </w:tabs>
      <w:spacing w:line="300" w:lineRule="auto"/>
      <w:ind w:left="846" w:firstLine="0"/>
    </w:pPr>
    <w:rPr>
      <w:rFonts w:ascii="宋体" w:hAnsi="宋体"/>
      <w:sz w:val="21"/>
    </w:rPr>
  </w:style>
  <w:style w:type="character" w:customStyle="1" w:styleId="259">
    <w:name w:val="明显参考1"/>
    <w:qFormat/>
    <w:uiPriority w:val="0"/>
    <w:rPr>
      <w:b/>
      <w:smallCaps/>
    </w:rPr>
  </w:style>
  <w:style w:type="character" w:customStyle="1" w:styleId="260">
    <w:name w:val="EmailStyle2671"/>
    <w:qFormat/>
    <w:uiPriority w:val="0"/>
    <w:rPr>
      <w:rFonts w:ascii="Arial" w:hAnsi="Arial" w:eastAsia="宋体"/>
      <w:color w:val="auto"/>
      <w:sz w:val="20"/>
    </w:rPr>
  </w:style>
  <w:style w:type="character" w:customStyle="1" w:styleId="261">
    <w:name w:val="样式1 Char Char"/>
    <w:link w:val="262"/>
    <w:qFormat/>
    <w:uiPriority w:val="0"/>
    <w:rPr>
      <w:kern w:val="2"/>
      <w:sz w:val="21"/>
    </w:rPr>
  </w:style>
  <w:style w:type="paragraph" w:customStyle="1" w:styleId="262">
    <w:name w:val="样式1"/>
    <w:basedOn w:val="1"/>
    <w:link w:val="261"/>
    <w:qFormat/>
    <w:uiPriority w:val="0"/>
    <w:pPr>
      <w:spacing w:line="240" w:lineRule="auto"/>
      <w:ind w:left="840" w:leftChars="200" w:hanging="420" w:hangingChars="200"/>
    </w:pPr>
    <w:rPr>
      <w:sz w:val="21"/>
    </w:rPr>
  </w:style>
  <w:style w:type="character" w:customStyle="1" w:styleId="263">
    <w:name w:val="冯正文 Char Char"/>
    <w:link w:val="264"/>
    <w:qFormat/>
    <w:uiPriority w:val="0"/>
    <w:rPr>
      <w:rFonts w:ascii="宋体" w:hAnsi="宋体"/>
      <w:kern w:val="2"/>
      <w:sz w:val="24"/>
    </w:rPr>
  </w:style>
  <w:style w:type="paragraph" w:customStyle="1" w:styleId="264">
    <w:name w:val="冯正文"/>
    <w:basedOn w:val="1"/>
    <w:link w:val="263"/>
    <w:qFormat/>
    <w:uiPriority w:val="0"/>
    <w:pPr>
      <w:ind w:firstLine="480"/>
    </w:pPr>
    <w:rPr>
      <w:rFonts w:ascii="宋体" w:hAnsi="宋体"/>
    </w:rPr>
  </w:style>
  <w:style w:type="character" w:customStyle="1" w:styleId="265">
    <w:name w:val="正文文本 Char1"/>
    <w:qFormat/>
    <w:uiPriority w:val="0"/>
    <w:rPr>
      <w:kern w:val="2"/>
      <w:sz w:val="21"/>
    </w:rPr>
  </w:style>
  <w:style w:type="character" w:customStyle="1" w:styleId="266">
    <w:name w:val="明显引用 Char"/>
    <w:link w:val="267"/>
    <w:qFormat/>
    <w:uiPriority w:val="0"/>
    <w:rPr>
      <w:rFonts w:ascii="Cambria" w:hAnsi="Cambria"/>
      <w:i/>
      <w:sz w:val="22"/>
      <w:lang w:eastAsia="en-US"/>
    </w:rPr>
  </w:style>
  <w:style w:type="paragraph" w:customStyle="1" w:styleId="267">
    <w:name w:val="明显引用1"/>
    <w:basedOn w:val="1"/>
    <w:next w:val="1"/>
    <w:link w:val="266"/>
    <w:qFormat/>
    <w:uiPriority w:val="0"/>
    <w:pPr>
      <w:pBdr>
        <w:top w:val="single" w:color="auto" w:sz="4" w:space="10"/>
        <w:bottom w:val="single" w:color="auto" w:sz="4" w:space="10"/>
      </w:pBdr>
      <w:spacing w:line="300" w:lineRule="auto"/>
      <w:ind w:left="1152" w:firstLine="0"/>
    </w:pPr>
    <w:rPr>
      <w:rFonts w:ascii="Cambria" w:hAnsi="Cambria"/>
      <w:i/>
      <w:kern w:val="0"/>
      <w:sz w:val="22"/>
      <w:lang w:eastAsia="en-US"/>
    </w:rPr>
  </w:style>
  <w:style w:type="character" w:customStyle="1" w:styleId="268">
    <w:name w:val="HTML 定义1"/>
    <w:qFormat/>
    <w:uiPriority w:val="0"/>
    <w:rPr>
      <w:i/>
    </w:rPr>
  </w:style>
  <w:style w:type="character" w:customStyle="1" w:styleId="269">
    <w:name w:val="样式31 Char Char"/>
    <w:link w:val="257"/>
    <w:qFormat/>
    <w:uiPriority w:val="0"/>
    <w:rPr>
      <w:rFonts w:ascii="宋体" w:hAnsi="宋体"/>
      <w:kern w:val="2"/>
      <w:sz w:val="24"/>
    </w:rPr>
  </w:style>
  <w:style w:type="character" w:customStyle="1" w:styleId="270">
    <w:name w:val="“下标”样式"/>
    <w:qFormat/>
    <w:uiPriority w:val="0"/>
    <w:rPr>
      <w:vertAlign w:val="subscript"/>
    </w:rPr>
  </w:style>
  <w:style w:type="character" w:customStyle="1" w:styleId="271">
    <w:name w:val="园点 Char Char"/>
    <w:link w:val="272"/>
    <w:qFormat/>
    <w:uiPriority w:val="0"/>
    <w:rPr>
      <w:kern w:val="2"/>
      <w:sz w:val="21"/>
    </w:rPr>
  </w:style>
  <w:style w:type="paragraph" w:customStyle="1" w:styleId="272">
    <w:name w:val="园点"/>
    <w:basedOn w:val="1"/>
    <w:link w:val="271"/>
    <w:qFormat/>
    <w:uiPriority w:val="0"/>
    <w:pPr>
      <w:spacing w:line="300" w:lineRule="auto"/>
      <w:ind w:left="840" w:firstLine="0"/>
    </w:pPr>
    <w:rPr>
      <w:sz w:val="21"/>
    </w:rPr>
  </w:style>
  <w:style w:type="character" w:customStyle="1" w:styleId="273">
    <w:name w:val="字母编号 Char Char"/>
    <w:link w:val="274"/>
    <w:qFormat/>
    <w:uiPriority w:val="0"/>
    <w:rPr>
      <w:kern w:val="2"/>
      <w:sz w:val="21"/>
    </w:rPr>
  </w:style>
  <w:style w:type="paragraph" w:customStyle="1" w:styleId="274">
    <w:name w:val="字母编号"/>
    <w:basedOn w:val="1"/>
    <w:link w:val="273"/>
    <w:qFormat/>
    <w:uiPriority w:val="0"/>
    <w:pPr>
      <w:spacing w:line="240" w:lineRule="auto"/>
      <w:ind w:firstLine="0"/>
    </w:pPr>
    <w:rPr>
      <w:sz w:val="21"/>
    </w:rPr>
  </w:style>
  <w:style w:type="character" w:customStyle="1" w:styleId="275">
    <w:name w:val="书籍标题1"/>
    <w:qFormat/>
    <w:uiPriority w:val="0"/>
    <w:rPr>
      <w:i/>
      <w:smallCaps/>
      <w:spacing w:val="5"/>
    </w:rPr>
  </w:style>
  <w:style w:type="character" w:customStyle="1" w:styleId="276">
    <w:name w:val="附录章标题 Char Char"/>
    <w:link w:val="277"/>
    <w:qFormat/>
    <w:uiPriority w:val="0"/>
    <w:rPr>
      <w:rFonts w:ascii="黑体" w:eastAsia="黑体"/>
      <w:b/>
      <w:kern w:val="21"/>
      <w:sz w:val="21"/>
      <w:lang w:val="en-US" w:eastAsia="zh-CN" w:bidi="ar-SA"/>
    </w:rPr>
  </w:style>
  <w:style w:type="paragraph" w:customStyle="1" w:styleId="277">
    <w:name w:val="附录章标题"/>
    <w:next w:val="221"/>
    <w:link w:val="276"/>
    <w:qFormat/>
    <w:uiPriority w:val="0"/>
    <w:pPr>
      <w:wordWrap w:val="0"/>
      <w:overflowPunct w:val="0"/>
      <w:autoSpaceDE w:val="0"/>
      <w:spacing w:beforeLines="50" w:afterLines="50" w:line="360" w:lineRule="auto"/>
      <w:ind w:firstLine="482"/>
      <w:jc w:val="both"/>
      <w:textAlignment w:val="baseline"/>
      <w:outlineLvl w:val="1"/>
    </w:pPr>
    <w:rPr>
      <w:rFonts w:ascii="黑体" w:hAnsi="Times New Roman" w:eastAsia="黑体" w:cs="Times New Roman"/>
      <w:b/>
      <w:kern w:val="21"/>
      <w:sz w:val="21"/>
      <w:lang w:val="en-US" w:eastAsia="zh-CN" w:bidi="ar-SA"/>
    </w:rPr>
  </w:style>
  <w:style w:type="character" w:customStyle="1" w:styleId="278">
    <w:name w:val="样式6 Char Char"/>
    <w:link w:val="279"/>
    <w:qFormat/>
    <w:uiPriority w:val="0"/>
    <w:rPr>
      <w:rFonts w:eastAsia="黑体"/>
      <w:b/>
      <w:caps/>
      <w:color w:val="FF0000"/>
      <w:kern w:val="44"/>
      <w:sz w:val="44"/>
    </w:rPr>
  </w:style>
  <w:style w:type="paragraph" w:customStyle="1" w:styleId="279">
    <w:name w:val="样式6"/>
    <w:basedOn w:val="4"/>
    <w:link w:val="278"/>
    <w:qFormat/>
    <w:uiPriority w:val="0"/>
    <w:pPr>
      <w:keepLines w:val="0"/>
      <w:tabs>
        <w:tab w:val="left" w:pos="1155"/>
      </w:tabs>
      <w:spacing w:beforeLines="200" w:afterLines="200"/>
      <w:ind w:left="1155" w:hanging="675"/>
    </w:pPr>
    <w:rPr>
      <w:rFonts w:eastAsia="黑体"/>
      <w:caps/>
      <w:color w:val="FF0000"/>
      <w:sz w:val="44"/>
    </w:rPr>
  </w:style>
  <w:style w:type="character" w:customStyle="1" w:styleId="280">
    <w:name w:val="正文首行缩进 Char1"/>
    <w:qFormat/>
    <w:uiPriority w:val="0"/>
  </w:style>
  <w:style w:type="character" w:customStyle="1" w:styleId="281">
    <w:name w:val="样式4 Char Char"/>
    <w:link w:val="258"/>
    <w:qFormat/>
    <w:uiPriority w:val="0"/>
    <w:rPr>
      <w:rFonts w:ascii="宋体" w:hAnsi="宋体"/>
      <w:kern w:val="2"/>
      <w:sz w:val="21"/>
    </w:rPr>
  </w:style>
  <w:style w:type="character" w:customStyle="1" w:styleId="282">
    <w:name w:val="1.1 Char Char"/>
    <w:link w:val="187"/>
    <w:qFormat/>
    <w:uiPriority w:val="0"/>
    <w:rPr>
      <w:kern w:val="2"/>
      <w:sz w:val="24"/>
    </w:rPr>
  </w:style>
  <w:style w:type="character" w:customStyle="1" w:styleId="283">
    <w:name w:val="zi1"/>
    <w:qFormat/>
    <w:uiPriority w:val="0"/>
    <w:rPr>
      <w:rFonts w:hint="default" w:ascii="ˎ̥" w:hAnsi="ˎ̥"/>
      <w:color w:val="000000"/>
      <w:sz w:val="22"/>
      <w:u w:val="none"/>
    </w:rPr>
  </w:style>
  <w:style w:type="character" w:customStyle="1" w:styleId="284">
    <w:name w:val="二级条标题 Char Char"/>
    <w:link w:val="285"/>
    <w:qFormat/>
    <w:uiPriority w:val="0"/>
    <w:rPr>
      <w:rFonts w:ascii="黑体" w:eastAsia="黑体"/>
      <w:b/>
      <w:sz w:val="21"/>
    </w:rPr>
  </w:style>
  <w:style w:type="paragraph" w:customStyle="1" w:styleId="285">
    <w:name w:val="二级条标题"/>
    <w:basedOn w:val="98"/>
    <w:next w:val="1"/>
    <w:link w:val="284"/>
    <w:qFormat/>
    <w:uiPriority w:val="0"/>
    <w:pPr>
      <w:outlineLvl w:val="3"/>
    </w:pPr>
  </w:style>
  <w:style w:type="character" w:customStyle="1" w:styleId="286">
    <w:name w:val="pi1"/>
    <w:qFormat/>
    <w:uiPriority w:val="0"/>
    <w:rPr>
      <w:color w:val="0000FF"/>
    </w:rPr>
  </w:style>
  <w:style w:type="character" w:customStyle="1" w:styleId="287">
    <w:name w:val="术语条目 Char Char"/>
    <w:link w:val="288"/>
    <w:qFormat/>
    <w:uiPriority w:val="0"/>
    <w:rPr>
      <w:rFonts w:ascii="宋体" w:hAnsi="宋体"/>
      <w:b/>
      <w:kern w:val="2"/>
      <w:sz w:val="21"/>
    </w:rPr>
  </w:style>
  <w:style w:type="paragraph" w:customStyle="1" w:styleId="288">
    <w:name w:val="术语条目"/>
    <w:basedOn w:val="1"/>
    <w:link w:val="287"/>
    <w:qFormat/>
    <w:uiPriority w:val="0"/>
    <w:pPr>
      <w:snapToGrid w:val="0"/>
      <w:spacing w:line="300" w:lineRule="auto"/>
      <w:ind w:left="420" w:firstLine="0"/>
    </w:pPr>
    <w:rPr>
      <w:rFonts w:ascii="宋体" w:hAnsi="宋体"/>
      <w:b/>
      <w:sz w:val="21"/>
    </w:rPr>
  </w:style>
  <w:style w:type="character" w:customStyle="1" w:styleId="289">
    <w:name w:val="样式8 Char Char"/>
    <w:link w:val="290"/>
    <w:qFormat/>
    <w:uiPriority w:val="0"/>
    <w:rPr>
      <w:rFonts w:ascii="宋体" w:hAnsi="宋体"/>
      <w:color w:val="000000"/>
      <w:kern w:val="2"/>
      <w:sz w:val="21"/>
    </w:rPr>
  </w:style>
  <w:style w:type="paragraph" w:customStyle="1" w:styleId="290">
    <w:name w:val="样式8"/>
    <w:basedOn w:val="1"/>
    <w:link w:val="289"/>
    <w:qFormat/>
    <w:uiPriority w:val="0"/>
    <w:pPr>
      <w:spacing w:line="300" w:lineRule="auto"/>
      <w:ind w:firstLine="0"/>
    </w:pPr>
    <w:rPr>
      <w:rFonts w:ascii="宋体" w:hAnsi="宋体"/>
      <w:color w:val="000000"/>
      <w:sz w:val="21"/>
    </w:rPr>
  </w:style>
  <w:style w:type="character" w:customStyle="1" w:styleId="291">
    <w:name w:val="HTML 键盘1"/>
    <w:qFormat/>
    <w:uiPriority w:val="0"/>
    <w:rPr>
      <w:rFonts w:ascii="Courier New" w:hAnsi="Courier New"/>
      <w:sz w:val="20"/>
    </w:rPr>
  </w:style>
  <w:style w:type="character" w:customStyle="1" w:styleId="292">
    <w:name w:val="Quick _"/>
    <w:qFormat/>
    <w:uiPriority w:val="0"/>
    <w:rPr>
      <w:rFonts w:ascii="Times" w:hAnsi="Times"/>
      <w:sz w:val="24"/>
    </w:rPr>
  </w:style>
  <w:style w:type="character" w:customStyle="1" w:styleId="293">
    <w:name w:val="样式9 Char Char"/>
    <w:link w:val="294"/>
    <w:qFormat/>
    <w:uiPriority w:val="0"/>
    <w:rPr>
      <w:rFonts w:ascii="宋体" w:hAnsi="宋体"/>
      <w:kern w:val="2"/>
      <w:sz w:val="21"/>
    </w:rPr>
  </w:style>
  <w:style w:type="paragraph" w:customStyle="1" w:styleId="294">
    <w:name w:val="样式9"/>
    <w:basedOn w:val="279"/>
    <w:link w:val="293"/>
    <w:qFormat/>
    <w:uiPriority w:val="0"/>
    <w:pPr>
      <w:keepNext w:val="0"/>
      <w:tabs>
        <w:tab w:val="clear" w:pos="1155"/>
      </w:tabs>
      <w:snapToGrid w:val="0"/>
      <w:spacing w:line="300" w:lineRule="auto"/>
      <w:ind w:left="0" w:firstLine="0"/>
      <w:outlineLvl w:val="9"/>
    </w:pPr>
    <w:rPr>
      <w:rFonts w:ascii="宋体" w:hAnsi="宋体" w:eastAsia="宋体"/>
      <w:b w:val="0"/>
      <w:caps w:val="0"/>
      <w:color w:val="auto"/>
      <w:kern w:val="2"/>
      <w:sz w:val="21"/>
    </w:rPr>
  </w:style>
  <w:style w:type="character" w:customStyle="1" w:styleId="295">
    <w:name w:val="标题 2 Char1"/>
    <w:qFormat/>
    <w:uiPriority w:val="0"/>
    <w:rPr>
      <w:rFonts w:ascii="Cambria" w:hAnsi="Cambria" w:eastAsia="宋体"/>
      <w:b/>
      <w:kern w:val="2"/>
      <w:sz w:val="32"/>
    </w:rPr>
  </w:style>
  <w:style w:type="paragraph" w:customStyle="1" w:styleId="296">
    <w:name w:val="普通(网站)1"/>
    <w:basedOn w:val="1"/>
    <w:qFormat/>
    <w:uiPriority w:val="0"/>
    <w:pPr>
      <w:spacing w:before="100" w:beforeAutospacing="1" w:after="100" w:afterAutospacing="1" w:line="240" w:lineRule="auto"/>
      <w:ind w:firstLine="0"/>
    </w:pPr>
    <w:rPr>
      <w:kern w:val="0"/>
    </w:rPr>
  </w:style>
  <w:style w:type="paragraph" w:customStyle="1" w:styleId="297">
    <w:name w:val="xl124"/>
    <w:basedOn w:val="1"/>
    <w:qFormat/>
    <w:uiPriority w:val="0"/>
    <w:pPr>
      <w:pBdr>
        <w:left w:val="single" w:color="auto" w:sz="4" w:space="0"/>
        <w:right w:val="single" w:color="auto" w:sz="4" w:space="0"/>
      </w:pBdr>
      <w:shd w:val="clear" w:color="000000" w:fill="CCE8CF"/>
      <w:spacing w:before="100" w:beforeAutospacing="1" w:after="100" w:afterAutospacing="1" w:line="240" w:lineRule="auto"/>
      <w:ind w:firstLine="0"/>
    </w:pPr>
    <w:rPr>
      <w:rFonts w:ascii="宋体" w:hAnsi="宋体"/>
      <w:b/>
      <w:kern w:val="0"/>
      <w:sz w:val="20"/>
    </w:rPr>
  </w:style>
  <w:style w:type="paragraph" w:customStyle="1" w:styleId="298">
    <w:name w:val="zi"/>
    <w:basedOn w:val="1"/>
    <w:qFormat/>
    <w:uiPriority w:val="0"/>
    <w:pPr>
      <w:spacing w:before="100" w:beforeAutospacing="1" w:after="100" w:afterAutospacing="1" w:line="336" w:lineRule="atLeast"/>
      <w:ind w:firstLine="0"/>
    </w:pPr>
    <w:rPr>
      <w:rFonts w:ascii="ˎ̥" w:hAnsi="ˎ̥"/>
      <w:color w:val="000000"/>
      <w:kern w:val="0"/>
      <w:sz w:val="22"/>
    </w:rPr>
  </w:style>
  <w:style w:type="paragraph" w:customStyle="1" w:styleId="299">
    <w:name w:val="索引 61"/>
    <w:basedOn w:val="1"/>
    <w:next w:val="1"/>
    <w:qFormat/>
    <w:uiPriority w:val="0"/>
    <w:pPr>
      <w:spacing w:line="240" w:lineRule="auto"/>
      <w:ind w:left="1000" w:leftChars="1000" w:firstLine="0"/>
    </w:pPr>
    <w:rPr>
      <w:sz w:val="21"/>
    </w:rPr>
  </w:style>
  <w:style w:type="paragraph" w:customStyle="1" w:styleId="300">
    <w:name w:val="xl121"/>
    <w:basedOn w:val="1"/>
    <w:qFormat/>
    <w:uiPriority w:val="0"/>
    <w:pPr>
      <w:pBdr>
        <w:top w:val="single" w:color="auto" w:sz="4" w:space="0"/>
        <w:left w:val="single" w:color="auto" w:sz="4" w:space="0"/>
        <w:bottom w:val="single" w:color="auto" w:sz="4" w:space="0"/>
      </w:pBdr>
      <w:spacing w:before="100" w:beforeAutospacing="1" w:after="100" w:afterAutospacing="1" w:line="240" w:lineRule="auto"/>
      <w:ind w:firstLine="0"/>
    </w:pPr>
    <w:rPr>
      <w:rFonts w:ascii="宋体" w:hAnsi="宋体"/>
      <w:b/>
      <w:kern w:val="0"/>
      <w:sz w:val="20"/>
    </w:rPr>
  </w:style>
  <w:style w:type="paragraph" w:customStyle="1" w:styleId="301">
    <w:name w:val="封面标准代替信息"/>
    <w:basedOn w:val="302"/>
    <w:qFormat/>
    <w:uiPriority w:val="0"/>
    <w:pPr>
      <w:spacing w:before="57"/>
    </w:pPr>
    <w:rPr>
      <w:rFonts w:ascii="宋体"/>
      <w:sz w:val="21"/>
    </w:rPr>
  </w:style>
  <w:style w:type="paragraph" w:customStyle="1" w:styleId="302">
    <w:name w:val="封面标准号2"/>
    <w:basedOn w:val="303"/>
    <w:qFormat/>
    <w:uiPriority w:val="0"/>
    <w:pPr>
      <w:adjustRightInd w:val="0"/>
      <w:spacing w:before="357" w:line="280" w:lineRule="exact"/>
    </w:pPr>
  </w:style>
  <w:style w:type="paragraph" w:customStyle="1" w:styleId="303">
    <w:name w:val="封面标准号1"/>
    <w:qFormat/>
    <w:uiPriority w:val="0"/>
    <w:pPr>
      <w:widowControl w:val="0"/>
      <w:kinsoku w:val="0"/>
      <w:overflowPunct w:val="0"/>
      <w:autoSpaceDE w:val="0"/>
      <w:autoSpaceDN w:val="0"/>
      <w:spacing w:before="308" w:after="156" w:line="360" w:lineRule="auto"/>
      <w:ind w:firstLine="482"/>
      <w:jc w:val="right"/>
      <w:textAlignment w:val="center"/>
    </w:pPr>
    <w:rPr>
      <w:rFonts w:ascii="Times New Roman" w:hAnsi="Times New Roman" w:eastAsia="宋体" w:cs="Times New Roman"/>
      <w:sz w:val="28"/>
      <w:lang w:val="en-US" w:eastAsia="zh-CN" w:bidi="ar-SA"/>
    </w:rPr>
  </w:style>
  <w:style w:type="paragraph" w:customStyle="1" w:styleId="304">
    <w:name w:val="术语定义二级条标题"/>
    <w:basedOn w:val="305"/>
    <w:next w:val="221"/>
    <w:qFormat/>
    <w:uiPriority w:val="0"/>
    <w:pPr>
      <w:tabs>
        <w:tab w:val="left" w:pos="420"/>
        <w:tab w:val="left" w:pos="720"/>
      </w:tabs>
    </w:pPr>
  </w:style>
  <w:style w:type="paragraph" w:customStyle="1" w:styleId="305">
    <w:name w:val="术语定义条标题"/>
    <w:basedOn w:val="4"/>
    <w:next w:val="221"/>
    <w:qFormat/>
    <w:uiPriority w:val="0"/>
    <w:pPr>
      <w:keepNext w:val="0"/>
      <w:keepLines w:val="0"/>
      <w:tabs>
        <w:tab w:val="left" w:pos="420"/>
      </w:tabs>
      <w:spacing w:line="240" w:lineRule="auto"/>
      <w:outlineLvl w:val="9"/>
    </w:pPr>
    <w:rPr>
      <w:rFonts w:ascii="黑体" w:eastAsia="黑体"/>
      <w:kern w:val="0"/>
      <w:sz w:val="21"/>
    </w:rPr>
  </w:style>
  <w:style w:type="paragraph" w:customStyle="1" w:styleId="306">
    <w:name w:val="xl1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b/>
      <w:kern w:val="0"/>
      <w:sz w:val="20"/>
    </w:rPr>
  </w:style>
  <w:style w:type="paragraph" w:customStyle="1" w:styleId="307">
    <w:name w:val="默认段落字体 Para Char Char Char1 Char Char Char Char Char Char Char Char Char Char Char Char Char Char Char Char Char Char Char Char Char Char Char Char Char Char Char Char Char Char Char Char"/>
    <w:basedOn w:val="1"/>
    <w:qFormat/>
    <w:uiPriority w:val="0"/>
    <w:pPr>
      <w:spacing w:line="240" w:lineRule="atLeast"/>
      <w:ind w:left="420" w:firstLine="420"/>
    </w:pPr>
    <w:rPr>
      <w:rFonts w:eastAsia="黑体"/>
      <w:sz w:val="30"/>
    </w:rPr>
  </w:style>
  <w:style w:type="paragraph" w:customStyle="1" w:styleId="308">
    <w:name w:val="样式 标题 5 + 左侧:  0 厘米 悬挂缩进: 10.08 字符 段前: 6 磅 段后: 6 磅 行距: 1.5 倍..."/>
    <w:basedOn w:val="8"/>
    <w:qFormat/>
    <w:uiPriority w:val="0"/>
    <w:pPr>
      <w:numPr>
        <w:numId w:val="0"/>
      </w:numPr>
    </w:pPr>
    <w:rPr>
      <w:sz w:val="24"/>
    </w:rPr>
  </w:style>
  <w:style w:type="paragraph" w:customStyle="1" w:styleId="309">
    <w:name w:val="正文文本 21"/>
    <w:basedOn w:val="1"/>
    <w:qFormat/>
    <w:uiPriority w:val="0"/>
    <w:pPr>
      <w:tabs>
        <w:tab w:val="left" w:pos="360"/>
      </w:tabs>
      <w:spacing w:line="240" w:lineRule="auto"/>
      <w:ind w:firstLine="0"/>
    </w:pPr>
    <w:rPr>
      <w:kern w:val="0"/>
    </w:rPr>
  </w:style>
  <w:style w:type="paragraph" w:customStyle="1" w:styleId="310">
    <w:name w:val="xl73"/>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rFonts w:ascii="宋体" w:hAnsi="宋体"/>
      <w:color w:val="000000"/>
      <w:kern w:val="0"/>
      <w:sz w:val="32"/>
    </w:rPr>
  </w:style>
  <w:style w:type="paragraph" w:customStyle="1" w:styleId="311">
    <w:name w:val="xl104"/>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pPr>
    <w:rPr>
      <w:kern w:val="0"/>
    </w:rPr>
  </w:style>
  <w:style w:type="paragraph" w:customStyle="1" w:styleId="312">
    <w:name w:val="默认段落字体 Para Char Char Char Char Char Char Char"/>
    <w:basedOn w:val="1"/>
    <w:qFormat/>
    <w:uiPriority w:val="0"/>
    <w:pPr>
      <w:spacing w:line="240" w:lineRule="auto"/>
      <w:ind w:firstLine="643"/>
    </w:pPr>
    <w:rPr>
      <w:rFonts w:ascii="Tahoma" w:hAnsi="Tahoma"/>
    </w:rPr>
  </w:style>
  <w:style w:type="paragraph" w:customStyle="1" w:styleId="313">
    <w:name w:val="621)"/>
    <w:basedOn w:val="1"/>
    <w:qFormat/>
    <w:uiPriority w:val="0"/>
    <w:pPr>
      <w:tabs>
        <w:tab w:val="left" w:pos="1259"/>
      </w:tabs>
      <w:spacing w:line="288" w:lineRule="auto"/>
      <w:ind w:left="1259" w:hanging="420"/>
    </w:pPr>
    <w:rPr>
      <w:sz w:val="21"/>
    </w:rPr>
  </w:style>
  <w:style w:type="paragraph" w:customStyle="1" w:styleId="314">
    <w:name w:val="Char1"/>
    <w:basedOn w:val="1"/>
    <w:qFormat/>
    <w:uiPriority w:val="0"/>
    <w:pPr>
      <w:spacing w:before="0" w:after="0"/>
      <w:ind w:firstLine="0"/>
    </w:pPr>
    <w:rPr>
      <w:rFonts w:ascii="Tahoma" w:hAnsi="Tahoma"/>
      <w:sz w:val="28"/>
    </w:rPr>
  </w:style>
  <w:style w:type="paragraph" w:customStyle="1" w:styleId="315">
    <w:name w:val="1级列项"/>
    <w:basedOn w:val="189"/>
    <w:qFormat/>
    <w:uiPriority w:val="0"/>
    <w:pPr>
      <w:tabs>
        <w:tab w:val="left" w:pos="900"/>
      </w:tabs>
      <w:ind w:left="900" w:hanging="420"/>
    </w:pPr>
  </w:style>
  <w:style w:type="paragraph" w:customStyle="1" w:styleId="316">
    <w:name w:val="术语定义五级条标题"/>
    <w:basedOn w:val="4"/>
    <w:next w:val="221"/>
    <w:qFormat/>
    <w:uiPriority w:val="0"/>
    <w:pPr>
      <w:keepNext w:val="0"/>
      <w:keepLines w:val="0"/>
      <w:tabs>
        <w:tab w:val="left" w:pos="420"/>
        <w:tab w:val="left" w:pos="1440"/>
      </w:tabs>
      <w:spacing w:line="240" w:lineRule="auto"/>
      <w:outlineLvl w:val="9"/>
    </w:pPr>
    <w:rPr>
      <w:rFonts w:ascii="黑体" w:eastAsia="黑体"/>
      <w:kern w:val="0"/>
      <w:sz w:val="21"/>
    </w:rPr>
  </w:style>
  <w:style w:type="paragraph" w:customStyle="1" w:styleId="317">
    <w:name w:val="注×："/>
    <w:qFormat/>
    <w:uiPriority w:val="0"/>
    <w:pPr>
      <w:widowControl w:val="0"/>
      <w:tabs>
        <w:tab w:val="left" w:pos="630"/>
        <w:tab w:val="left" w:pos="900"/>
      </w:tabs>
      <w:autoSpaceDE w:val="0"/>
      <w:autoSpaceDN w:val="0"/>
      <w:spacing w:before="156" w:after="156" w:line="360" w:lineRule="auto"/>
      <w:ind w:left="900" w:hanging="500"/>
      <w:jc w:val="both"/>
    </w:pPr>
    <w:rPr>
      <w:rFonts w:ascii="宋体" w:hAnsi="Times New Roman" w:eastAsia="宋体" w:cs="Times New Roman"/>
      <w:sz w:val="18"/>
      <w:lang w:val="en-US" w:eastAsia="zh-CN" w:bidi="ar-SA"/>
    </w:rPr>
  </w:style>
  <w:style w:type="paragraph" w:customStyle="1" w:styleId="318">
    <w:name w:val="xl100"/>
    <w:basedOn w:val="1"/>
    <w:qFormat/>
    <w:uiPriority w:val="0"/>
    <w:pPr>
      <w:pBdr>
        <w:top w:val="single" w:color="auto" w:sz="4" w:space="0"/>
        <w:left w:val="single" w:color="auto" w:sz="4" w:space="0"/>
        <w:bottom w:val="single" w:color="auto" w:sz="4" w:space="0"/>
        <w:right w:val="single" w:color="auto" w:sz="4" w:space="0"/>
      </w:pBdr>
      <w:shd w:val="clear" w:color="000000" w:fill="75923C"/>
      <w:spacing w:before="100" w:beforeAutospacing="1" w:after="100" w:afterAutospacing="1" w:line="240" w:lineRule="auto"/>
      <w:ind w:firstLine="0"/>
    </w:pPr>
    <w:rPr>
      <w:rFonts w:ascii="宋体" w:hAnsi="宋体"/>
      <w:kern w:val="0"/>
      <w:sz w:val="32"/>
    </w:rPr>
  </w:style>
  <w:style w:type="paragraph" w:customStyle="1" w:styleId="319">
    <w:name w:val="图标题"/>
    <w:basedOn w:val="1"/>
    <w:qFormat/>
    <w:uiPriority w:val="0"/>
    <w:pPr>
      <w:spacing w:line="240" w:lineRule="auto"/>
      <w:ind w:firstLine="0"/>
    </w:pPr>
    <w:rPr>
      <w:rFonts w:eastAsia="黑体"/>
    </w:rPr>
  </w:style>
  <w:style w:type="paragraph" w:customStyle="1" w:styleId="320">
    <w:name w:val="xl39"/>
    <w:basedOn w:val="1"/>
    <w:qFormat/>
    <w:uiPriority w:val="0"/>
    <w:pPr>
      <w:pBdr>
        <w:top w:val="double" w:color="auto" w:sz="6"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321">
    <w:name w:val="xl37"/>
    <w:basedOn w:val="1"/>
    <w:qFormat/>
    <w:uiPriority w:val="0"/>
    <w:pPr>
      <w:pBdr>
        <w:top w:val="single" w:color="auto" w:sz="8" w:space="0"/>
        <w:bottom w:val="single" w:color="auto" w:sz="8" w:space="0"/>
        <w:right w:val="double" w:color="auto" w:sz="6" w:space="0"/>
      </w:pBdr>
      <w:spacing w:before="100" w:beforeAutospacing="1" w:after="100" w:afterAutospacing="1" w:line="240" w:lineRule="auto"/>
      <w:ind w:firstLine="0"/>
    </w:pPr>
    <w:rPr>
      <w:rFonts w:ascii="宋体" w:hAnsi="宋体"/>
      <w:kern w:val="0"/>
      <w:sz w:val="28"/>
    </w:rPr>
  </w:style>
  <w:style w:type="paragraph" w:customStyle="1" w:styleId="322">
    <w:name w:val="xl93"/>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color w:val="FF0000"/>
      <w:kern w:val="0"/>
    </w:rPr>
  </w:style>
  <w:style w:type="paragraph" w:customStyle="1" w:styleId="323">
    <w:name w:val="样式 首行缩进:  2 字符"/>
    <w:basedOn w:val="1"/>
    <w:qFormat/>
    <w:uiPriority w:val="0"/>
    <w:pPr>
      <w:ind w:firstLine="549" w:firstLineChars="196"/>
    </w:pPr>
    <w:rPr>
      <w:rFonts w:ascii="宋体" w:hAnsi="宋体"/>
    </w:rPr>
  </w:style>
  <w:style w:type="paragraph" w:customStyle="1" w:styleId="324">
    <w:name w:val="xl29"/>
    <w:basedOn w:val="1"/>
    <w:qFormat/>
    <w:uiPriority w:val="0"/>
    <w:pPr>
      <w:pBdr>
        <w:top w:val="single" w:color="auto" w:sz="4" w:space="0"/>
        <w:bottom w:val="single" w:color="auto" w:sz="8" w:space="0"/>
        <w:right w:val="single" w:color="auto" w:sz="4" w:space="0"/>
      </w:pBdr>
      <w:spacing w:before="100" w:beforeAutospacing="1" w:after="100" w:afterAutospacing="1" w:line="240" w:lineRule="auto"/>
      <w:ind w:firstLine="0"/>
    </w:pPr>
    <w:rPr>
      <w:rFonts w:ascii="宋体" w:hAnsi="宋体"/>
      <w:kern w:val="0"/>
      <w:sz w:val="20"/>
    </w:rPr>
  </w:style>
  <w:style w:type="paragraph" w:customStyle="1" w:styleId="325">
    <w:name w:val="四级栏目标题"/>
    <w:basedOn w:val="7"/>
    <w:qFormat/>
    <w:uiPriority w:val="0"/>
    <w:pPr>
      <w:keepNext w:val="0"/>
      <w:keepLines w:val="0"/>
      <w:numPr>
        <w:numId w:val="0"/>
      </w:numPr>
      <w:tabs>
        <w:tab w:val="left" w:pos="425"/>
      </w:tabs>
      <w:spacing w:line="269" w:lineRule="auto"/>
      <w:ind w:left="425" w:hanging="425"/>
    </w:pPr>
    <w:rPr>
      <w:b w:val="0"/>
      <w:spacing w:val="5"/>
      <w:kern w:val="0"/>
      <w:sz w:val="24"/>
      <w:lang w:eastAsia="en-US"/>
    </w:rPr>
  </w:style>
  <w:style w:type="paragraph" w:customStyle="1" w:styleId="326">
    <w:name w:val="xl113"/>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rFonts w:ascii="宋体" w:hAnsi="宋体"/>
      <w:kern w:val="0"/>
    </w:rPr>
  </w:style>
  <w:style w:type="paragraph" w:customStyle="1" w:styleId="327">
    <w:name w:val="封面标准文稿类别"/>
    <w:qFormat/>
    <w:uiPriority w:val="0"/>
    <w:pPr>
      <w:spacing w:before="440" w:after="156" w:line="400" w:lineRule="exact"/>
      <w:ind w:firstLine="482"/>
      <w:jc w:val="center"/>
    </w:pPr>
    <w:rPr>
      <w:rFonts w:ascii="宋体" w:hAnsi="Times New Roman" w:eastAsia="宋体" w:cs="Times New Roman"/>
      <w:sz w:val="24"/>
      <w:lang w:val="en-US" w:eastAsia="zh-CN" w:bidi="ar-SA"/>
    </w:rPr>
  </w:style>
  <w:style w:type="paragraph" w:customStyle="1" w:styleId="328">
    <w:name w:val="成套正文1 Char Char"/>
    <w:basedOn w:val="1"/>
    <w:qFormat/>
    <w:uiPriority w:val="0"/>
    <w:rPr>
      <w:rFonts w:ascii="Arial" w:hAnsi="Arial"/>
    </w:rPr>
  </w:style>
  <w:style w:type="paragraph" w:customStyle="1" w:styleId="329">
    <w:name w:val="正文表标题"/>
    <w:next w:val="221"/>
    <w:qFormat/>
    <w:uiPriority w:val="0"/>
    <w:pPr>
      <w:tabs>
        <w:tab w:val="left" w:pos="420"/>
      </w:tabs>
      <w:spacing w:before="156" w:after="156" w:line="360" w:lineRule="auto"/>
      <w:ind w:firstLine="482"/>
      <w:jc w:val="center"/>
    </w:pPr>
    <w:rPr>
      <w:rFonts w:ascii="黑体" w:hAnsi="Times New Roman" w:eastAsia="黑体" w:cs="Times New Roman"/>
      <w:b/>
      <w:sz w:val="21"/>
      <w:lang w:val="en-US" w:eastAsia="zh-CN" w:bidi="ar-SA"/>
    </w:rPr>
  </w:style>
  <w:style w:type="paragraph" w:customStyle="1" w:styleId="330">
    <w:name w:val="样式 样式 标题 5 + 左侧:  0 厘米 悬挂缩进: 10.08 字符 段前: 6 磅 段后: 6 磅 行距: 1.5 倍...."/>
    <w:basedOn w:val="308"/>
    <w:qFormat/>
    <w:uiPriority w:val="0"/>
    <w:pPr>
      <w:tabs>
        <w:tab w:val="left" w:pos="992"/>
      </w:tabs>
      <w:ind w:left="992" w:hanging="992"/>
    </w:pPr>
  </w:style>
  <w:style w:type="paragraph" w:customStyle="1" w:styleId="331">
    <w:name w:val="正文图标题"/>
    <w:basedOn w:val="329"/>
    <w:next w:val="221"/>
    <w:qFormat/>
    <w:uiPriority w:val="0"/>
  </w:style>
  <w:style w:type="paragraph" w:customStyle="1" w:styleId="332">
    <w:name w:val="xl46"/>
    <w:basedOn w:val="1"/>
    <w:qFormat/>
    <w:uiPriority w:val="0"/>
    <w:pPr>
      <w:pBdr>
        <w:bottom w:val="single" w:color="auto" w:sz="8" w:space="0"/>
        <w:right w:val="double" w:color="auto" w:sz="6" w:space="0"/>
      </w:pBdr>
      <w:spacing w:before="100" w:beforeAutospacing="1" w:after="100" w:afterAutospacing="1" w:line="240" w:lineRule="auto"/>
      <w:ind w:firstLine="0"/>
      <w:textAlignment w:val="center"/>
    </w:pPr>
    <w:rPr>
      <w:rFonts w:ascii="宋体" w:hAnsi="宋体"/>
      <w:kern w:val="0"/>
    </w:rPr>
  </w:style>
  <w:style w:type="paragraph" w:customStyle="1" w:styleId="333">
    <w:name w:val="宋体 四号"/>
    <w:basedOn w:val="1"/>
    <w:qFormat/>
    <w:uiPriority w:val="0"/>
    <w:pPr>
      <w:snapToGrid w:val="0"/>
      <w:spacing w:line="480" w:lineRule="atLeast"/>
      <w:ind w:firstLine="525"/>
    </w:pPr>
    <w:rPr>
      <w:color w:val="000000"/>
    </w:rPr>
  </w:style>
  <w:style w:type="paragraph" w:customStyle="1" w:styleId="334">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b/>
      <w:color w:val="4F81BD"/>
      <w:kern w:val="0"/>
    </w:rPr>
  </w:style>
  <w:style w:type="paragraph" w:customStyle="1" w:styleId="335">
    <w:name w:val="附录五级条标题"/>
    <w:basedOn w:val="336"/>
    <w:next w:val="1"/>
    <w:qFormat/>
    <w:uiPriority w:val="0"/>
    <w:pPr>
      <w:ind w:firstLine="0"/>
      <w:outlineLvl w:val="6"/>
    </w:pPr>
  </w:style>
  <w:style w:type="paragraph" w:customStyle="1" w:styleId="336">
    <w:name w:val="附录四级条标题"/>
    <w:basedOn w:val="337"/>
    <w:next w:val="1"/>
    <w:qFormat/>
    <w:uiPriority w:val="0"/>
    <w:pPr>
      <w:ind w:left="0"/>
      <w:outlineLvl w:val="5"/>
    </w:pPr>
  </w:style>
  <w:style w:type="paragraph" w:customStyle="1" w:styleId="337">
    <w:name w:val="附录三级条标题"/>
    <w:basedOn w:val="338"/>
    <w:next w:val="221"/>
    <w:qFormat/>
    <w:uiPriority w:val="0"/>
    <w:pPr>
      <w:outlineLvl w:val="4"/>
    </w:pPr>
  </w:style>
  <w:style w:type="paragraph" w:customStyle="1" w:styleId="338">
    <w:name w:val="附录二级条标题"/>
    <w:basedOn w:val="339"/>
    <w:next w:val="221"/>
    <w:qFormat/>
    <w:uiPriority w:val="0"/>
    <w:pPr>
      <w:ind w:left="1620"/>
      <w:outlineLvl w:val="3"/>
    </w:pPr>
  </w:style>
  <w:style w:type="paragraph" w:customStyle="1" w:styleId="339">
    <w:name w:val="附录一级条标题"/>
    <w:basedOn w:val="277"/>
    <w:next w:val="221"/>
    <w:qFormat/>
    <w:uiPriority w:val="0"/>
    <w:pPr>
      <w:autoSpaceDN w:val="0"/>
      <w:outlineLvl w:val="2"/>
    </w:pPr>
  </w:style>
  <w:style w:type="paragraph" w:customStyle="1" w:styleId="340">
    <w:name w:val="font16"/>
    <w:basedOn w:val="1"/>
    <w:qFormat/>
    <w:uiPriority w:val="0"/>
    <w:pPr>
      <w:spacing w:before="100" w:beforeAutospacing="1" w:after="100" w:afterAutospacing="1" w:line="240" w:lineRule="auto"/>
      <w:ind w:firstLine="0"/>
    </w:pPr>
    <w:rPr>
      <w:rFonts w:ascii="宋体" w:hAnsi="宋体"/>
      <w:color w:val="000000"/>
      <w:kern w:val="0"/>
      <w:sz w:val="20"/>
    </w:rPr>
  </w:style>
  <w:style w:type="paragraph" w:customStyle="1" w:styleId="341">
    <w:name w:val="签名页文字"/>
    <w:basedOn w:val="189"/>
    <w:qFormat/>
    <w:uiPriority w:val="0"/>
    <w:pPr>
      <w:spacing w:line="600" w:lineRule="exact"/>
      <w:ind w:left="1100" w:leftChars="1100" w:firstLine="0"/>
    </w:pPr>
    <w:rPr>
      <w:kern w:val="0"/>
      <w:sz w:val="32"/>
    </w:rPr>
  </w:style>
  <w:style w:type="paragraph" w:customStyle="1" w:styleId="342">
    <w:name w:val="样式 样式 小四 行距: 固定值 25 磅 + 首行缩进:  2 字符"/>
    <w:basedOn w:val="1"/>
    <w:qFormat/>
    <w:uiPriority w:val="0"/>
    <w:pPr>
      <w:spacing w:line="480" w:lineRule="auto"/>
    </w:pPr>
  </w:style>
  <w:style w:type="paragraph" w:customStyle="1" w:styleId="343">
    <w:name w:val="列表 21"/>
    <w:basedOn w:val="1"/>
    <w:qFormat/>
    <w:uiPriority w:val="0"/>
    <w:pPr>
      <w:ind w:left="100" w:leftChars="200" w:hanging="200" w:hangingChars="200"/>
    </w:pPr>
  </w:style>
  <w:style w:type="paragraph" w:customStyle="1" w:styleId="344">
    <w:name w:val="xl99"/>
    <w:basedOn w:val="1"/>
    <w:qFormat/>
    <w:uiPriority w:val="0"/>
    <w:pPr>
      <w:pBdr>
        <w:top w:val="single" w:color="auto" w:sz="4" w:space="0"/>
        <w:left w:val="single" w:color="auto" w:sz="4" w:space="0"/>
        <w:bottom w:val="single" w:color="auto" w:sz="4" w:space="0"/>
        <w:right w:val="single" w:color="auto" w:sz="4" w:space="0"/>
      </w:pBdr>
      <w:shd w:val="clear" w:color="000000" w:fill="75923C"/>
      <w:spacing w:before="100" w:beforeAutospacing="1" w:after="100" w:afterAutospacing="1" w:line="240" w:lineRule="auto"/>
      <w:ind w:firstLine="0"/>
    </w:pPr>
    <w:rPr>
      <w:rFonts w:ascii="宋体" w:hAnsi="宋体"/>
      <w:kern w:val="0"/>
      <w:sz w:val="32"/>
    </w:rPr>
  </w:style>
  <w:style w:type="paragraph" w:customStyle="1" w:styleId="345">
    <w:name w:val="样式 标题 4 + 宋体"/>
    <w:basedOn w:val="7"/>
    <w:qFormat/>
    <w:uiPriority w:val="0"/>
    <w:pPr>
      <w:numPr>
        <w:numId w:val="0"/>
      </w:numPr>
      <w:tabs>
        <w:tab w:val="left" w:pos="480"/>
        <w:tab w:val="left" w:pos="851"/>
      </w:tabs>
      <w:spacing w:afterLines="100"/>
      <w:ind w:left="851" w:hanging="851"/>
    </w:pPr>
    <w:rPr>
      <w:rFonts w:ascii="宋体" w:hAnsi="宋体"/>
      <w:sz w:val="24"/>
    </w:rPr>
  </w:style>
  <w:style w:type="paragraph" w:customStyle="1" w:styleId="346">
    <w:name w:val="三级无标题条"/>
    <w:basedOn w:val="1"/>
    <w:qFormat/>
    <w:uiPriority w:val="0"/>
    <w:pPr>
      <w:spacing w:line="240" w:lineRule="auto"/>
      <w:ind w:firstLine="0"/>
    </w:pPr>
    <w:rPr>
      <w:b/>
      <w:sz w:val="21"/>
    </w:rPr>
  </w:style>
  <w:style w:type="paragraph" w:customStyle="1" w:styleId="347">
    <w:name w:val="图注"/>
    <w:next w:val="1"/>
    <w:qFormat/>
    <w:uiPriority w:val="0"/>
    <w:pPr>
      <w:tabs>
        <w:tab w:val="left" w:pos="360"/>
      </w:tabs>
      <w:spacing w:before="156" w:after="50" w:line="360" w:lineRule="auto"/>
      <w:ind w:left="360" w:hanging="360"/>
      <w:jc w:val="center"/>
    </w:pPr>
    <w:rPr>
      <w:rFonts w:ascii="Arial" w:hAnsi="Arial" w:eastAsia="宋体" w:cs="Times New Roman"/>
      <w:color w:val="000000"/>
      <w:sz w:val="24"/>
      <w:lang w:val="en-US" w:eastAsia="zh-CN" w:bidi="ar-SA"/>
    </w:rPr>
  </w:style>
  <w:style w:type="paragraph" w:customStyle="1" w:styleId="348">
    <w:name w:val="列表编号 31"/>
    <w:basedOn w:val="1"/>
    <w:qFormat/>
    <w:uiPriority w:val="0"/>
    <w:pPr>
      <w:tabs>
        <w:tab w:val="left" w:pos="1200"/>
      </w:tabs>
      <w:ind w:left="1200" w:hanging="360"/>
    </w:pPr>
    <w:rPr>
      <w:sz w:val="21"/>
    </w:rPr>
  </w:style>
  <w:style w:type="paragraph" w:customStyle="1" w:styleId="349">
    <w:name w:val="font18"/>
    <w:basedOn w:val="1"/>
    <w:qFormat/>
    <w:uiPriority w:val="0"/>
    <w:pPr>
      <w:spacing w:before="100" w:beforeAutospacing="1" w:after="100" w:afterAutospacing="1" w:line="240" w:lineRule="auto"/>
      <w:ind w:firstLine="0"/>
    </w:pPr>
    <w:rPr>
      <w:rFonts w:ascii="宋体" w:hAnsi="宋体"/>
      <w:color w:val="000000"/>
      <w:kern w:val="0"/>
      <w:sz w:val="20"/>
    </w:rPr>
  </w:style>
  <w:style w:type="paragraph" w:customStyle="1" w:styleId="350">
    <w:name w:val="样式 标题 22nd levelh22Header 2H2UNDERRUBRIK 1-2sect 1.2Head..."/>
    <w:basedOn w:val="5"/>
    <w:qFormat/>
    <w:uiPriority w:val="0"/>
    <w:pPr>
      <w:tabs>
        <w:tab w:val="left" w:pos="1155"/>
        <w:tab w:val="clear" w:pos="720"/>
      </w:tabs>
      <w:adjustRightInd w:val="0"/>
      <w:snapToGrid w:val="0"/>
      <w:spacing w:before="260" w:after="260"/>
      <w:ind w:left="1155" w:hanging="675"/>
    </w:pPr>
  </w:style>
  <w:style w:type="paragraph" w:customStyle="1" w:styleId="351">
    <w:name w:val="封面标准文稿编辑信息"/>
    <w:qFormat/>
    <w:uiPriority w:val="0"/>
    <w:pPr>
      <w:spacing w:before="180" w:after="156" w:line="180" w:lineRule="exact"/>
      <w:ind w:firstLine="482"/>
      <w:jc w:val="center"/>
    </w:pPr>
    <w:rPr>
      <w:rFonts w:ascii="宋体" w:hAnsi="Times New Roman" w:eastAsia="宋体" w:cs="Times New Roman"/>
      <w:sz w:val="21"/>
      <w:lang w:val="en-US" w:eastAsia="zh-CN" w:bidi="ar-SA"/>
    </w:rPr>
  </w:style>
  <w:style w:type="paragraph" w:customStyle="1" w:styleId="352">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sz w:val="32"/>
    </w:rPr>
  </w:style>
  <w:style w:type="paragraph" w:customStyle="1" w:styleId="353">
    <w:name w:val="四级无标题条"/>
    <w:basedOn w:val="1"/>
    <w:qFormat/>
    <w:uiPriority w:val="0"/>
    <w:pPr>
      <w:spacing w:line="240" w:lineRule="auto"/>
      <w:ind w:firstLine="0"/>
    </w:pPr>
    <w:rPr>
      <w:rFonts w:eastAsia="黑体"/>
      <w:b/>
      <w:sz w:val="21"/>
    </w:rPr>
  </w:style>
  <w:style w:type="paragraph" w:customStyle="1" w:styleId="354">
    <w:name w:val="列项——"/>
    <w:qFormat/>
    <w:uiPriority w:val="0"/>
    <w:pPr>
      <w:widowControl w:val="0"/>
      <w:tabs>
        <w:tab w:val="left" w:pos="854"/>
      </w:tabs>
      <w:spacing w:before="156" w:after="156" w:line="360" w:lineRule="auto"/>
      <w:ind w:left="200" w:leftChars="200" w:hanging="200" w:hangingChars="200"/>
      <w:jc w:val="both"/>
    </w:pPr>
    <w:rPr>
      <w:rFonts w:ascii="宋体" w:hAnsi="Times New Roman" w:eastAsia="宋体" w:cs="Times New Roman"/>
      <w:sz w:val="21"/>
      <w:lang w:val="en-US" w:eastAsia="zh-CN" w:bidi="ar-SA"/>
    </w:rPr>
  </w:style>
  <w:style w:type="paragraph" w:customStyle="1" w:styleId="355">
    <w:name w:val="列出段落1"/>
    <w:basedOn w:val="1"/>
    <w:qFormat/>
    <w:uiPriority w:val="0"/>
    <w:pPr>
      <w:spacing w:line="276" w:lineRule="auto"/>
      <w:ind w:firstLine="420"/>
    </w:pPr>
    <w:rPr>
      <w:rFonts w:ascii="Cambria" w:hAnsi="Cambria"/>
      <w:kern w:val="0"/>
      <w:sz w:val="22"/>
      <w:lang w:eastAsia="en-US"/>
    </w:rPr>
  </w:style>
  <w:style w:type="paragraph" w:customStyle="1" w:styleId="356">
    <w:name w:val="默认段落字体 Para Char Char Char Char Char Char Char Char Char1 Char Char Char Char"/>
    <w:basedOn w:val="1"/>
    <w:qFormat/>
    <w:uiPriority w:val="0"/>
    <w:pPr>
      <w:spacing w:line="240" w:lineRule="auto"/>
      <w:ind w:firstLine="0"/>
    </w:pPr>
    <w:rPr>
      <w:rFonts w:ascii="Tahoma" w:hAnsi="Tahoma"/>
    </w:rPr>
  </w:style>
  <w:style w:type="paragraph" w:customStyle="1" w:styleId="357">
    <w:name w:val="封面文档编号"/>
    <w:basedOn w:val="189"/>
    <w:qFormat/>
    <w:uiPriority w:val="0"/>
    <w:pPr>
      <w:spacing w:line="640" w:lineRule="exact"/>
      <w:ind w:firstLine="0"/>
    </w:pPr>
    <w:rPr>
      <w:rFonts w:ascii="黑体" w:hAnsi="宋体" w:eastAsia="黑体"/>
      <w:b/>
      <w:kern w:val="0"/>
      <w:sz w:val="32"/>
    </w:rPr>
  </w:style>
  <w:style w:type="paragraph" w:customStyle="1" w:styleId="358">
    <w:name w:val="font12"/>
    <w:basedOn w:val="1"/>
    <w:qFormat/>
    <w:uiPriority w:val="0"/>
    <w:pPr>
      <w:spacing w:before="100" w:beforeAutospacing="1" w:after="100" w:afterAutospacing="1" w:line="240" w:lineRule="auto"/>
      <w:ind w:firstLine="0"/>
    </w:pPr>
    <w:rPr>
      <w:rFonts w:ascii="宋体" w:hAnsi="宋体"/>
      <w:color w:val="000000"/>
      <w:kern w:val="0"/>
    </w:rPr>
  </w:style>
  <w:style w:type="paragraph" w:customStyle="1" w:styleId="359">
    <w:name w:val="列表1"/>
    <w:basedOn w:val="1"/>
    <w:qFormat/>
    <w:uiPriority w:val="0"/>
    <w:pPr>
      <w:ind w:left="200" w:hanging="200" w:hangingChars="200"/>
    </w:pPr>
  </w:style>
  <w:style w:type="paragraph" w:customStyle="1" w:styleId="360">
    <w:name w:val="Char Char Char Char Char Char Char"/>
    <w:basedOn w:val="1"/>
    <w:qFormat/>
    <w:uiPriority w:val="0"/>
    <w:pPr>
      <w:spacing w:line="240" w:lineRule="exact"/>
      <w:ind w:left="454"/>
    </w:pPr>
    <w:rPr>
      <w:rFonts w:ascii="Verdana" w:hAnsi="Verdana" w:eastAsia="仿宋_GB2312"/>
      <w:kern w:val="0"/>
      <w:sz w:val="30"/>
      <w:lang w:eastAsia="en-US"/>
    </w:rPr>
  </w:style>
  <w:style w:type="paragraph" w:customStyle="1" w:styleId="361">
    <w:name w:val="xl103"/>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pPr>
    <w:rPr>
      <w:rFonts w:ascii="宋体" w:hAnsi="宋体"/>
      <w:kern w:val="0"/>
    </w:rPr>
  </w:style>
  <w:style w:type="paragraph" w:customStyle="1" w:styleId="362">
    <w:name w:val="样式 四号 首行缩进:  0.74 厘米"/>
    <w:basedOn w:val="1"/>
    <w:qFormat/>
    <w:uiPriority w:val="0"/>
    <w:pPr>
      <w:ind w:firstLine="560"/>
    </w:pPr>
    <w:rPr>
      <w:sz w:val="28"/>
    </w:rPr>
  </w:style>
  <w:style w:type="paragraph" w:customStyle="1" w:styleId="363">
    <w:name w:val="无间隔1"/>
    <w:qFormat/>
    <w:uiPriority w:val="0"/>
    <w:pPr>
      <w:widowControl w:val="0"/>
      <w:spacing w:beforeLines="50" w:afterLines="50" w:line="360" w:lineRule="auto"/>
      <w:ind w:firstLine="200" w:firstLineChars="200"/>
      <w:jc w:val="both"/>
    </w:pPr>
    <w:rPr>
      <w:rFonts w:ascii="Times New Roman" w:hAnsi="Times New Roman" w:eastAsia="宋体" w:cs="Times New Roman"/>
      <w:kern w:val="2"/>
      <w:sz w:val="24"/>
      <w:lang w:val="en-US" w:eastAsia="zh-CN" w:bidi="ar-SA"/>
    </w:rPr>
  </w:style>
  <w:style w:type="paragraph" w:customStyle="1" w:styleId="364">
    <w:name w:val="font5"/>
    <w:basedOn w:val="1"/>
    <w:qFormat/>
    <w:uiPriority w:val="0"/>
    <w:pPr>
      <w:spacing w:before="100" w:beforeAutospacing="1" w:after="100" w:afterAutospacing="1" w:line="240" w:lineRule="auto"/>
      <w:ind w:firstLine="0"/>
    </w:pPr>
    <w:rPr>
      <w:rFonts w:ascii="宋体" w:hAnsi="宋体"/>
      <w:color w:val="000000"/>
      <w:kern w:val="0"/>
      <w:sz w:val="32"/>
    </w:rPr>
  </w:style>
  <w:style w:type="paragraph" w:customStyle="1" w:styleId="365">
    <w:name w:val="样式 标题 3二级节名H331323334353113213313631232233237313...1"/>
    <w:basedOn w:val="6"/>
    <w:qFormat/>
    <w:uiPriority w:val="0"/>
    <w:pPr>
      <w:numPr>
        <w:numId w:val="0"/>
      </w:numPr>
      <w:spacing w:before="200" w:after="0"/>
    </w:pPr>
    <w:rPr>
      <w:sz w:val="24"/>
    </w:rPr>
  </w:style>
  <w:style w:type="paragraph" w:customStyle="1" w:styleId="366">
    <w:name w:val="xl123"/>
    <w:basedOn w:val="1"/>
    <w:qFormat/>
    <w:uiPriority w:val="0"/>
    <w:pPr>
      <w:pBdr>
        <w:top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b/>
      <w:kern w:val="0"/>
      <w:sz w:val="20"/>
    </w:rPr>
  </w:style>
  <w:style w:type="paragraph" w:customStyle="1" w:styleId="367">
    <w:name w:val="样式 行距: 1.5 倍行距"/>
    <w:basedOn w:val="1"/>
    <w:qFormat/>
    <w:uiPriority w:val="0"/>
    <w:pPr>
      <w:ind w:firstLine="420"/>
    </w:pPr>
    <w:rPr>
      <w:rFonts w:ascii="Calibri" w:hAnsi="Calibri"/>
    </w:rPr>
  </w:style>
  <w:style w:type="paragraph" w:customStyle="1" w:styleId="368">
    <w:name w:val="修订1"/>
    <w:qFormat/>
    <w:uiPriority w:val="0"/>
    <w:pPr>
      <w:spacing w:before="156" w:after="156" w:line="360" w:lineRule="auto"/>
      <w:ind w:firstLine="482"/>
      <w:jc w:val="both"/>
    </w:pPr>
    <w:rPr>
      <w:rFonts w:ascii="Times New Roman" w:hAnsi="Times New Roman" w:eastAsia="宋体" w:cs="Times New Roman"/>
      <w:kern w:val="2"/>
      <w:sz w:val="24"/>
      <w:lang w:val="en-US" w:eastAsia="zh-CN" w:bidi="ar-SA"/>
    </w:rPr>
  </w:style>
  <w:style w:type="paragraph" w:customStyle="1" w:styleId="369">
    <w:name w:val="标准正文"/>
    <w:basedOn w:val="1"/>
    <w:qFormat/>
    <w:uiPriority w:val="0"/>
    <w:pPr>
      <w:spacing w:beforeLines="20" w:line="240" w:lineRule="auto"/>
    </w:pPr>
    <w:rPr>
      <w:sz w:val="21"/>
    </w:rPr>
  </w:style>
  <w:style w:type="paragraph" w:customStyle="1" w:styleId="370">
    <w:name w:val="式中"/>
    <w:next w:val="221"/>
    <w:qFormat/>
    <w:uiPriority w:val="0"/>
    <w:pPr>
      <w:tabs>
        <w:tab w:val="left" w:pos="210"/>
      </w:tabs>
      <w:spacing w:before="156" w:after="156" w:line="360" w:lineRule="auto"/>
      <w:ind w:firstLine="198"/>
      <w:jc w:val="both"/>
    </w:pPr>
    <w:rPr>
      <w:rFonts w:ascii="宋体" w:hAnsi="Times New Roman" w:eastAsia="宋体" w:cs="Times New Roman"/>
      <w:sz w:val="18"/>
      <w:lang w:val="en-US" w:eastAsia="zh-CN" w:bidi="ar-SA"/>
    </w:rPr>
  </w:style>
  <w:style w:type="paragraph" w:customStyle="1" w:styleId="371">
    <w:name w:val="xl44"/>
    <w:basedOn w:val="1"/>
    <w:qFormat/>
    <w:uiPriority w:val="0"/>
    <w:pPr>
      <w:pBdr>
        <w:left w:val="double" w:color="auto" w:sz="6" w:space="0"/>
        <w:bottom w:val="single" w:color="auto" w:sz="8" w:space="0"/>
        <w:right w:val="single" w:color="auto" w:sz="8" w:space="0"/>
      </w:pBdr>
      <w:spacing w:before="100" w:beforeAutospacing="1" w:after="100" w:afterAutospacing="1" w:line="240" w:lineRule="auto"/>
      <w:ind w:firstLine="0"/>
    </w:pPr>
    <w:rPr>
      <w:rFonts w:ascii="宋体" w:hAnsi="宋体"/>
      <w:kern w:val="0"/>
    </w:rPr>
  </w:style>
  <w:style w:type="paragraph" w:customStyle="1" w:styleId="372">
    <w:name w:val="样式 正文"/>
    <w:basedOn w:val="1"/>
    <w:qFormat/>
    <w:uiPriority w:val="0"/>
    <w:pPr>
      <w:ind w:firstLine="480"/>
    </w:pPr>
    <w:rPr>
      <w:rFonts w:ascii="宋体" w:hAnsi="宋体"/>
    </w:rPr>
  </w:style>
  <w:style w:type="paragraph" w:customStyle="1" w:styleId="373">
    <w:name w:val="61a)"/>
    <w:basedOn w:val="1"/>
    <w:qFormat/>
    <w:uiPriority w:val="0"/>
    <w:pPr>
      <w:tabs>
        <w:tab w:val="left" w:pos="839"/>
      </w:tabs>
      <w:spacing w:line="288" w:lineRule="auto"/>
      <w:ind w:left="839" w:hanging="419"/>
    </w:pPr>
    <w:rPr>
      <w:sz w:val="21"/>
    </w:rPr>
  </w:style>
  <w:style w:type="paragraph" w:customStyle="1" w:styleId="374">
    <w:name w:val="封面落款"/>
    <w:basedOn w:val="88"/>
    <w:qFormat/>
    <w:uiPriority w:val="0"/>
    <w:pPr>
      <w:spacing w:line="360" w:lineRule="auto"/>
    </w:pPr>
    <w:rPr>
      <w:rFonts w:ascii="黑体"/>
      <w:b/>
      <w:color w:val="FF0000"/>
      <w:sz w:val="44"/>
    </w:rPr>
  </w:style>
  <w:style w:type="paragraph" w:customStyle="1" w:styleId="375">
    <w:name w:val="样式 标题 1 + 段前: 0.5 行 段后: 0.5 行"/>
    <w:basedOn w:val="4"/>
    <w:qFormat/>
    <w:uiPriority w:val="0"/>
    <w:pPr>
      <w:spacing w:line="240" w:lineRule="auto"/>
    </w:pPr>
  </w:style>
  <w:style w:type="paragraph" w:customStyle="1" w:styleId="376">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377">
    <w:name w:val="Char Char Char Char Char Char Char1"/>
    <w:basedOn w:val="1"/>
    <w:qFormat/>
    <w:uiPriority w:val="0"/>
    <w:pPr>
      <w:adjustRightInd w:val="0"/>
      <w:spacing w:line="312" w:lineRule="atLeast"/>
      <w:ind w:firstLine="0"/>
      <w:textAlignment w:val="baseline"/>
    </w:pPr>
    <w:rPr>
      <w:kern w:val="0"/>
      <w:sz w:val="21"/>
    </w:rPr>
  </w:style>
  <w:style w:type="paragraph" w:customStyle="1" w:styleId="378">
    <w:name w:val="样式 正文首行缩进 2 + 左侧:  2 字符 首行缩进:  2 字符 段后: 0.5 行"/>
    <w:basedOn w:val="76"/>
    <w:qFormat/>
    <w:uiPriority w:val="0"/>
    <w:pPr>
      <w:spacing w:after="50"/>
      <w:ind w:left="0" w:leftChars="0" w:firstLine="200"/>
    </w:pPr>
    <w:rPr>
      <w:rFonts w:ascii="宋体"/>
      <w:kern w:val="0"/>
    </w:rPr>
  </w:style>
  <w:style w:type="paragraph" w:customStyle="1" w:styleId="379">
    <w:name w:val="xl36"/>
    <w:basedOn w:val="1"/>
    <w:qFormat/>
    <w:uiPriority w:val="0"/>
    <w:pPr>
      <w:pBdr>
        <w:top w:val="single" w:color="auto" w:sz="8" w:space="0"/>
        <w:bottom w:val="single" w:color="auto" w:sz="8" w:space="0"/>
      </w:pBdr>
      <w:spacing w:before="100" w:beforeAutospacing="1" w:after="100" w:afterAutospacing="1" w:line="240" w:lineRule="auto"/>
      <w:ind w:firstLine="0"/>
    </w:pPr>
    <w:rPr>
      <w:rFonts w:ascii="宋体" w:hAnsi="宋体"/>
      <w:kern w:val="0"/>
      <w:sz w:val="28"/>
    </w:rPr>
  </w:style>
  <w:style w:type="paragraph" w:customStyle="1" w:styleId="380">
    <w:name w:val="图位"/>
    <w:basedOn w:val="219"/>
    <w:qFormat/>
    <w:uiPriority w:val="0"/>
  </w:style>
  <w:style w:type="paragraph" w:customStyle="1" w:styleId="381">
    <w:name w:val="w征文"/>
    <w:basedOn w:val="1"/>
    <w:qFormat/>
    <w:uiPriority w:val="0"/>
    <w:pPr>
      <w:ind w:left="454"/>
    </w:pPr>
    <w:rPr>
      <w:rFonts w:ascii="宋体"/>
      <w:color w:val="000000"/>
      <w:kern w:val="0"/>
    </w:rPr>
  </w:style>
  <w:style w:type="paragraph" w:customStyle="1" w:styleId="382">
    <w:name w:val="样式 首行缩进:  0.74 厘米 行距: 1.5 倍行距"/>
    <w:basedOn w:val="1"/>
    <w:qFormat/>
    <w:uiPriority w:val="0"/>
    <w:pPr>
      <w:ind w:firstLine="420"/>
    </w:pPr>
    <w:rPr>
      <w:rFonts w:ascii="Calibri" w:hAnsi="Calibri"/>
    </w:rPr>
  </w:style>
  <w:style w:type="paragraph" w:customStyle="1" w:styleId="383">
    <w:name w:val="图表名称"/>
    <w:basedOn w:val="1"/>
    <w:next w:val="1"/>
    <w:qFormat/>
    <w:uiPriority w:val="0"/>
    <w:pPr>
      <w:ind w:firstLine="0"/>
    </w:pPr>
    <w:rPr>
      <w:b/>
      <w:kern w:val="0"/>
      <w:sz w:val="21"/>
    </w:rPr>
  </w:style>
  <w:style w:type="paragraph" w:customStyle="1" w:styleId="384">
    <w:name w:val="广州移动七期正文"/>
    <w:basedOn w:val="1"/>
    <w:qFormat/>
    <w:uiPriority w:val="0"/>
    <w:pPr>
      <w:tabs>
        <w:tab w:val="left" w:pos="420"/>
      </w:tabs>
      <w:adjustRightInd w:val="0"/>
      <w:snapToGrid w:val="0"/>
      <w:ind w:left="420" w:firstLine="0"/>
    </w:pPr>
    <w:rPr>
      <w:spacing w:val="20"/>
    </w:rPr>
  </w:style>
  <w:style w:type="paragraph" w:customStyle="1" w:styleId="385">
    <w:name w:val="样式 行距: 1.5 倍行距 首行缩进:  2.25 字符"/>
    <w:basedOn w:val="1"/>
    <w:qFormat/>
    <w:uiPriority w:val="0"/>
    <w:pPr>
      <w:topLinePunct/>
      <w:adjustRightInd w:val="0"/>
      <w:snapToGrid w:val="0"/>
      <w:ind w:left="-240" w:leftChars="-100" w:firstLine="540" w:firstLineChars="225"/>
      <w:textAlignment w:val="center"/>
    </w:pPr>
    <w:rPr>
      <w:kern w:val="0"/>
      <w:sz w:val="32"/>
    </w:rPr>
  </w:style>
  <w:style w:type="paragraph" w:customStyle="1" w:styleId="386">
    <w:name w:val="字元 字元 Char Char 字元 字元 Char Char 字元 字元 Char Char 字元 字元 Char Char 字元 字元 Char Char 字元 字元 Char"/>
    <w:basedOn w:val="80"/>
    <w:qFormat/>
    <w:uiPriority w:val="0"/>
    <w:pPr>
      <w:spacing w:line="240" w:lineRule="auto"/>
      <w:ind w:firstLine="0"/>
    </w:pPr>
    <w:rPr>
      <w:rFonts w:ascii="Tahoma" w:hAnsi="Tahoma"/>
      <w:kern w:val="0"/>
    </w:rPr>
  </w:style>
  <w:style w:type="paragraph" w:customStyle="1" w:styleId="387">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textAlignment w:val="bottom"/>
    </w:pPr>
    <w:rPr>
      <w:rFonts w:ascii="宋体" w:hAnsi="宋体"/>
      <w:color w:val="000000"/>
      <w:kern w:val="0"/>
      <w:sz w:val="20"/>
    </w:rPr>
  </w:style>
  <w:style w:type="paragraph" w:customStyle="1" w:styleId="388">
    <w:name w:val="65表图标题"/>
    <w:basedOn w:val="1"/>
    <w:next w:val="1"/>
    <w:qFormat/>
    <w:uiPriority w:val="0"/>
    <w:pPr>
      <w:spacing w:line="288" w:lineRule="auto"/>
      <w:ind w:left="454"/>
    </w:pPr>
    <w:rPr>
      <w:rFonts w:ascii="黑体" w:eastAsia="黑体"/>
      <w:sz w:val="21"/>
    </w:rPr>
  </w:style>
  <w:style w:type="paragraph" w:customStyle="1" w:styleId="389">
    <w:name w:val="默认段落字体 Para Char Char Char Char Char Char Char Char Char Char Char Char Char"/>
    <w:basedOn w:val="1"/>
    <w:qFormat/>
    <w:uiPriority w:val="0"/>
    <w:pPr>
      <w:spacing w:line="240" w:lineRule="auto"/>
      <w:ind w:firstLine="0"/>
    </w:pPr>
    <w:rPr>
      <w:rFonts w:ascii="Tahoma" w:hAnsi="Tahoma"/>
    </w:rPr>
  </w:style>
  <w:style w:type="paragraph" w:customStyle="1" w:styleId="390">
    <w:name w:val="xl45"/>
    <w:basedOn w:val="1"/>
    <w:qFormat/>
    <w:uiPriority w:val="0"/>
    <w:pPr>
      <w:pBdr>
        <w:top w:val="double" w:color="auto" w:sz="6" w:space="0"/>
        <w:right w:val="double" w:color="auto" w:sz="6" w:space="0"/>
      </w:pBdr>
      <w:spacing w:before="100" w:beforeAutospacing="1" w:after="100" w:afterAutospacing="1" w:line="240" w:lineRule="auto"/>
      <w:ind w:firstLine="0"/>
      <w:textAlignment w:val="center"/>
    </w:pPr>
    <w:rPr>
      <w:rFonts w:ascii="宋体" w:hAnsi="宋体"/>
      <w:kern w:val="0"/>
    </w:rPr>
  </w:style>
  <w:style w:type="paragraph" w:customStyle="1" w:styleId="391">
    <w:name w:val="索引标题1"/>
    <w:basedOn w:val="1"/>
    <w:next w:val="392"/>
    <w:qFormat/>
    <w:uiPriority w:val="0"/>
    <w:pPr>
      <w:spacing w:line="240" w:lineRule="auto"/>
      <w:ind w:firstLine="0"/>
    </w:pPr>
    <w:rPr>
      <w:sz w:val="21"/>
    </w:rPr>
  </w:style>
  <w:style w:type="paragraph" w:customStyle="1" w:styleId="392">
    <w:name w:val="索引 11"/>
    <w:basedOn w:val="1"/>
    <w:next w:val="1"/>
    <w:qFormat/>
    <w:uiPriority w:val="0"/>
    <w:pPr>
      <w:spacing w:line="240" w:lineRule="auto"/>
      <w:ind w:firstLine="0"/>
    </w:pPr>
    <w:rPr>
      <w:sz w:val="21"/>
    </w:rPr>
  </w:style>
  <w:style w:type="paragraph" w:customStyle="1" w:styleId="393">
    <w:name w:val="四级条标题"/>
    <w:basedOn w:val="394"/>
    <w:next w:val="1"/>
    <w:qFormat/>
    <w:uiPriority w:val="0"/>
    <w:pPr>
      <w:tabs>
        <w:tab w:val="left" w:pos="360"/>
        <w:tab w:val="left" w:pos="420"/>
        <w:tab w:val="left" w:pos="525"/>
        <w:tab w:val="left" w:pos="720"/>
        <w:tab w:val="left" w:pos="945"/>
        <w:tab w:val="left" w:pos="1021"/>
        <w:tab w:val="left" w:pos="1080"/>
        <w:tab w:val="left" w:pos="1155"/>
      </w:tabs>
      <w:outlineLvl w:val="5"/>
    </w:pPr>
  </w:style>
  <w:style w:type="paragraph" w:customStyle="1" w:styleId="394">
    <w:name w:val="三级条标题"/>
    <w:basedOn w:val="285"/>
    <w:next w:val="1"/>
    <w:qFormat/>
    <w:uiPriority w:val="0"/>
    <w:pPr>
      <w:tabs>
        <w:tab w:val="left" w:pos="945"/>
        <w:tab w:val="left" w:pos="1080"/>
      </w:tabs>
      <w:outlineLvl w:val="4"/>
    </w:pPr>
  </w:style>
  <w:style w:type="paragraph" w:customStyle="1" w:styleId="395">
    <w:name w:val="标准书眉一"/>
    <w:qFormat/>
    <w:uiPriority w:val="0"/>
    <w:pPr>
      <w:spacing w:before="156" w:after="156" w:line="360" w:lineRule="auto"/>
      <w:ind w:firstLine="482"/>
      <w:jc w:val="both"/>
    </w:pPr>
    <w:rPr>
      <w:rFonts w:ascii="Times New Roman" w:hAnsi="Times New Roman" w:eastAsia="宋体" w:cs="Times New Roman"/>
      <w:lang w:val="en-US" w:eastAsia="zh-CN" w:bidi="ar-SA"/>
    </w:rPr>
  </w:style>
  <w:style w:type="paragraph" w:customStyle="1" w:styleId="396">
    <w:name w:val="索引 51"/>
    <w:basedOn w:val="1"/>
    <w:next w:val="1"/>
    <w:qFormat/>
    <w:uiPriority w:val="0"/>
    <w:pPr>
      <w:spacing w:line="240" w:lineRule="auto"/>
      <w:ind w:left="800" w:leftChars="800" w:firstLine="0"/>
    </w:pPr>
    <w:rPr>
      <w:sz w:val="21"/>
    </w:rPr>
  </w:style>
  <w:style w:type="paragraph" w:customStyle="1" w:styleId="397">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b/>
      <w:color w:val="FF0000"/>
      <w:kern w:val="0"/>
    </w:rPr>
  </w:style>
  <w:style w:type="paragraph" w:customStyle="1" w:styleId="398">
    <w:name w:val="xl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399">
    <w:name w:val="xl69"/>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rFonts w:ascii="宋体" w:hAnsi="宋体"/>
      <w:color w:val="000000"/>
      <w:kern w:val="0"/>
      <w:sz w:val="32"/>
    </w:rPr>
  </w:style>
  <w:style w:type="paragraph" w:customStyle="1" w:styleId="400">
    <w:name w:val="正文表标题续表"/>
    <w:basedOn w:val="329"/>
    <w:next w:val="221"/>
    <w:qFormat/>
    <w:uiPriority w:val="0"/>
    <w:rPr>
      <w:b w:val="0"/>
    </w:rPr>
  </w:style>
  <w:style w:type="paragraph" w:customStyle="1" w:styleId="401">
    <w:name w:val="样式 样式1 正文（首行缩进两字） Char + 黑色 首行缩进:  2 字符 段前: 0 行 行距: 多倍行距 1.15 ....."/>
    <w:basedOn w:val="1"/>
    <w:qFormat/>
    <w:uiPriority w:val="0"/>
    <w:pPr>
      <w:tabs>
        <w:tab w:val="left" w:pos="3885"/>
      </w:tabs>
      <w:overflowPunct w:val="0"/>
      <w:snapToGrid w:val="0"/>
      <w:spacing w:line="300" w:lineRule="auto"/>
      <w:ind w:firstLine="420"/>
    </w:pPr>
    <w:rPr>
      <w:sz w:val="21"/>
    </w:rPr>
  </w:style>
  <w:style w:type="paragraph" w:customStyle="1" w:styleId="402">
    <w:name w:val="xl90"/>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b/>
      <w:color w:val="4F81BD"/>
      <w:kern w:val="0"/>
    </w:rPr>
  </w:style>
  <w:style w:type="paragraph" w:customStyle="1" w:styleId="403">
    <w:name w:val="66表图文字"/>
    <w:basedOn w:val="1"/>
    <w:qFormat/>
    <w:uiPriority w:val="0"/>
    <w:pPr>
      <w:ind w:left="454"/>
    </w:pPr>
    <w:rPr>
      <w:sz w:val="18"/>
    </w:rPr>
  </w:style>
  <w:style w:type="paragraph" w:customStyle="1" w:styleId="404">
    <w:name w:val="xl41"/>
    <w:basedOn w:val="1"/>
    <w:qFormat/>
    <w:uiPriority w:val="0"/>
    <w:pPr>
      <w:pBdr>
        <w:top w:val="double" w:color="auto" w:sz="6" w:space="0"/>
        <w:left w:val="single" w:color="auto" w:sz="8"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405">
    <w:name w:val="xl58"/>
    <w:basedOn w:val="1"/>
    <w:qFormat/>
    <w:uiPriority w:val="0"/>
    <w:pPr>
      <w:pBdr>
        <w:right w:val="double" w:color="auto" w:sz="6" w:space="0"/>
      </w:pBdr>
      <w:spacing w:before="100" w:beforeAutospacing="1" w:after="100" w:afterAutospacing="1" w:line="240" w:lineRule="auto"/>
      <w:ind w:firstLine="0"/>
    </w:pPr>
    <w:rPr>
      <w:rFonts w:ascii="宋体" w:hAnsi="宋体"/>
      <w:kern w:val="0"/>
    </w:rPr>
  </w:style>
  <w:style w:type="paragraph" w:customStyle="1" w:styleId="406">
    <w:name w:val="Char Char Char"/>
    <w:basedOn w:val="1"/>
    <w:qFormat/>
    <w:uiPriority w:val="0"/>
    <w:pPr>
      <w:ind w:firstLine="0"/>
    </w:pPr>
    <w:rPr>
      <w:rFonts w:ascii="Tahoma" w:hAnsi="Tahoma"/>
    </w:rPr>
  </w:style>
  <w:style w:type="paragraph" w:customStyle="1" w:styleId="407">
    <w:name w:val="xl63"/>
    <w:basedOn w:val="1"/>
    <w:qFormat/>
    <w:uiPriority w:val="0"/>
    <w:pPr>
      <w:pBdr>
        <w:left w:val="single" w:color="auto" w:sz="8" w:space="0"/>
        <w:bottom w:val="single" w:color="auto" w:sz="8" w:space="0"/>
      </w:pBdr>
      <w:shd w:val="clear" w:color="auto" w:fill="339966"/>
      <w:spacing w:before="100" w:beforeAutospacing="1" w:after="100" w:afterAutospacing="1" w:line="240" w:lineRule="auto"/>
      <w:ind w:firstLine="0"/>
    </w:pPr>
    <w:rPr>
      <w:rFonts w:ascii="宋体" w:hAnsi="宋体"/>
      <w:kern w:val="0"/>
    </w:rPr>
  </w:style>
  <w:style w:type="paragraph" w:customStyle="1" w:styleId="408">
    <w:name w:val="_图表编号"/>
    <w:basedOn w:val="17"/>
    <w:next w:val="409"/>
    <w:qFormat/>
    <w:uiPriority w:val="0"/>
    <w:pPr>
      <w:snapToGrid w:val="0"/>
      <w:spacing w:beforeLines="15" w:afterLines="15" w:line="240" w:lineRule="auto"/>
    </w:pPr>
    <w:rPr>
      <w:rFonts w:ascii="Arial" w:hAnsi="Arial" w:eastAsia="黑体"/>
    </w:rPr>
  </w:style>
  <w:style w:type="paragraph" w:customStyle="1" w:styleId="409">
    <w:name w:val="_标准条文"/>
    <w:basedOn w:val="1"/>
    <w:qFormat/>
    <w:uiPriority w:val="0"/>
    <w:pPr>
      <w:overflowPunct w:val="0"/>
      <w:snapToGrid w:val="0"/>
      <w:spacing w:line="300" w:lineRule="auto"/>
      <w:ind w:firstLine="426"/>
    </w:pPr>
    <w:rPr>
      <w:rFonts w:ascii="宋体" w:hAnsi="宋体"/>
      <w:sz w:val="21"/>
    </w:rPr>
  </w:style>
  <w:style w:type="paragraph" w:customStyle="1" w:styleId="410">
    <w:name w:val="My Title1"/>
    <w:basedOn w:val="4"/>
    <w:qFormat/>
    <w:uiPriority w:val="0"/>
    <w:pPr>
      <w:keepLines w:val="0"/>
      <w:spacing w:before="0" w:after="0"/>
      <w:ind w:left="360" w:hanging="360"/>
    </w:pPr>
    <w:rPr>
      <w:kern w:val="2"/>
      <w:sz w:val="36"/>
    </w:rPr>
  </w:style>
  <w:style w:type="paragraph" w:customStyle="1" w:styleId="411">
    <w:name w:val="样式 标题 1章标题 1Section Headh1l1&amp;31st levelList level 1H11..."/>
    <w:basedOn w:val="4"/>
    <w:qFormat/>
    <w:uiPriority w:val="0"/>
    <w:pPr>
      <w:tabs>
        <w:tab w:val="left" w:pos="360"/>
      </w:tabs>
      <w:spacing w:line="576" w:lineRule="auto"/>
    </w:pPr>
    <w:rPr>
      <w:rFonts w:ascii="黑体" w:eastAsia="黑体"/>
      <w:sz w:val="21"/>
    </w:rPr>
  </w:style>
  <w:style w:type="paragraph" w:customStyle="1" w:styleId="412">
    <w:name w:val="Char Char Char Char Char Char Char1 Char Char Char Char Char Char Char Char Char Char Char Char"/>
    <w:basedOn w:val="1"/>
    <w:qFormat/>
    <w:uiPriority w:val="0"/>
    <w:pPr>
      <w:spacing w:before="100" w:beforeAutospacing="1" w:after="100" w:afterAutospacing="1" w:line="330" w:lineRule="atLeast"/>
      <w:ind w:left="360" w:firstLine="0"/>
    </w:pPr>
    <w:rPr>
      <w:rFonts w:ascii="ˎ̥" w:hAnsi="ˎ̥"/>
      <w:color w:val="51585D"/>
      <w:kern w:val="0"/>
      <w:sz w:val="21"/>
    </w:rPr>
  </w:style>
  <w:style w:type="paragraph" w:customStyle="1" w:styleId="413">
    <w:name w:val="小点"/>
    <w:basedOn w:val="1"/>
    <w:qFormat/>
    <w:uiPriority w:val="0"/>
    <w:pPr>
      <w:tabs>
        <w:tab w:val="left" w:pos="840"/>
      </w:tabs>
      <w:topLinePunct/>
      <w:autoSpaceDE w:val="0"/>
      <w:autoSpaceDN w:val="0"/>
      <w:adjustRightInd w:val="0"/>
      <w:snapToGrid w:val="0"/>
      <w:spacing w:line="300" w:lineRule="auto"/>
      <w:ind w:left="840" w:firstLine="0"/>
      <w:textAlignment w:val="baseline"/>
    </w:pPr>
    <w:rPr>
      <w:rFonts w:ascii="Arial" w:hAnsi="Arial"/>
      <w:color w:val="000000"/>
      <w:kern w:val="0"/>
    </w:rPr>
  </w:style>
  <w:style w:type="paragraph" w:customStyle="1" w:styleId="414">
    <w:name w:val="符号正文"/>
    <w:basedOn w:val="1"/>
    <w:qFormat/>
    <w:uiPriority w:val="0"/>
    <w:pPr>
      <w:tabs>
        <w:tab w:val="left" w:pos="900"/>
      </w:tabs>
      <w:snapToGrid w:val="0"/>
      <w:spacing w:line="400" w:lineRule="atLeast"/>
      <w:ind w:left="900" w:firstLine="0"/>
    </w:pPr>
  </w:style>
  <w:style w:type="paragraph" w:customStyle="1" w:styleId="415">
    <w:name w:val="其他标准称谓"/>
    <w:qFormat/>
    <w:uiPriority w:val="0"/>
    <w:pPr>
      <w:spacing w:before="156" w:after="156" w:line="0" w:lineRule="atLeast"/>
      <w:ind w:firstLine="482"/>
      <w:jc w:val="distribute"/>
    </w:pPr>
    <w:rPr>
      <w:rFonts w:ascii="黑体" w:hAnsi="宋体" w:eastAsia="黑体" w:cs="Times New Roman"/>
      <w:sz w:val="52"/>
      <w:lang w:val="en-US" w:eastAsia="zh-CN" w:bidi="ar-SA"/>
    </w:rPr>
  </w:style>
  <w:style w:type="paragraph" w:customStyle="1" w:styleId="416">
    <w:name w:val="字母编号2"/>
    <w:basedOn w:val="1"/>
    <w:qFormat/>
    <w:uiPriority w:val="0"/>
    <w:pPr>
      <w:tabs>
        <w:tab w:val="left" w:pos="840"/>
      </w:tabs>
      <w:spacing w:line="240" w:lineRule="auto"/>
      <w:ind w:left="840" w:firstLine="0"/>
    </w:pPr>
    <w:rPr>
      <w:sz w:val="21"/>
    </w:rPr>
  </w:style>
  <w:style w:type="paragraph" w:customStyle="1" w:styleId="417">
    <w:name w:val="条目1_My"/>
    <w:basedOn w:val="1"/>
    <w:qFormat/>
    <w:uiPriority w:val="0"/>
    <w:pPr>
      <w:tabs>
        <w:tab w:val="left" w:pos="360"/>
      </w:tabs>
      <w:spacing w:line="240" w:lineRule="auto"/>
      <w:ind w:firstLine="0"/>
    </w:pPr>
    <w:rPr>
      <w:sz w:val="21"/>
    </w:rPr>
  </w:style>
  <w:style w:type="paragraph" w:customStyle="1" w:styleId="418">
    <w:name w:val="附录表标题"/>
    <w:basedOn w:val="329"/>
    <w:next w:val="221"/>
    <w:qFormat/>
    <w:uiPriority w:val="0"/>
    <w:pPr>
      <w:tabs>
        <w:tab w:val="left" w:pos="210"/>
        <w:tab w:val="left" w:pos="360"/>
        <w:tab w:val="clear" w:pos="420"/>
      </w:tabs>
      <w:textAlignment w:val="baseline"/>
    </w:pPr>
    <w:rPr>
      <w:rFonts w:ascii="宋体" w:eastAsia="宋体"/>
      <w:kern w:val="21"/>
    </w:rPr>
  </w:style>
  <w:style w:type="paragraph" w:customStyle="1" w:styleId="419">
    <w:name w:val="xl117"/>
    <w:basedOn w:val="1"/>
    <w:qFormat/>
    <w:uiPriority w:val="0"/>
    <w:pPr>
      <w:pBdr>
        <w:left w:val="single" w:color="auto" w:sz="4" w:space="0"/>
        <w:right w:val="single" w:color="auto" w:sz="4" w:space="0"/>
      </w:pBdr>
      <w:spacing w:before="100" w:beforeAutospacing="1" w:after="100" w:afterAutospacing="1" w:line="240" w:lineRule="auto"/>
      <w:ind w:firstLine="0"/>
    </w:pPr>
    <w:rPr>
      <w:rFonts w:ascii="宋体" w:hAnsi="宋体"/>
      <w:b/>
      <w:color w:val="000000"/>
      <w:kern w:val="0"/>
      <w:sz w:val="20"/>
    </w:rPr>
  </w:style>
  <w:style w:type="paragraph" w:customStyle="1" w:styleId="420">
    <w:name w:val="xl54"/>
    <w:basedOn w:val="1"/>
    <w:qFormat/>
    <w:uiPriority w:val="0"/>
    <w:pPr>
      <w:pBdr>
        <w:top w:val="single" w:color="auto" w:sz="8" w:space="0"/>
        <w:right w:val="double" w:color="auto" w:sz="6" w:space="0"/>
      </w:pBdr>
      <w:spacing w:before="100" w:beforeAutospacing="1" w:after="100" w:afterAutospacing="1" w:line="240" w:lineRule="auto"/>
      <w:ind w:firstLine="0"/>
    </w:pPr>
    <w:rPr>
      <w:rFonts w:ascii="宋体" w:hAnsi="宋体"/>
      <w:kern w:val="0"/>
    </w:rPr>
  </w:style>
  <w:style w:type="paragraph" w:customStyle="1" w:styleId="421">
    <w:name w:val="font13"/>
    <w:basedOn w:val="1"/>
    <w:qFormat/>
    <w:uiPriority w:val="0"/>
    <w:pPr>
      <w:spacing w:before="100" w:beforeAutospacing="1" w:after="100" w:afterAutospacing="1" w:line="240" w:lineRule="auto"/>
      <w:ind w:firstLine="0"/>
    </w:pPr>
    <w:rPr>
      <w:rFonts w:ascii="宋体" w:hAnsi="宋体"/>
      <w:color w:val="000000"/>
      <w:kern w:val="0"/>
    </w:rPr>
  </w:style>
  <w:style w:type="paragraph" w:customStyle="1" w:styleId="422">
    <w:name w:val="索引 31"/>
    <w:basedOn w:val="1"/>
    <w:next w:val="1"/>
    <w:qFormat/>
    <w:uiPriority w:val="0"/>
    <w:pPr>
      <w:spacing w:line="240" w:lineRule="auto"/>
      <w:ind w:left="400" w:leftChars="400" w:firstLine="0"/>
    </w:pPr>
    <w:rPr>
      <w:sz w:val="21"/>
    </w:rPr>
  </w:style>
  <w:style w:type="paragraph" w:customStyle="1" w:styleId="423">
    <w:name w:val="封面落款2"/>
    <w:basedOn w:val="374"/>
    <w:qFormat/>
    <w:uiPriority w:val="0"/>
    <w:rPr>
      <w:sz w:val="30"/>
    </w:rPr>
  </w:style>
  <w:style w:type="paragraph" w:customStyle="1" w:styleId="424">
    <w:name w:val="gg"/>
    <w:basedOn w:val="1"/>
    <w:qFormat/>
    <w:uiPriority w:val="0"/>
    <w:pPr>
      <w:adjustRightInd w:val="0"/>
      <w:spacing w:line="312" w:lineRule="atLeast"/>
      <w:ind w:left="1162" w:hanging="255"/>
      <w:textAlignment w:val="baseline"/>
    </w:pPr>
    <w:rPr>
      <w:rFonts w:ascii="宋体"/>
      <w:kern w:val="0"/>
    </w:rPr>
  </w:style>
  <w:style w:type="paragraph" w:customStyle="1" w:styleId="425">
    <w:name w:val="正文段落"/>
    <w:basedOn w:val="78"/>
    <w:qFormat/>
    <w:uiPriority w:val="0"/>
    <w:pPr>
      <w:overflowPunct w:val="0"/>
      <w:autoSpaceDE w:val="0"/>
      <w:autoSpaceDN w:val="0"/>
      <w:adjustRightInd w:val="0"/>
      <w:spacing w:line="240" w:lineRule="auto"/>
      <w:ind w:firstLine="200"/>
      <w:textAlignment w:val="baseline"/>
    </w:pPr>
    <w:rPr>
      <w:kern w:val="0"/>
      <w:sz w:val="24"/>
    </w:rPr>
  </w:style>
  <w:style w:type="paragraph" w:customStyle="1" w:styleId="426">
    <w:name w:val="xl26"/>
    <w:basedOn w:val="1"/>
    <w:qFormat/>
    <w:uiPriority w:val="0"/>
    <w:pPr>
      <w:pBdr>
        <w:top w:val="single" w:color="auto" w:sz="4" w:space="0"/>
        <w:left w:val="double" w:color="auto" w:sz="6" w:space="0"/>
        <w:bottom w:val="single" w:color="auto" w:sz="4" w:space="0"/>
        <w:right w:val="single" w:color="auto" w:sz="8" w:space="0"/>
      </w:pBdr>
      <w:spacing w:before="100" w:beforeAutospacing="1" w:after="100" w:afterAutospacing="1" w:line="240" w:lineRule="auto"/>
      <w:ind w:firstLine="0"/>
    </w:pPr>
    <w:rPr>
      <w:rFonts w:ascii="宋体" w:hAnsi="宋体"/>
      <w:kern w:val="0"/>
      <w:sz w:val="28"/>
    </w:rPr>
  </w:style>
  <w:style w:type="paragraph" w:customStyle="1" w:styleId="427">
    <w:name w:val="content"/>
    <w:basedOn w:val="1"/>
    <w:qFormat/>
    <w:uiPriority w:val="0"/>
    <w:pPr>
      <w:topLinePunct/>
      <w:adjustRightInd w:val="0"/>
      <w:spacing w:before="100" w:beforeAutospacing="1" w:after="100" w:afterAutospacing="1" w:line="360" w:lineRule="atLeast"/>
      <w:ind w:left="-240" w:leftChars="-100" w:firstLine="480"/>
      <w:textAlignment w:val="center"/>
    </w:pPr>
    <w:rPr>
      <w:rFonts w:ascii="宋体" w:hAnsi="宋体"/>
      <w:color w:val="000000"/>
      <w:kern w:val="0"/>
      <w:sz w:val="32"/>
    </w:rPr>
  </w:style>
  <w:style w:type="paragraph" w:customStyle="1" w:styleId="428">
    <w:name w:val="xl62"/>
    <w:basedOn w:val="1"/>
    <w:qFormat/>
    <w:uiPriority w:val="0"/>
    <w:pPr>
      <w:pBdr>
        <w:top w:val="single" w:color="auto" w:sz="8" w:space="0"/>
        <w:left w:val="single" w:color="auto" w:sz="8" w:space="0"/>
        <w:bottom w:val="single" w:color="auto" w:sz="8" w:space="0"/>
      </w:pBdr>
      <w:shd w:val="clear" w:color="auto" w:fill="0000FF"/>
      <w:spacing w:before="100" w:beforeAutospacing="1" w:after="100" w:afterAutospacing="1" w:line="240" w:lineRule="auto"/>
      <w:ind w:firstLine="0"/>
    </w:pPr>
    <w:rPr>
      <w:rFonts w:ascii="宋体" w:hAnsi="宋体"/>
      <w:color w:val="FF0000"/>
      <w:kern w:val="0"/>
    </w:rPr>
  </w:style>
  <w:style w:type="paragraph" w:customStyle="1" w:styleId="429">
    <w:name w:val="样式 标题 3(A-3)h3Heading 3 - oldLevel 3 HeadH3level_3PIM 3s..."/>
    <w:basedOn w:val="6"/>
    <w:qFormat/>
    <w:uiPriority w:val="0"/>
    <w:pPr>
      <w:numPr>
        <w:numId w:val="0"/>
      </w:numPr>
      <w:tabs>
        <w:tab w:val="left" w:pos="672"/>
        <w:tab w:val="left" w:pos="720"/>
        <w:tab w:val="left" w:pos="993"/>
      </w:tabs>
      <w:ind w:left="980" w:hanging="420"/>
    </w:pPr>
    <w:rPr>
      <w:rFonts w:ascii="宋体" w:hAnsi="宋体"/>
      <w:b w:val="0"/>
      <w:color w:val="000000"/>
      <w:kern w:val="0"/>
    </w:rPr>
  </w:style>
  <w:style w:type="paragraph" w:customStyle="1" w:styleId="430">
    <w:name w:val="段落文字"/>
    <w:basedOn w:val="61"/>
    <w:qFormat/>
    <w:uiPriority w:val="0"/>
    <w:pPr>
      <w:spacing w:line="240" w:lineRule="auto"/>
      <w:ind w:left="0" w:leftChars="0" w:firstLine="357"/>
    </w:pPr>
    <w:rPr>
      <w:sz w:val="24"/>
    </w:rPr>
  </w:style>
  <w:style w:type="paragraph" w:customStyle="1" w:styleId="431">
    <w:name w:val="a14"/>
    <w:basedOn w:val="1"/>
    <w:qFormat/>
    <w:uiPriority w:val="0"/>
    <w:pPr>
      <w:spacing w:before="100" w:beforeAutospacing="1" w:after="100" w:afterAutospacing="1" w:line="262" w:lineRule="atLeast"/>
      <w:ind w:firstLine="327"/>
    </w:pPr>
    <w:rPr>
      <w:rFonts w:ascii="宋体" w:hAnsi="宋体"/>
      <w:kern w:val="0"/>
      <w:sz w:val="18"/>
    </w:rPr>
  </w:style>
  <w:style w:type="paragraph" w:customStyle="1" w:styleId="432">
    <w:name w:val="64示例1"/>
    <w:basedOn w:val="1"/>
    <w:qFormat/>
    <w:uiPriority w:val="0"/>
    <w:pPr>
      <w:tabs>
        <w:tab w:val="left" w:pos="907"/>
      </w:tabs>
      <w:spacing w:line="288" w:lineRule="auto"/>
      <w:ind w:left="454" w:firstLine="420"/>
    </w:pPr>
    <w:rPr>
      <w:sz w:val="18"/>
    </w:rPr>
  </w:style>
  <w:style w:type="paragraph" w:customStyle="1" w:styleId="433">
    <w:name w:val="large-text"/>
    <w:basedOn w:val="1"/>
    <w:qFormat/>
    <w:uiPriority w:val="0"/>
    <w:pPr>
      <w:spacing w:before="100" w:beforeAutospacing="1" w:after="100" w:afterAutospacing="1" w:line="270" w:lineRule="atLeast"/>
      <w:ind w:firstLine="0"/>
    </w:pPr>
    <w:rPr>
      <w:rFonts w:ascii="Arial Unicode MS" w:hAnsi="Arial Unicode MS" w:eastAsia="Arial Unicode MS"/>
      <w:color w:val="000000"/>
      <w:kern w:val="0"/>
      <w:sz w:val="21"/>
    </w:rPr>
  </w:style>
  <w:style w:type="paragraph" w:customStyle="1" w:styleId="434">
    <w:name w:val="xl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435">
    <w:name w:val="样式 正文小4号 + 五号 首行缩进:  2 字符 Char"/>
    <w:basedOn w:val="1"/>
    <w:qFormat/>
    <w:uiPriority w:val="0"/>
    <w:pPr>
      <w:ind w:firstLine="420"/>
    </w:pPr>
    <w:rPr>
      <w:sz w:val="21"/>
    </w:rPr>
  </w:style>
  <w:style w:type="paragraph" w:customStyle="1" w:styleId="436">
    <w:name w:val="文本块1"/>
    <w:basedOn w:val="1"/>
    <w:qFormat/>
    <w:uiPriority w:val="0"/>
    <w:pPr>
      <w:spacing w:line="240" w:lineRule="auto"/>
      <w:ind w:left="1440" w:leftChars="700" w:right="700" w:rightChars="700" w:firstLine="0"/>
    </w:pPr>
    <w:rPr>
      <w:rFonts w:ascii="Calibri" w:hAnsi="Calibri"/>
      <w:sz w:val="21"/>
    </w:rPr>
  </w:style>
  <w:style w:type="paragraph" w:customStyle="1" w:styleId="437">
    <w:name w:val="表身"/>
    <w:qFormat/>
    <w:uiPriority w:val="0"/>
    <w:pPr>
      <w:keepNext/>
      <w:spacing w:before="60" w:after="60" w:line="300" w:lineRule="auto"/>
      <w:ind w:firstLine="482"/>
      <w:jc w:val="both"/>
      <w:textAlignment w:val="center"/>
    </w:pPr>
    <w:rPr>
      <w:rFonts w:ascii="Times New Roman" w:hAnsi="Times New Roman" w:eastAsia="宋体" w:cs="Times New Roman"/>
      <w:sz w:val="18"/>
      <w:lang w:val="en-US" w:eastAsia="zh-CN" w:bidi="ar-SA"/>
    </w:rPr>
  </w:style>
  <w:style w:type="paragraph" w:customStyle="1" w:styleId="438">
    <w:name w:val="五级无标题条"/>
    <w:basedOn w:val="1"/>
    <w:qFormat/>
    <w:uiPriority w:val="0"/>
    <w:pPr>
      <w:spacing w:line="240" w:lineRule="auto"/>
      <w:ind w:firstLine="0"/>
    </w:pPr>
    <w:rPr>
      <w:rFonts w:ascii="黑体" w:eastAsia="黑体"/>
      <w:b/>
      <w:sz w:val="21"/>
    </w:rPr>
  </w:style>
  <w:style w:type="paragraph" w:customStyle="1" w:styleId="439">
    <w:name w:val="样式 标题 1h11st levelSection Headl1章标题 1featurehead标题 1，宋体，三..."/>
    <w:basedOn w:val="4"/>
    <w:qFormat/>
    <w:uiPriority w:val="0"/>
    <w:rPr>
      <w:rFonts w:ascii="黑体" w:hAnsi="黑体" w:eastAsia="黑体"/>
      <w:b w:val="0"/>
      <w:sz w:val="30"/>
    </w:rPr>
  </w:style>
  <w:style w:type="paragraph" w:customStyle="1" w:styleId="440">
    <w:name w:val="X.1"/>
    <w:next w:val="1"/>
    <w:qFormat/>
    <w:uiPriority w:val="0"/>
    <w:pPr>
      <w:spacing w:before="156" w:afterLines="50" w:line="440" w:lineRule="exact"/>
      <w:ind w:firstLine="240" w:firstLineChars="100"/>
      <w:jc w:val="both"/>
    </w:pPr>
    <w:rPr>
      <w:rFonts w:ascii="宋体" w:hAnsi="宋体" w:eastAsia="宋体" w:cs="Times New Roman"/>
      <w:kern w:val="2"/>
      <w:sz w:val="24"/>
      <w:lang w:val="en-US" w:eastAsia="zh-CN" w:bidi="ar-SA"/>
    </w:rPr>
  </w:style>
  <w:style w:type="paragraph" w:customStyle="1" w:styleId="441">
    <w:name w:val="正文编号内容"/>
    <w:basedOn w:val="69"/>
    <w:next w:val="69"/>
    <w:qFormat/>
    <w:uiPriority w:val="0"/>
    <w:pPr>
      <w:suppressAutoHyphens/>
      <w:spacing w:line="240" w:lineRule="auto"/>
      <w:ind w:firstLine="0"/>
    </w:pPr>
    <w:rPr>
      <w:rFonts w:ascii="黑体" w:hAnsi="华文细黑"/>
      <w:kern w:val="0"/>
      <w:sz w:val="24"/>
    </w:rPr>
  </w:style>
  <w:style w:type="paragraph" w:customStyle="1" w:styleId="442">
    <w:name w:val="默认段落字体 Para Char Char Char Char Char Char1 Char"/>
    <w:basedOn w:val="1"/>
    <w:qFormat/>
    <w:uiPriority w:val="0"/>
    <w:pPr>
      <w:ind w:firstLine="0"/>
    </w:pPr>
    <w:rPr>
      <w:rFonts w:ascii="Tahoma" w:hAnsi="Tahoma"/>
      <w:sz w:val="28"/>
    </w:rPr>
  </w:style>
  <w:style w:type="paragraph" w:customStyle="1" w:styleId="443">
    <w:name w:val="font9"/>
    <w:basedOn w:val="1"/>
    <w:qFormat/>
    <w:uiPriority w:val="0"/>
    <w:pPr>
      <w:spacing w:before="100" w:beforeAutospacing="1" w:after="100" w:afterAutospacing="1" w:line="240" w:lineRule="auto"/>
      <w:ind w:firstLine="0"/>
    </w:pPr>
    <w:rPr>
      <w:color w:val="000000"/>
      <w:kern w:val="0"/>
    </w:rPr>
  </w:style>
  <w:style w:type="paragraph" w:customStyle="1" w:styleId="444">
    <w:name w:val="样式 首行缩进:  0.85 厘米"/>
    <w:basedOn w:val="1"/>
    <w:qFormat/>
    <w:uiPriority w:val="0"/>
  </w:style>
  <w:style w:type="paragraph" w:customStyle="1" w:styleId="445">
    <w:name w:val="正文（首行不缩进）"/>
    <w:basedOn w:val="1"/>
    <w:qFormat/>
    <w:uiPriority w:val="0"/>
    <w:pPr>
      <w:snapToGrid w:val="0"/>
      <w:spacing w:line="300" w:lineRule="auto"/>
      <w:ind w:left="1701" w:firstLine="0"/>
    </w:pPr>
    <w:rPr>
      <w:rFonts w:ascii="Arial" w:hAnsi="Arial"/>
      <w:kern w:val="0"/>
      <w:sz w:val="18"/>
    </w:rPr>
  </w:style>
  <w:style w:type="paragraph" w:customStyle="1" w:styleId="446">
    <w:name w:val="样式 标题 4 + Times New Roman"/>
    <w:basedOn w:val="7"/>
    <w:qFormat/>
    <w:uiPriority w:val="0"/>
    <w:pPr>
      <w:numPr>
        <w:numId w:val="0"/>
      </w:numPr>
      <w:spacing w:before="40"/>
    </w:pPr>
    <w:rPr>
      <w:rFonts w:ascii="Times New Roman" w:hAnsi="Times New Roman"/>
      <w:sz w:val="24"/>
    </w:rPr>
  </w:style>
  <w:style w:type="paragraph" w:customStyle="1" w:styleId="447">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FF0000"/>
      <w:kern w:val="0"/>
    </w:rPr>
  </w:style>
  <w:style w:type="paragraph" w:customStyle="1" w:styleId="448">
    <w:name w:val="图表目录1"/>
    <w:basedOn w:val="1"/>
    <w:next w:val="1"/>
    <w:qFormat/>
    <w:uiPriority w:val="0"/>
    <w:pPr>
      <w:adjustRightInd w:val="0"/>
      <w:spacing w:line="360" w:lineRule="atLeast"/>
      <w:ind w:left="200" w:leftChars="200" w:hanging="200" w:hangingChars="200"/>
      <w:textAlignment w:val="baseline"/>
    </w:pPr>
    <w:rPr>
      <w:kern w:val="0"/>
      <w:sz w:val="32"/>
    </w:rPr>
  </w:style>
  <w:style w:type="paragraph" w:customStyle="1" w:styleId="449">
    <w:name w:val="其他发布部门"/>
    <w:basedOn w:val="1"/>
    <w:qFormat/>
    <w:uiPriority w:val="0"/>
    <w:pPr>
      <w:spacing w:line="0" w:lineRule="atLeast"/>
      <w:ind w:firstLine="0"/>
    </w:pPr>
    <w:rPr>
      <w:rFonts w:ascii="黑体" w:eastAsia="黑体"/>
      <w:spacing w:val="20"/>
      <w:w w:val="135"/>
      <w:kern w:val="0"/>
      <w:sz w:val="36"/>
    </w:rPr>
  </w:style>
  <w:style w:type="paragraph" w:customStyle="1" w:styleId="450">
    <w:name w:val="xl49"/>
    <w:basedOn w:val="1"/>
    <w:qFormat/>
    <w:uiPriority w:val="0"/>
    <w:pPr>
      <w:pBdr>
        <w:top w:val="single" w:color="auto" w:sz="8" w:space="0"/>
        <w:bottom w:val="single" w:color="auto" w:sz="8" w:space="0"/>
      </w:pBdr>
      <w:spacing w:before="100" w:beforeAutospacing="1" w:after="100" w:afterAutospacing="1" w:line="240" w:lineRule="auto"/>
      <w:ind w:firstLine="0"/>
    </w:pPr>
    <w:rPr>
      <w:rFonts w:ascii="宋体" w:hAnsi="宋体"/>
      <w:kern w:val="0"/>
    </w:rPr>
  </w:style>
  <w:style w:type="paragraph" w:customStyle="1" w:styleId="451">
    <w:name w:val="工程建设表标题"/>
    <w:basedOn w:val="452"/>
    <w:qFormat/>
    <w:uiPriority w:val="0"/>
    <w:pPr>
      <w:outlineLvl w:val="4"/>
    </w:pPr>
  </w:style>
  <w:style w:type="paragraph" w:customStyle="1" w:styleId="452">
    <w:name w:val="工程建设条标题"/>
    <w:basedOn w:val="453"/>
    <w:next w:val="221"/>
    <w:qFormat/>
    <w:uiPriority w:val="0"/>
    <w:pPr>
      <w:spacing w:before="0" w:after="0"/>
      <w:outlineLvl w:val="3"/>
    </w:pPr>
    <w:rPr>
      <w:b w:val="0"/>
    </w:rPr>
  </w:style>
  <w:style w:type="paragraph" w:customStyle="1" w:styleId="453">
    <w:name w:val="工程建设节标题"/>
    <w:basedOn w:val="454"/>
    <w:next w:val="221"/>
    <w:qFormat/>
    <w:uiPriority w:val="0"/>
    <w:pPr>
      <w:spacing w:before="400" w:after="400" w:line="240" w:lineRule="auto"/>
      <w:outlineLvl w:val="2"/>
    </w:pPr>
    <w:rPr>
      <w:sz w:val="21"/>
    </w:rPr>
  </w:style>
  <w:style w:type="paragraph" w:customStyle="1" w:styleId="454">
    <w:name w:val="工程建设章标题"/>
    <w:next w:val="221"/>
    <w:qFormat/>
    <w:uiPriority w:val="0"/>
    <w:pPr>
      <w:spacing w:before="640" w:after="560" w:line="480" w:lineRule="exact"/>
      <w:ind w:firstLine="482"/>
      <w:jc w:val="center"/>
      <w:outlineLvl w:val="1"/>
    </w:pPr>
    <w:rPr>
      <w:rFonts w:ascii="黑体" w:hAnsi="Times New Roman" w:eastAsia="黑体" w:cs="Times New Roman"/>
      <w:b/>
      <w:sz w:val="28"/>
      <w:lang w:val="en-US" w:eastAsia="zh-CN" w:bidi="ar-SA"/>
    </w:rPr>
  </w:style>
  <w:style w:type="paragraph" w:customStyle="1" w:styleId="455">
    <w:name w:val="xl126"/>
    <w:basedOn w:val="1"/>
    <w:qFormat/>
    <w:uiPriority w:val="0"/>
    <w:pPr>
      <w:spacing w:before="100" w:beforeAutospacing="1" w:after="100" w:afterAutospacing="1" w:line="240" w:lineRule="auto"/>
      <w:ind w:firstLine="0"/>
    </w:pPr>
    <w:rPr>
      <w:rFonts w:ascii="宋体" w:hAnsi="宋体"/>
      <w:kern w:val="0"/>
      <w:sz w:val="20"/>
    </w:rPr>
  </w:style>
  <w:style w:type="paragraph" w:customStyle="1" w:styleId="456">
    <w:name w:val="XW正文"/>
    <w:basedOn w:val="61"/>
    <w:qFormat/>
    <w:uiPriority w:val="0"/>
    <w:pPr>
      <w:adjustRightInd w:val="0"/>
      <w:ind w:left="0" w:leftChars="0"/>
      <w:textAlignment w:val="baseline"/>
    </w:pPr>
    <w:rPr>
      <w:kern w:val="0"/>
      <w:sz w:val="24"/>
    </w:rPr>
  </w:style>
  <w:style w:type="paragraph" w:customStyle="1" w:styleId="457">
    <w:name w:val="索引 81"/>
    <w:basedOn w:val="1"/>
    <w:next w:val="1"/>
    <w:qFormat/>
    <w:uiPriority w:val="0"/>
    <w:pPr>
      <w:spacing w:line="240" w:lineRule="auto"/>
      <w:ind w:left="1400" w:leftChars="1400" w:firstLine="0"/>
    </w:pPr>
    <w:rPr>
      <w:sz w:val="21"/>
    </w:rPr>
  </w:style>
  <w:style w:type="paragraph" w:customStyle="1" w:styleId="458">
    <w:name w:val="样式1 标题 1 + 段前: 1 行 段后: 1 行"/>
    <w:basedOn w:val="1"/>
    <w:qFormat/>
    <w:uiPriority w:val="0"/>
    <w:pPr>
      <w:keepNext/>
      <w:keepLines/>
      <w:tabs>
        <w:tab w:val="left" w:pos="360"/>
      </w:tabs>
      <w:snapToGrid w:val="0"/>
      <w:spacing w:beforeLines="100" w:afterLines="100" w:line="240" w:lineRule="auto"/>
      <w:ind w:firstLine="0"/>
      <w:outlineLvl w:val="0"/>
    </w:pPr>
    <w:rPr>
      <w:rFonts w:eastAsia="黑体"/>
      <w:kern w:val="21"/>
      <w:sz w:val="21"/>
    </w:rPr>
  </w:style>
  <w:style w:type="paragraph" w:customStyle="1" w:styleId="459">
    <w:name w:val="小四首行缩进:  0.83 厘米 段后: 7.8 磅"/>
    <w:basedOn w:val="1"/>
    <w:qFormat/>
    <w:uiPriority w:val="0"/>
    <w:pPr>
      <w:ind w:firstLine="471"/>
    </w:pPr>
    <w:rPr>
      <w:rFonts w:ascii="Arial" w:hAnsi="Arial"/>
    </w:rPr>
  </w:style>
  <w:style w:type="paragraph" w:customStyle="1" w:styleId="460">
    <w:name w:val="无间隔11"/>
    <w:link w:val="711"/>
    <w:qFormat/>
    <w:uiPriority w:val="0"/>
    <w:pPr>
      <w:widowControl w:val="0"/>
      <w:spacing w:before="156" w:after="200" w:line="276" w:lineRule="auto"/>
      <w:ind w:firstLine="482"/>
      <w:jc w:val="both"/>
    </w:pPr>
    <w:rPr>
      <w:rFonts w:ascii="Times New Roman" w:hAnsi="Times New Roman" w:eastAsia="宋体" w:cs="Times New Roman"/>
      <w:kern w:val="2"/>
      <w:sz w:val="24"/>
      <w:lang w:val="en-US" w:eastAsia="zh-CN" w:bidi="ar-SA"/>
    </w:rPr>
  </w:style>
  <w:style w:type="paragraph" w:customStyle="1" w:styleId="461">
    <w:name w:val="0段落"/>
    <w:basedOn w:val="78"/>
    <w:qFormat/>
    <w:uiPriority w:val="0"/>
    <w:pPr>
      <w:spacing w:line="288" w:lineRule="auto"/>
      <w:ind w:left="454"/>
    </w:pPr>
  </w:style>
  <w:style w:type="paragraph" w:customStyle="1" w:styleId="462">
    <w:name w:val="标准书脚_偶数页"/>
    <w:qFormat/>
    <w:uiPriority w:val="0"/>
    <w:pPr>
      <w:spacing w:before="120" w:after="156" w:line="360" w:lineRule="auto"/>
      <w:ind w:firstLine="482"/>
      <w:jc w:val="both"/>
    </w:pPr>
    <w:rPr>
      <w:rFonts w:ascii="Times New Roman" w:hAnsi="Times New Roman" w:eastAsia="宋体" w:cs="Times New Roman"/>
      <w:sz w:val="18"/>
      <w:lang w:val="en-US" w:eastAsia="zh-CN" w:bidi="ar-SA"/>
    </w:rPr>
  </w:style>
  <w:style w:type="paragraph" w:customStyle="1" w:styleId="463">
    <w:name w:val="xl30"/>
    <w:basedOn w:val="1"/>
    <w:qFormat/>
    <w:uiPriority w:val="0"/>
    <w:pPr>
      <w:pBdr>
        <w:top w:val="single" w:color="auto" w:sz="4" w:space="0"/>
        <w:left w:val="single" w:color="auto" w:sz="4" w:space="0"/>
        <w:bottom w:val="single" w:color="auto" w:sz="8" w:space="0"/>
      </w:pBdr>
      <w:spacing w:before="100" w:beforeAutospacing="1" w:after="100" w:afterAutospacing="1" w:line="240" w:lineRule="auto"/>
      <w:ind w:firstLine="0"/>
    </w:pPr>
    <w:rPr>
      <w:rFonts w:ascii="宋体" w:hAnsi="宋体"/>
      <w:kern w:val="0"/>
      <w:sz w:val="20"/>
    </w:rPr>
  </w:style>
  <w:style w:type="paragraph" w:customStyle="1" w:styleId="464">
    <w:name w:val="2级列项"/>
    <w:basedOn w:val="315"/>
    <w:qFormat/>
    <w:uiPriority w:val="0"/>
    <w:pPr>
      <w:tabs>
        <w:tab w:val="left" w:pos="1320"/>
        <w:tab w:val="clear" w:pos="900"/>
      </w:tabs>
      <w:ind w:left="1320"/>
    </w:pPr>
  </w:style>
  <w:style w:type="paragraph" w:customStyle="1" w:styleId="465">
    <w:name w:val="xl71"/>
    <w:basedOn w:val="1"/>
    <w:qFormat/>
    <w:uiPriority w:val="0"/>
    <w:pPr>
      <w:shd w:val="clear" w:color="000000" w:fill="FFFF00"/>
      <w:spacing w:before="100" w:beforeAutospacing="1" w:after="100" w:afterAutospacing="1" w:line="240" w:lineRule="auto"/>
      <w:ind w:firstLine="0"/>
    </w:pPr>
    <w:rPr>
      <w:rFonts w:ascii="宋体" w:hAnsi="宋体"/>
      <w:kern w:val="0"/>
    </w:rPr>
  </w:style>
  <w:style w:type="paragraph" w:customStyle="1" w:styleId="466">
    <w:name w:val="font1"/>
    <w:basedOn w:val="1"/>
    <w:qFormat/>
    <w:uiPriority w:val="0"/>
    <w:pPr>
      <w:spacing w:before="100" w:beforeAutospacing="1" w:after="100" w:afterAutospacing="1" w:line="240" w:lineRule="auto"/>
      <w:ind w:firstLine="0"/>
    </w:pPr>
    <w:rPr>
      <w:rFonts w:ascii="宋体" w:hAnsi="宋体"/>
      <w:kern w:val="0"/>
    </w:rPr>
  </w:style>
  <w:style w:type="paragraph" w:customStyle="1" w:styleId="467">
    <w:name w:val="部分样式"/>
    <w:basedOn w:val="4"/>
    <w:qFormat/>
    <w:uiPriority w:val="0"/>
    <w:pPr>
      <w:tabs>
        <w:tab w:val="left" w:pos="420"/>
      </w:tabs>
      <w:ind w:left="420" w:hanging="420"/>
    </w:pPr>
    <w:rPr>
      <w:sz w:val="44"/>
    </w:rPr>
  </w:style>
  <w:style w:type="paragraph" w:customStyle="1" w:styleId="468">
    <w:name w:val="PARAGRAPH"/>
    <w:qFormat/>
    <w:uiPriority w:val="0"/>
    <w:pPr>
      <w:tabs>
        <w:tab w:val="center" w:pos="4536"/>
        <w:tab w:val="right" w:pos="9072"/>
      </w:tabs>
      <w:spacing w:before="100" w:after="200" w:line="360" w:lineRule="auto"/>
      <w:ind w:firstLine="482"/>
      <w:jc w:val="both"/>
    </w:pPr>
    <w:rPr>
      <w:rFonts w:ascii="Arial" w:hAnsi="Arial" w:eastAsia="宋体" w:cs="Times New Roman"/>
      <w:spacing w:val="8"/>
      <w:lang w:val="en-US" w:eastAsia="en-US" w:bidi="ar-SA"/>
    </w:rPr>
  </w:style>
  <w:style w:type="paragraph" w:customStyle="1" w:styleId="469">
    <w:name w:val="xl80"/>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rFonts w:ascii="宋体" w:hAnsi="宋体"/>
      <w:kern w:val="0"/>
    </w:rPr>
  </w:style>
  <w:style w:type="paragraph" w:customStyle="1" w:styleId="470">
    <w:name w:val="样式 标题 2 + 宋体"/>
    <w:basedOn w:val="5"/>
    <w:qFormat/>
    <w:uiPriority w:val="0"/>
    <w:pPr>
      <w:spacing w:before="200"/>
    </w:pPr>
    <w:rPr>
      <w:rFonts w:ascii="宋体" w:hAnsi="宋体"/>
    </w:rPr>
  </w:style>
  <w:style w:type="paragraph" w:customStyle="1" w:styleId="471">
    <w:name w:val="实施日期"/>
    <w:basedOn w:val="472"/>
    <w:qFormat/>
    <w:uiPriority w:val="0"/>
  </w:style>
  <w:style w:type="paragraph" w:customStyle="1" w:styleId="472">
    <w:name w:val="发布日期"/>
    <w:qFormat/>
    <w:uiPriority w:val="0"/>
    <w:pPr>
      <w:spacing w:before="156" w:after="156" w:line="360" w:lineRule="auto"/>
      <w:ind w:firstLine="482"/>
      <w:jc w:val="both"/>
    </w:pPr>
    <w:rPr>
      <w:rFonts w:ascii="Times New Roman" w:hAnsi="Times New Roman" w:eastAsia="黑体" w:cs="Times New Roman"/>
      <w:sz w:val="28"/>
      <w:lang w:val="en-US" w:eastAsia="zh-CN" w:bidi="ar-SA"/>
    </w:rPr>
  </w:style>
  <w:style w:type="paragraph" w:customStyle="1" w:styleId="473">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b/>
      <w:color w:val="4F81BD"/>
      <w:kern w:val="0"/>
    </w:rPr>
  </w:style>
  <w:style w:type="paragraph" w:customStyle="1" w:styleId="474">
    <w:name w:val="xl102"/>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pPr>
    <w:rPr>
      <w:rFonts w:ascii="宋体" w:hAnsi="宋体"/>
      <w:kern w:val="0"/>
    </w:rPr>
  </w:style>
  <w:style w:type="paragraph" w:customStyle="1" w:styleId="475">
    <w:name w:val="索引 91"/>
    <w:basedOn w:val="1"/>
    <w:next w:val="1"/>
    <w:qFormat/>
    <w:uiPriority w:val="0"/>
    <w:pPr>
      <w:spacing w:line="240" w:lineRule="auto"/>
      <w:ind w:left="1600" w:leftChars="1600" w:firstLine="0"/>
    </w:pPr>
    <w:rPr>
      <w:sz w:val="21"/>
    </w:rPr>
  </w:style>
  <w:style w:type="paragraph" w:customStyle="1" w:styleId="476">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477">
    <w:name w:val="样式 标题 3标题1.1二级节名h33rd level3l3Level 3 HeadH3heading 3 +..."/>
    <w:basedOn w:val="6"/>
    <w:qFormat/>
    <w:uiPriority w:val="0"/>
    <w:pPr>
      <w:numPr>
        <w:numId w:val="0"/>
      </w:numPr>
      <w:adjustRightInd w:val="0"/>
      <w:snapToGrid w:val="0"/>
      <w:spacing w:before="260"/>
    </w:pPr>
    <w:rPr>
      <w:sz w:val="24"/>
    </w:rPr>
  </w:style>
  <w:style w:type="paragraph" w:customStyle="1" w:styleId="478">
    <w:name w:val="条文说明"/>
    <w:basedOn w:val="479"/>
    <w:qFormat/>
    <w:uiPriority w:val="0"/>
  </w:style>
  <w:style w:type="paragraph" w:customStyle="1" w:styleId="479">
    <w:name w:val="名称"/>
    <w:basedOn w:val="480"/>
    <w:next w:val="221"/>
    <w:qFormat/>
    <w:uiPriority w:val="0"/>
    <w:pPr>
      <w:spacing w:line="460" w:lineRule="exact"/>
      <w:outlineLvl w:val="9"/>
    </w:pPr>
  </w:style>
  <w:style w:type="paragraph" w:customStyle="1" w:styleId="480">
    <w:name w:val="前言、引言标题"/>
    <w:next w:val="1"/>
    <w:qFormat/>
    <w:uiPriority w:val="0"/>
    <w:pPr>
      <w:shd w:val="clear" w:color="FFFFFF" w:fill="FFFFFF"/>
      <w:spacing w:before="640" w:after="560" w:line="360" w:lineRule="auto"/>
      <w:ind w:firstLine="482"/>
      <w:jc w:val="center"/>
      <w:outlineLvl w:val="0"/>
    </w:pPr>
    <w:rPr>
      <w:rFonts w:ascii="黑体" w:hAnsi="Times New Roman" w:eastAsia="黑体" w:cs="Times New Roman"/>
      <w:b/>
      <w:sz w:val="32"/>
      <w:lang w:val="en-US" w:eastAsia="zh-CN" w:bidi="ar-SA"/>
    </w:rPr>
  </w:style>
  <w:style w:type="paragraph" w:customStyle="1" w:styleId="481">
    <w:name w:val="font17"/>
    <w:basedOn w:val="1"/>
    <w:qFormat/>
    <w:uiPriority w:val="0"/>
    <w:pPr>
      <w:spacing w:before="100" w:beforeAutospacing="1" w:after="100" w:afterAutospacing="1" w:line="240" w:lineRule="auto"/>
      <w:ind w:firstLine="0"/>
    </w:pPr>
    <w:rPr>
      <w:rFonts w:ascii="宋体" w:hAnsi="宋体"/>
      <w:color w:val="000000"/>
      <w:kern w:val="0"/>
      <w:sz w:val="20"/>
    </w:rPr>
  </w:style>
  <w:style w:type="paragraph" w:customStyle="1" w:styleId="482">
    <w:name w:val="附录表标题续表"/>
    <w:basedOn w:val="418"/>
    <w:next w:val="221"/>
    <w:qFormat/>
    <w:uiPriority w:val="0"/>
    <w:pPr>
      <w:tabs>
        <w:tab w:val="clear" w:pos="210"/>
      </w:tabs>
    </w:pPr>
    <w:rPr>
      <w:b w:val="0"/>
    </w:rPr>
  </w:style>
  <w:style w:type="paragraph" w:customStyle="1" w:styleId="483">
    <w:name w:val="xl64"/>
    <w:basedOn w:val="1"/>
    <w:qFormat/>
    <w:uiPriority w:val="0"/>
    <w:pPr>
      <w:pBdr>
        <w:bottom w:val="single" w:color="auto" w:sz="8" w:space="0"/>
        <w:right w:val="single" w:color="auto" w:sz="8" w:space="0"/>
      </w:pBdr>
      <w:spacing w:before="100" w:beforeAutospacing="1" w:after="100" w:afterAutospacing="1" w:line="240" w:lineRule="auto"/>
      <w:ind w:firstLine="0"/>
    </w:pPr>
    <w:rPr>
      <w:rFonts w:ascii="宋体" w:hAnsi="宋体"/>
      <w:kern w:val="0"/>
    </w:rPr>
  </w:style>
  <w:style w:type="paragraph" w:customStyle="1" w:styleId="484">
    <w:name w:val="样式 行距: 1.5 倍行距1"/>
    <w:basedOn w:val="1"/>
    <w:qFormat/>
    <w:uiPriority w:val="0"/>
    <w:pPr>
      <w:ind w:firstLine="0"/>
    </w:pPr>
    <w:rPr>
      <w:rFonts w:ascii="Calibri" w:hAnsi="Calibri"/>
    </w:rPr>
  </w:style>
  <w:style w:type="paragraph" w:customStyle="1" w:styleId="485">
    <w:name w:val="默认段落字体 Para Char"/>
    <w:basedOn w:val="1"/>
    <w:qFormat/>
    <w:uiPriority w:val="0"/>
    <w:pPr>
      <w:spacing w:line="400" w:lineRule="exact"/>
      <w:ind w:firstLine="0"/>
    </w:pPr>
    <w:rPr>
      <w:rFonts w:ascii="Tahoma" w:hAnsi="Tahoma"/>
    </w:rPr>
  </w:style>
  <w:style w:type="paragraph" w:customStyle="1" w:styleId="486">
    <w:name w:val="样式 行距: 单倍行距"/>
    <w:basedOn w:val="1"/>
    <w:qFormat/>
    <w:uiPriority w:val="0"/>
  </w:style>
  <w:style w:type="paragraph" w:customStyle="1" w:styleId="487">
    <w:name w:val="xl97"/>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line="240" w:lineRule="auto"/>
      <w:ind w:firstLine="0"/>
    </w:pPr>
    <w:rPr>
      <w:rFonts w:ascii="宋体" w:hAnsi="宋体"/>
      <w:kern w:val="0"/>
      <w:sz w:val="32"/>
    </w:rPr>
  </w:style>
  <w:style w:type="paragraph" w:customStyle="1" w:styleId="488">
    <w:name w:val="附录标识"/>
    <w:basedOn w:val="1"/>
    <w:next w:val="221"/>
    <w:qFormat/>
    <w:uiPriority w:val="0"/>
    <w:pPr>
      <w:shd w:val="clear" w:color="FFFFFF" w:fill="FFFFFF"/>
      <w:tabs>
        <w:tab w:val="left" w:pos="360"/>
      </w:tabs>
      <w:spacing w:line="240" w:lineRule="auto"/>
      <w:ind w:firstLine="0"/>
      <w:outlineLvl w:val="0"/>
    </w:pPr>
    <w:rPr>
      <w:rFonts w:ascii="黑体" w:eastAsia="黑体"/>
      <w:b/>
      <w:kern w:val="0"/>
      <w:sz w:val="21"/>
    </w:rPr>
  </w:style>
  <w:style w:type="paragraph" w:customStyle="1" w:styleId="489">
    <w:name w:val="xl74"/>
    <w:basedOn w:val="1"/>
    <w:qFormat/>
    <w:uiPriority w:val="0"/>
    <w:pPr>
      <w:shd w:val="clear" w:color="000000" w:fill="FFFF99"/>
      <w:spacing w:before="100" w:beforeAutospacing="1" w:after="100" w:afterAutospacing="1" w:line="240" w:lineRule="auto"/>
      <w:ind w:firstLine="0"/>
    </w:pPr>
    <w:rPr>
      <w:rFonts w:ascii="宋体" w:hAnsi="宋体"/>
      <w:kern w:val="0"/>
    </w:rPr>
  </w:style>
  <w:style w:type="paragraph" w:customStyle="1" w:styleId="490">
    <w:name w:val="样式 样式 段前: 0.1 行 首行缩进:  2 字符 + 首行缩进:  2 字符 段前: 0.1 行1"/>
    <w:basedOn w:val="1"/>
    <w:qFormat/>
    <w:uiPriority w:val="0"/>
    <w:pPr>
      <w:spacing w:beforeLines="10" w:line="276" w:lineRule="auto"/>
      <w:ind w:firstLine="420"/>
    </w:pPr>
    <w:rPr>
      <w:sz w:val="21"/>
    </w:rPr>
  </w:style>
  <w:style w:type="paragraph" w:customStyle="1" w:styleId="491">
    <w:name w:val="xl82"/>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color w:val="000000"/>
      <w:kern w:val="0"/>
    </w:rPr>
  </w:style>
  <w:style w:type="paragraph" w:customStyle="1" w:styleId="492">
    <w:name w:val="Char Char2 Char Char Char Char Char Char Char"/>
    <w:basedOn w:val="1"/>
    <w:qFormat/>
    <w:uiPriority w:val="0"/>
    <w:pPr>
      <w:ind w:firstLine="0"/>
    </w:pPr>
    <w:rPr>
      <w:rFonts w:ascii="Tahoma" w:hAnsi="Tahoma"/>
    </w:rPr>
  </w:style>
  <w:style w:type="paragraph" w:customStyle="1" w:styleId="493">
    <w:name w:val="二级无标题条"/>
    <w:basedOn w:val="1"/>
    <w:qFormat/>
    <w:uiPriority w:val="0"/>
    <w:pPr>
      <w:spacing w:line="240" w:lineRule="auto"/>
      <w:ind w:firstLine="0"/>
    </w:pPr>
    <w:rPr>
      <w:b/>
      <w:sz w:val="21"/>
    </w:rPr>
  </w:style>
  <w:style w:type="paragraph" w:customStyle="1" w:styleId="494">
    <w:name w:val="表项"/>
    <w:next w:val="437"/>
    <w:qFormat/>
    <w:uiPriority w:val="0"/>
    <w:pPr>
      <w:keepNext/>
      <w:spacing w:before="156" w:after="156" w:line="300" w:lineRule="auto"/>
      <w:ind w:firstLine="482"/>
      <w:jc w:val="center"/>
      <w:textAlignment w:val="baseline"/>
    </w:pPr>
    <w:rPr>
      <w:rFonts w:ascii="Arial" w:hAnsi="Arial" w:eastAsia="黑体" w:cs="Times New Roman"/>
      <w:sz w:val="21"/>
      <w:lang w:val="en-US" w:eastAsia="zh-CN" w:bidi="ar-SA"/>
    </w:rPr>
  </w:style>
  <w:style w:type="paragraph" w:customStyle="1" w:styleId="495">
    <w:name w:val="xl61"/>
    <w:basedOn w:val="1"/>
    <w:qFormat/>
    <w:uiPriority w:val="0"/>
    <w:pPr>
      <w:pBdr>
        <w:top w:val="single" w:color="auto" w:sz="8" w:space="0"/>
        <w:left w:val="single" w:color="auto" w:sz="8" w:space="0"/>
        <w:bottom w:val="single" w:color="auto" w:sz="8" w:space="0"/>
      </w:pBdr>
      <w:shd w:val="clear" w:color="auto" w:fill="FF0000"/>
      <w:spacing w:before="100" w:beforeAutospacing="1" w:after="100" w:afterAutospacing="1" w:line="240" w:lineRule="auto"/>
      <w:ind w:firstLine="0"/>
    </w:pPr>
    <w:rPr>
      <w:rFonts w:ascii="宋体" w:hAnsi="宋体"/>
      <w:color w:val="FF0000"/>
      <w:kern w:val="0"/>
    </w:rPr>
  </w:style>
  <w:style w:type="paragraph" w:customStyle="1" w:styleId="496">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rPr>
  </w:style>
  <w:style w:type="paragraph" w:customStyle="1" w:styleId="497">
    <w:name w:val="xl86"/>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rFonts w:ascii="宋体" w:hAnsi="宋体"/>
      <w:color w:val="000000"/>
      <w:kern w:val="0"/>
    </w:rPr>
  </w:style>
  <w:style w:type="paragraph" w:customStyle="1" w:styleId="498">
    <w:name w:val="样式 正文缩进 + 首行缩进:  2 字符"/>
    <w:basedOn w:val="78"/>
    <w:qFormat/>
    <w:uiPriority w:val="0"/>
    <w:pPr>
      <w:ind w:firstLine="480" w:firstLineChars="200"/>
    </w:pPr>
    <w:rPr>
      <w:kern w:val="0"/>
      <w:sz w:val="24"/>
    </w:rPr>
  </w:style>
  <w:style w:type="paragraph" w:customStyle="1" w:styleId="499">
    <w:name w:val="xl31"/>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line="240" w:lineRule="auto"/>
      <w:ind w:firstLine="0"/>
    </w:pPr>
    <w:rPr>
      <w:rFonts w:ascii="宋体" w:hAnsi="宋体"/>
      <w:kern w:val="0"/>
      <w:sz w:val="20"/>
    </w:rPr>
  </w:style>
  <w:style w:type="paragraph" w:customStyle="1" w:styleId="500">
    <w:name w:val="缺省文本"/>
    <w:basedOn w:val="1"/>
    <w:qFormat/>
    <w:uiPriority w:val="0"/>
    <w:pPr>
      <w:autoSpaceDE w:val="0"/>
      <w:autoSpaceDN w:val="0"/>
      <w:adjustRightInd w:val="0"/>
      <w:spacing w:line="240" w:lineRule="auto"/>
      <w:ind w:firstLine="0"/>
    </w:pPr>
    <w:rPr>
      <w:kern w:val="0"/>
      <w:sz w:val="21"/>
    </w:rPr>
  </w:style>
  <w:style w:type="paragraph" w:customStyle="1" w:styleId="501">
    <w:name w:val="封面日期地点文字"/>
    <w:basedOn w:val="189"/>
    <w:qFormat/>
    <w:uiPriority w:val="0"/>
    <w:pPr>
      <w:spacing w:line="360" w:lineRule="exact"/>
      <w:ind w:firstLine="0"/>
    </w:pPr>
    <w:rPr>
      <w:rFonts w:ascii="宋体" w:hAnsi="宋体"/>
      <w:kern w:val="0"/>
      <w:sz w:val="32"/>
    </w:rPr>
  </w:style>
  <w:style w:type="paragraph" w:customStyle="1" w:styleId="502">
    <w:name w:val="1级条目"/>
    <w:basedOn w:val="243"/>
    <w:qFormat/>
    <w:uiPriority w:val="0"/>
    <w:pPr>
      <w:tabs>
        <w:tab w:val="left" w:pos="840"/>
      </w:tabs>
      <w:spacing w:before="120" w:after="120"/>
      <w:ind w:left="840" w:hanging="420"/>
    </w:pPr>
    <w:rPr>
      <w:color w:val="000000"/>
    </w:rPr>
  </w:style>
  <w:style w:type="paragraph" w:customStyle="1" w:styleId="503">
    <w:name w:val="xl28"/>
    <w:basedOn w:val="1"/>
    <w:qFormat/>
    <w:uiPriority w:val="0"/>
    <w:pPr>
      <w:pBdr>
        <w:top w:val="single" w:color="auto" w:sz="4" w:space="0"/>
        <w:left w:val="double" w:color="auto" w:sz="6" w:space="0"/>
        <w:bottom w:val="double" w:color="auto" w:sz="6" w:space="0"/>
        <w:right w:val="single" w:color="auto" w:sz="8" w:space="0"/>
      </w:pBdr>
      <w:spacing w:before="100" w:beforeAutospacing="1" w:after="100" w:afterAutospacing="1" w:line="240" w:lineRule="auto"/>
      <w:ind w:firstLine="0"/>
    </w:pPr>
    <w:rPr>
      <w:rFonts w:ascii="宋体" w:hAnsi="宋体"/>
      <w:kern w:val="0"/>
      <w:sz w:val="28"/>
    </w:rPr>
  </w:style>
  <w:style w:type="paragraph" w:customStyle="1" w:styleId="504">
    <w:name w:val="64示例"/>
    <w:basedOn w:val="1"/>
    <w:qFormat/>
    <w:uiPriority w:val="0"/>
    <w:pPr>
      <w:tabs>
        <w:tab w:val="left" w:pos="964"/>
      </w:tabs>
      <w:spacing w:line="288" w:lineRule="auto"/>
      <w:ind w:firstLine="420"/>
    </w:pPr>
    <w:rPr>
      <w:sz w:val="18"/>
    </w:rPr>
  </w:style>
  <w:style w:type="paragraph" w:customStyle="1" w:styleId="505">
    <w:name w:val="正文圆点编号"/>
    <w:basedOn w:val="1"/>
    <w:qFormat/>
    <w:uiPriority w:val="0"/>
    <w:pPr>
      <w:adjustRightInd w:val="0"/>
      <w:spacing w:line="312" w:lineRule="atLeast"/>
      <w:ind w:left="907" w:hanging="425"/>
      <w:textAlignment w:val="baseline"/>
    </w:pPr>
    <w:rPr>
      <w:rFonts w:ascii="宋体" w:hAnsi="Arial"/>
      <w:kern w:val="0"/>
    </w:rPr>
  </w:style>
  <w:style w:type="paragraph" w:customStyle="1" w:styleId="506">
    <w:name w:val="xl122"/>
    <w:basedOn w:val="1"/>
    <w:qFormat/>
    <w:uiPriority w:val="0"/>
    <w:pPr>
      <w:pBdr>
        <w:top w:val="single" w:color="auto" w:sz="4" w:space="0"/>
        <w:bottom w:val="single" w:color="auto" w:sz="4" w:space="0"/>
      </w:pBdr>
      <w:spacing w:before="100" w:beforeAutospacing="1" w:after="100" w:afterAutospacing="1" w:line="240" w:lineRule="auto"/>
      <w:ind w:firstLine="0"/>
    </w:pPr>
    <w:rPr>
      <w:rFonts w:ascii="宋体" w:hAnsi="宋体"/>
      <w:b/>
      <w:kern w:val="0"/>
      <w:sz w:val="20"/>
    </w:rPr>
  </w:style>
  <w:style w:type="paragraph" w:customStyle="1" w:styleId="507">
    <w:name w:val="表格（内容）"/>
    <w:basedOn w:val="1"/>
    <w:next w:val="1"/>
    <w:qFormat/>
    <w:uiPriority w:val="0"/>
    <w:pPr>
      <w:adjustRightInd w:val="0"/>
      <w:ind w:firstLine="0"/>
    </w:pPr>
    <w:rPr>
      <w:rFonts w:ascii="宋体"/>
      <w:sz w:val="21"/>
    </w:rPr>
  </w:style>
  <w:style w:type="paragraph" w:customStyle="1" w:styleId="508">
    <w:name w:val="Char Char Char Char Char Char Char Char Char Char Char Char Char Char Char Char"/>
    <w:basedOn w:val="1"/>
    <w:qFormat/>
    <w:uiPriority w:val="0"/>
    <w:pPr>
      <w:tabs>
        <w:tab w:val="left" w:pos="360"/>
      </w:tabs>
      <w:ind w:left="482"/>
    </w:pPr>
    <w:rPr>
      <w:rFonts w:ascii="宋体"/>
    </w:rPr>
  </w:style>
  <w:style w:type="paragraph" w:customStyle="1" w:styleId="509">
    <w:name w:val="三级栏目标题"/>
    <w:basedOn w:val="6"/>
    <w:qFormat/>
    <w:uiPriority w:val="0"/>
    <w:pPr>
      <w:keepNext w:val="0"/>
      <w:keepLines w:val="0"/>
      <w:numPr>
        <w:numId w:val="0"/>
      </w:numPr>
      <w:tabs>
        <w:tab w:val="left" w:pos="425"/>
      </w:tabs>
      <w:spacing w:line="269" w:lineRule="auto"/>
      <w:ind w:left="425" w:hanging="425"/>
    </w:pPr>
    <w:rPr>
      <w:rFonts w:ascii="Cambria" w:hAnsi="Cambria" w:eastAsia="黑体"/>
      <w:b w:val="0"/>
      <w:i/>
      <w:smallCaps/>
      <w:spacing w:val="5"/>
      <w:kern w:val="0"/>
      <w:sz w:val="24"/>
      <w:lang w:eastAsia="en-US"/>
    </w:rPr>
  </w:style>
  <w:style w:type="paragraph" w:customStyle="1" w:styleId="510">
    <w:name w:val="示例"/>
    <w:next w:val="221"/>
    <w:qFormat/>
    <w:uiPriority w:val="0"/>
    <w:pPr>
      <w:spacing w:before="156" w:after="156" w:line="360" w:lineRule="auto"/>
      <w:ind w:firstLine="200" w:firstLineChars="200"/>
      <w:jc w:val="both"/>
    </w:pPr>
    <w:rPr>
      <w:rFonts w:ascii="宋体" w:hAnsi="Times New Roman" w:eastAsia="宋体" w:cs="Times New Roman"/>
      <w:sz w:val="18"/>
      <w:lang w:val="en-US" w:eastAsia="zh-CN" w:bidi="ar-SA"/>
    </w:rPr>
  </w:style>
  <w:style w:type="paragraph" w:customStyle="1" w:styleId="511">
    <w:name w:val="样式 标题 3 + 段前: 0.5 行 段后: 0.5 行2"/>
    <w:basedOn w:val="6"/>
    <w:qFormat/>
    <w:uiPriority w:val="0"/>
    <w:pPr>
      <w:numPr>
        <w:numId w:val="0"/>
      </w:numPr>
      <w:tabs>
        <w:tab w:val="left" w:pos="0"/>
      </w:tabs>
      <w:spacing w:before="156" w:after="156"/>
    </w:pPr>
  </w:style>
  <w:style w:type="paragraph" w:customStyle="1" w:styleId="512">
    <w:name w:val="样式 正文首行缩进 + 小四 段后: 0 磅 行距: 固定值 24 磅"/>
    <w:basedOn w:val="69"/>
    <w:qFormat/>
    <w:uiPriority w:val="0"/>
    <w:pPr>
      <w:ind w:firstLine="100" w:firstLineChars="100"/>
    </w:pPr>
    <w:rPr>
      <w:kern w:val="0"/>
      <w:sz w:val="24"/>
    </w:rPr>
  </w:style>
  <w:style w:type="paragraph" w:customStyle="1" w:styleId="513">
    <w:name w:val="xl81"/>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rFonts w:ascii="宋体" w:hAnsi="宋体"/>
      <w:color w:val="000000"/>
      <w:kern w:val="0"/>
    </w:rPr>
  </w:style>
  <w:style w:type="paragraph" w:customStyle="1" w:styleId="514">
    <w:name w:val="封面一级标题文字"/>
    <w:basedOn w:val="189"/>
    <w:qFormat/>
    <w:uiPriority w:val="0"/>
    <w:pPr>
      <w:spacing w:line="640" w:lineRule="exact"/>
      <w:ind w:firstLine="0"/>
    </w:pPr>
    <w:rPr>
      <w:rFonts w:ascii="黑体" w:hAnsi="黑体" w:eastAsia="黑体"/>
      <w:b/>
      <w:kern w:val="0"/>
      <w:sz w:val="52"/>
    </w:rPr>
  </w:style>
  <w:style w:type="paragraph" w:customStyle="1" w:styleId="515">
    <w:name w:val="工程建设图标题"/>
    <w:basedOn w:val="452"/>
    <w:qFormat/>
    <w:uiPriority w:val="0"/>
    <w:pPr>
      <w:outlineLvl w:val="5"/>
    </w:pPr>
  </w:style>
  <w:style w:type="paragraph" w:customStyle="1" w:styleId="516">
    <w:name w:val="È±Ê¡ÎÄ±¾"/>
    <w:basedOn w:val="1"/>
    <w:qFormat/>
    <w:uiPriority w:val="0"/>
    <w:pPr>
      <w:overflowPunct w:val="0"/>
      <w:autoSpaceDE w:val="0"/>
      <w:autoSpaceDN w:val="0"/>
      <w:adjustRightInd w:val="0"/>
      <w:spacing w:line="240" w:lineRule="auto"/>
      <w:ind w:firstLine="0"/>
      <w:textAlignment w:val="baseline"/>
    </w:pPr>
    <w:rPr>
      <w:kern w:val="0"/>
    </w:rPr>
  </w:style>
  <w:style w:type="paragraph" w:customStyle="1" w:styleId="517">
    <w:name w:val="样式 标题 4 + 段前: 6 磅 段后: 6 磅 行距: 1.5 倍行距"/>
    <w:basedOn w:val="7"/>
    <w:qFormat/>
    <w:uiPriority w:val="0"/>
    <w:pPr>
      <w:tabs>
        <w:tab w:val="left" w:pos="851"/>
      </w:tabs>
      <w:adjustRightInd w:val="0"/>
      <w:ind w:left="851" w:hanging="851"/>
    </w:pPr>
    <w:rPr>
      <w:b w:val="0"/>
      <w:sz w:val="24"/>
    </w:rPr>
  </w:style>
  <w:style w:type="paragraph" w:customStyle="1" w:styleId="518">
    <w:name w:val="样式1 样式 标题 2 + 段前: 0行"/>
    <w:basedOn w:val="5"/>
    <w:next w:val="1"/>
    <w:qFormat/>
    <w:uiPriority w:val="0"/>
    <w:pPr>
      <w:keepNext w:val="0"/>
      <w:keepLines w:val="0"/>
      <w:tabs>
        <w:tab w:val="left" w:pos="567"/>
        <w:tab w:val="clear" w:pos="720"/>
      </w:tabs>
      <w:snapToGrid w:val="0"/>
      <w:spacing w:line="276" w:lineRule="auto"/>
    </w:pPr>
    <w:rPr>
      <w:rFonts w:ascii="黑体" w:hAnsi="宋体" w:eastAsia="黑体"/>
      <w:sz w:val="21"/>
    </w:rPr>
  </w:style>
  <w:style w:type="paragraph" w:customStyle="1" w:styleId="519">
    <w:name w:val="1层标题 1 + 仿宋_GB2312 加粗"/>
    <w:basedOn w:val="4"/>
    <w:qFormat/>
    <w:uiPriority w:val="0"/>
    <w:pPr>
      <w:tabs>
        <w:tab w:val="left" w:pos="432"/>
      </w:tabs>
    </w:pPr>
    <w:rPr>
      <w:rFonts w:ascii="仿宋_GB2312" w:hAnsi="仿宋_GB2312" w:eastAsia="仿宋_GB2312"/>
      <w:sz w:val="32"/>
    </w:rPr>
  </w:style>
  <w:style w:type="paragraph" w:customStyle="1" w:styleId="520">
    <w:name w:val="术语定义四级条标题"/>
    <w:basedOn w:val="305"/>
    <w:next w:val="221"/>
    <w:qFormat/>
    <w:uiPriority w:val="0"/>
    <w:pPr>
      <w:tabs>
        <w:tab w:val="left" w:pos="1077"/>
        <w:tab w:val="clear" w:pos="420"/>
      </w:tabs>
    </w:pPr>
  </w:style>
  <w:style w:type="paragraph" w:customStyle="1" w:styleId="521">
    <w:name w:val="标准标志"/>
    <w:next w:val="1"/>
    <w:qFormat/>
    <w:uiPriority w:val="0"/>
    <w:pPr>
      <w:shd w:val="solid" w:color="FFFFFF" w:fill="FFFFFF"/>
      <w:spacing w:before="156" w:after="156" w:line="0" w:lineRule="atLeast"/>
      <w:ind w:firstLine="482"/>
      <w:jc w:val="right"/>
    </w:pPr>
    <w:rPr>
      <w:rFonts w:ascii="Times New Roman" w:hAnsi="Times New Roman" w:eastAsia="宋体" w:cs="Times New Roman"/>
      <w:b/>
      <w:w w:val="130"/>
      <w:sz w:val="96"/>
      <w:lang w:val="en-US" w:eastAsia="zh-CN" w:bidi="ar-SA"/>
    </w:rPr>
  </w:style>
  <w:style w:type="paragraph" w:customStyle="1" w:styleId="522">
    <w:name w:val="Copyright"/>
    <w:basedOn w:val="2"/>
    <w:qFormat/>
    <w:uiPriority w:val="0"/>
    <w:pPr>
      <w:spacing w:line="240" w:lineRule="auto"/>
      <w:ind w:left="1440" w:firstLine="0"/>
    </w:pPr>
    <w:rPr>
      <w:rFonts w:ascii="Arial" w:hAnsi="Arial"/>
      <w:kern w:val="0"/>
      <w:sz w:val="20"/>
      <w:lang w:eastAsia="en-US"/>
    </w:rPr>
  </w:style>
  <w:style w:type="paragraph" w:customStyle="1" w:styleId="523">
    <w:name w:val="xl25"/>
    <w:basedOn w:val="1"/>
    <w:qFormat/>
    <w:uiPriority w:val="0"/>
    <w:pPr>
      <w:pBdr>
        <w:top w:val="single" w:color="auto" w:sz="8" w:space="0"/>
        <w:left w:val="double" w:color="auto" w:sz="6" w:space="0"/>
        <w:bottom w:val="single" w:color="auto" w:sz="4" w:space="0"/>
        <w:right w:val="single" w:color="auto" w:sz="8" w:space="0"/>
      </w:pBdr>
      <w:spacing w:before="100" w:beforeAutospacing="1" w:after="100" w:afterAutospacing="1" w:line="240" w:lineRule="auto"/>
      <w:ind w:firstLine="0"/>
    </w:pPr>
    <w:rPr>
      <w:rFonts w:ascii="宋体" w:hAnsi="宋体"/>
      <w:kern w:val="0"/>
      <w:sz w:val="28"/>
    </w:rPr>
  </w:style>
  <w:style w:type="paragraph" w:customStyle="1" w:styleId="524">
    <w:name w:val="默认段落字体 Para Char Char Char1 Char"/>
    <w:basedOn w:val="1"/>
    <w:qFormat/>
    <w:uiPriority w:val="0"/>
    <w:pPr>
      <w:adjustRightInd w:val="0"/>
      <w:ind w:firstLine="0"/>
    </w:pPr>
    <w:rPr>
      <w:kern w:val="0"/>
    </w:rPr>
  </w:style>
  <w:style w:type="paragraph" w:customStyle="1" w:styleId="525">
    <w:name w:val="1 Char Char Char Char"/>
    <w:basedOn w:val="1"/>
    <w:qFormat/>
    <w:uiPriority w:val="0"/>
    <w:pPr>
      <w:ind w:firstLine="0"/>
    </w:pPr>
  </w:style>
  <w:style w:type="paragraph" w:customStyle="1" w:styleId="526">
    <w:name w:val="NOTE"/>
    <w:basedOn w:val="468"/>
    <w:qFormat/>
    <w:uiPriority w:val="0"/>
    <w:pPr>
      <w:tabs>
        <w:tab w:val="left" w:pos="709"/>
        <w:tab w:val="clear" w:pos="4536"/>
        <w:tab w:val="clear" w:pos="9072"/>
      </w:tabs>
      <w:spacing w:before="0" w:after="100"/>
    </w:pPr>
    <w:rPr>
      <w:sz w:val="16"/>
    </w:rPr>
  </w:style>
  <w:style w:type="paragraph" w:customStyle="1" w:styleId="527">
    <w:name w:val="注："/>
    <w:next w:val="221"/>
    <w:qFormat/>
    <w:uiPriority w:val="0"/>
    <w:pPr>
      <w:widowControl w:val="0"/>
      <w:autoSpaceDE w:val="0"/>
      <w:autoSpaceDN w:val="0"/>
      <w:spacing w:before="156" w:after="156" w:line="360" w:lineRule="auto"/>
      <w:ind w:left="840" w:hanging="420"/>
      <w:jc w:val="both"/>
    </w:pPr>
    <w:rPr>
      <w:rFonts w:ascii="宋体" w:hAnsi="Times New Roman" w:eastAsia="宋体" w:cs="Times New Roman"/>
      <w:sz w:val="18"/>
      <w:lang w:val="en-US" w:eastAsia="zh-CN" w:bidi="ar-SA"/>
    </w:rPr>
  </w:style>
  <w:style w:type="paragraph" w:customStyle="1" w:styleId="528">
    <w:name w:val="列项·"/>
    <w:qFormat/>
    <w:uiPriority w:val="0"/>
    <w:pPr>
      <w:tabs>
        <w:tab w:val="left" w:pos="840"/>
      </w:tabs>
      <w:spacing w:before="156" w:after="156" w:line="360" w:lineRule="auto"/>
      <w:ind w:left="840" w:leftChars="200" w:hanging="420" w:hangingChars="200"/>
      <w:jc w:val="both"/>
    </w:pPr>
    <w:rPr>
      <w:rFonts w:ascii="宋体" w:hAnsi="Times New Roman" w:eastAsia="宋体" w:cs="Times New Roman"/>
      <w:sz w:val="21"/>
      <w:lang w:val="en-US" w:eastAsia="zh-CN" w:bidi="ar-SA"/>
    </w:rPr>
  </w:style>
  <w:style w:type="paragraph" w:customStyle="1" w:styleId="529">
    <w:name w:val="引言一级条标题"/>
    <w:basedOn w:val="1"/>
    <w:next w:val="221"/>
    <w:qFormat/>
    <w:uiPriority w:val="0"/>
    <w:pPr>
      <w:tabs>
        <w:tab w:val="left" w:pos="360"/>
      </w:tabs>
      <w:spacing w:line="240" w:lineRule="auto"/>
      <w:ind w:firstLine="0"/>
    </w:pPr>
    <w:rPr>
      <w:rFonts w:eastAsia="黑体"/>
      <w:b/>
      <w:sz w:val="21"/>
    </w:rPr>
  </w:style>
  <w:style w:type="paragraph" w:customStyle="1" w:styleId="530">
    <w:name w:val="样式 正文首行缩进 + 首行缩进:  1 字符1"/>
    <w:basedOn w:val="69"/>
    <w:qFormat/>
    <w:uiPriority w:val="0"/>
    <w:pPr>
      <w:spacing w:line="276" w:lineRule="auto"/>
      <w:ind w:left="200" w:leftChars="200" w:firstLine="200" w:firstLineChars="200"/>
    </w:pPr>
  </w:style>
  <w:style w:type="paragraph" w:customStyle="1" w:styleId="531">
    <w:name w:val="xl53"/>
    <w:basedOn w:val="1"/>
    <w:qFormat/>
    <w:uiPriority w:val="0"/>
    <w:pPr>
      <w:pBdr>
        <w:top w:val="single" w:color="auto" w:sz="8" w:space="0"/>
      </w:pBdr>
      <w:spacing w:before="100" w:beforeAutospacing="1" w:after="100" w:afterAutospacing="1" w:line="240" w:lineRule="auto"/>
      <w:ind w:firstLine="0"/>
    </w:pPr>
    <w:rPr>
      <w:rFonts w:ascii="宋体" w:hAnsi="宋体"/>
      <w:kern w:val="0"/>
    </w:rPr>
  </w:style>
  <w:style w:type="paragraph" w:customStyle="1" w:styleId="532">
    <w:name w:val="xl52"/>
    <w:basedOn w:val="1"/>
    <w:qFormat/>
    <w:uiPriority w:val="0"/>
    <w:pPr>
      <w:pBdr>
        <w:top w:val="single" w:color="auto" w:sz="8" w:space="0"/>
        <w:bottom w:val="single" w:color="auto" w:sz="8" w:space="0"/>
        <w:right w:val="single" w:color="auto" w:sz="8" w:space="0"/>
      </w:pBdr>
      <w:spacing w:before="100" w:beforeAutospacing="1" w:after="100" w:afterAutospacing="1" w:line="240" w:lineRule="auto"/>
      <w:ind w:firstLine="0"/>
    </w:pPr>
    <w:rPr>
      <w:rFonts w:ascii="宋体" w:hAnsi="宋体"/>
      <w:kern w:val="0"/>
    </w:rPr>
  </w:style>
  <w:style w:type="paragraph" w:customStyle="1" w:styleId="533">
    <w:name w:val="Item List"/>
    <w:qFormat/>
    <w:uiPriority w:val="0"/>
    <w:pPr>
      <w:spacing w:before="156" w:after="156" w:line="300" w:lineRule="auto"/>
      <w:ind w:firstLine="482"/>
      <w:jc w:val="both"/>
    </w:pPr>
    <w:rPr>
      <w:rFonts w:ascii="Arial" w:hAnsi="Arial" w:eastAsia="宋体" w:cs="Times New Roman"/>
      <w:color w:val="000000"/>
      <w:sz w:val="24"/>
      <w:lang w:val="en-US" w:eastAsia="zh-CN" w:bidi="ar-SA"/>
    </w:rPr>
  </w:style>
  <w:style w:type="paragraph" w:customStyle="1" w:styleId="534">
    <w:name w:val="字元 字元 Char Char 字元 字元 Char Char 字元 字元 Char Char 字元 字元 Char Char 字元 字元 Char Char 字元 字元 Char1"/>
    <w:basedOn w:val="80"/>
    <w:qFormat/>
    <w:uiPriority w:val="0"/>
    <w:pPr>
      <w:spacing w:line="240" w:lineRule="auto"/>
      <w:ind w:firstLine="0"/>
    </w:pPr>
    <w:rPr>
      <w:rFonts w:ascii="Tahoma" w:hAnsi="Tahoma"/>
      <w:kern w:val="0"/>
    </w:rPr>
  </w:style>
  <w:style w:type="paragraph" w:customStyle="1" w:styleId="535">
    <w:name w:val="封面一致性程度标识"/>
    <w:qFormat/>
    <w:uiPriority w:val="0"/>
    <w:pPr>
      <w:spacing w:before="440" w:after="156" w:line="400" w:lineRule="exact"/>
      <w:ind w:firstLine="482"/>
      <w:jc w:val="center"/>
    </w:pPr>
    <w:rPr>
      <w:rFonts w:ascii="宋体" w:hAnsi="Times New Roman" w:eastAsia="宋体" w:cs="Times New Roman"/>
      <w:sz w:val="28"/>
      <w:lang w:val="en-US" w:eastAsia="zh-CN" w:bidi="ar-SA"/>
    </w:rPr>
  </w:style>
  <w:style w:type="paragraph" w:customStyle="1" w:styleId="536">
    <w:name w:val="默认段落字体 Para Char Char Char Char Char Char Char Char Char Char Char Char Char Char Char Char Char Char Char Char Char Char Char Char Char Char Char Char Char"/>
    <w:basedOn w:val="80"/>
    <w:qFormat/>
    <w:uiPriority w:val="0"/>
    <w:pPr>
      <w:spacing w:line="240" w:lineRule="auto"/>
      <w:ind w:firstLine="0"/>
    </w:pPr>
    <w:rPr>
      <w:kern w:val="0"/>
      <w:sz w:val="21"/>
    </w:rPr>
  </w:style>
  <w:style w:type="paragraph" w:customStyle="1" w:styleId="537">
    <w:name w:val="项目正文"/>
    <w:qFormat/>
    <w:uiPriority w:val="0"/>
    <w:pPr>
      <w:tabs>
        <w:tab w:val="left" w:pos="851"/>
      </w:tabs>
      <w:spacing w:before="156" w:after="156" w:line="360" w:lineRule="auto"/>
      <w:ind w:left="851" w:hanging="284"/>
      <w:jc w:val="both"/>
    </w:pPr>
    <w:rPr>
      <w:rFonts w:ascii="Arial" w:hAnsi="Arial" w:eastAsia="宋体" w:cs="Times New Roman"/>
      <w:kern w:val="2"/>
      <w:sz w:val="18"/>
      <w:lang w:val="en-US" w:eastAsia="zh-CN" w:bidi="ar-SA"/>
    </w:rPr>
  </w:style>
  <w:style w:type="paragraph" w:customStyle="1" w:styleId="538">
    <w:name w:val="5"/>
    <w:basedOn w:val="1"/>
    <w:next w:val="78"/>
    <w:qFormat/>
    <w:uiPriority w:val="0"/>
    <w:pPr>
      <w:spacing w:line="300" w:lineRule="auto"/>
      <w:ind w:firstLine="420"/>
    </w:pPr>
  </w:style>
  <w:style w:type="paragraph" w:customStyle="1" w:styleId="539">
    <w:name w:val="三级正文"/>
    <w:basedOn w:val="1"/>
    <w:qFormat/>
    <w:uiPriority w:val="0"/>
    <w:pPr>
      <w:tabs>
        <w:tab w:val="left" w:pos="3120"/>
      </w:tabs>
      <w:autoSpaceDE w:val="0"/>
      <w:autoSpaceDN w:val="0"/>
      <w:adjustRightInd w:val="0"/>
      <w:snapToGrid w:val="0"/>
      <w:ind w:left="3120" w:hanging="709"/>
    </w:pPr>
    <w:rPr>
      <w:rFonts w:hAnsi="宋体"/>
      <w:kern w:val="24"/>
    </w:rPr>
  </w:style>
  <w:style w:type="paragraph" w:customStyle="1" w:styleId="540">
    <w:name w:val="Dot Text"/>
    <w:basedOn w:val="1"/>
    <w:qFormat/>
    <w:uiPriority w:val="0"/>
    <w:pPr>
      <w:tabs>
        <w:tab w:val="left" w:pos="420"/>
      </w:tabs>
      <w:adjustRightInd w:val="0"/>
      <w:spacing w:line="300" w:lineRule="auto"/>
      <w:ind w:left="420" w:firstLine="0"/>
    </w:pPr>
    <w:rPr>
      <w:rFonts w:ascii="宋体" w:hAnsi="宋体" w:eastAsia="仿宋_GB2312"/>
      <w:sz w:val="28"/>
    </w:rPr>
  </w:style>
  <w:style w:type="paragraph" w:customStyle="1" w:styleId="541">
    <w:name w:val="Char1 Char Char Char2"/>
    <w:basedOn w:val="1"/>
    <w:qFormat/>
    <w:uiPriority w:val="0"/>
    <w:pPr>
      <w:spacing w:before="100" w:beforeAutospacing="1" w:after="100" w:afterAutospacing="1" w:line="330" w:lineRule="atLeast"/>
      <w:ind w:left="360" w:firstLine="0"/>
    </w:pPr>
    <w:rPr>
      <w:rFonts w:ascii="ˎ̥" w:hAnsi="ˎ̥"/>
      <w:color w:val="51585D"/>
      <w:kern w:val="0"/>
      <w:sz w:val="21"/>
    </w:rPr>
  </w:style>
  <w:style w:type="paragraph" w:customStyle="1" w:styleId="542">
    <w:name w:val="科东_缩排_2"/>
    <w:basedOn w:val="1"/>
    <w:next w:val="237"/>
    <w:qFormat/>
    <w:uiPriority w:val="0"/>
    <w:pPr>
      <w:tabs>
        <w:tab w:val="left" w:pos="1320"/>
      </w:tabs>
      <w:ind w:left="1320" w:firstLine="0"/>
    </w:pPr>
  </w:style>
  <w:style w:type="paragraph" w:customStyle="1" w:styleId="543">
    <w:name w:val="Char2"/>
    <w:basedOn w:val="1"/>
    <w:qFormat/>
    <w:uiPriority w:val="0"/>
    <w:pPr>
      <w:spacing w:line="240" w:lineRule="auto"/>
      <w:ind w:firstLine="0"/>
    </w:pPr>
    <w:rPr>
      <w:rFonts w:ascii="Tahoma" w:hAnsi="Tahoma"/>
    </w:rPr>
  </w:style>
  <w:style w:type="paragraph" w:customStyle="1" w:styleId="544">
    <w:name w:val="标准书眉_奇数页"/>
    <w:next w:val="1"/>
    <w:qFormat/>
    <w:uiPriority w:val="0"/>
    <w:pPr>
      <w:tabs>
        <w:tab w:val="center" w:pos="4154"/>
        <w:tab w:val="right" w:pos="8306"/>
      </w:tabs>
      <w:spacing w:before="156" w:after="120" w:line="360" w:lineRule="auto"/>
      <w:ind w:firstLine="482"/>
      <w:jc w:val="right"/>
    </w:pPr>
    <w:rPr>
      <w:rFonts w:ascii="Times New Roman" w:hAnsi="Times New Roman" w:eastAsia="宋体" w:cs="Times New Roman"/>
      <w:sz w:val="21"/>
      <w:lang w:val="en-US" w:eastAsia="zh-CN" w:bidi="ar-SA"/>
    </w:rPr>
  </w:style>
  <w:style w:type="paragraph" w:customStyle="1" w:styleId="545">
    <w:name w:val="样式 正文文字缩进 + 首行缩进:  2 字符"/>
    <w:basedOn w:val="1"/>
    <w:qFormat/>
    <w:uiPriority w:val="0"/>
    <w:pPr>
      <w:ind w:firstLine="480"/>
    </w:pPr>
    <w:rPr>
      <w:rFonts w:ascii="宋体"/>
      <w:kern w:val="0"/>
    </w:rPr>
  </w:style>
  <w:style w:type="paragraph" w:customStyle="1" w:styleId="546">
    <w:name w:val="xl125"/>
    <w:basedOn w:val="1"/>
    <w:qFormat/>
    <w:uiPriority w:val="0"/>
    <w:pPr>
      <w:spacing w:before="100" w:beforeAutospacing="1" w:after="100" w:afterAutospacing="1" w:line="240" w:lineRule="auto"/>
      <w:ind w:firstLine="0"/>
    </w:pPr>
    <w:rPr>
      <w:rFonts w:ascii="宋体" w:hAnsi="宋体"/>
      <w:kern w:val="0"/>
      <w:sz w:val="20"/>
    </w:rPr>
  </w:style>
  <w:style w:type="paragraph" w:customStyle="1" w:styleId="547">
    <w:name w:val="引文目录标题1"/>
    <w:basedOn w:val="1"/>
    <w:next w:val="1"/>
    <w:qFormat/>
    <w:uiPriority w:val="0"/>
    <w:pPr>
      <w:ind w:firstLine="0"/>
    </w:pPr>
    <w:rPr>
      <w:rFonts w:ascii="Arial" w:hAnsi="Arial"/>
    </w:rPr>
  </w:style>
  <w:style w:type="paragraph" w:customStyle="1" w:styleId="548">
    <w:name w:val="xl68"/>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color w:val="000000"/>
      <w:kern w:val="0"/>
      <w:sz w:val="32"/>
    </w:rPr>
  </w:style>
  <w:style w:type="paragraph" w:customStyle="1" w:styleId="549">
    <w:name w:val="表格列标题"/>
    <w:basedOn w:val="1"/>
    <w:qFormat/>
    <w:uiPriority w:val="0"/>
    <w:pPr>
      <w:keepNext/>
      <w:autoSpaceDE w:val="0"/>
      <w:autoSpaceDN w:val="0"/>
      <w:adjustRightInd w:val="0"/>
      <w:spacing w:line="240" w:lineRule="auto"/>
      <w:ind w:firstLine="0"/>
    </w:pPr>
    <w:rPr>
      <w:b/>
      <w:kern w:val="0"/>
      <w:sz w:val="21"/>
    </w:rPr>
  </w:style>
  <w:style w:type="paragraph" w:customStyle="1" w:styleId="550">
    <w:name w:val="二级栏目标题"/>
    <w:basedOn w:val="5"/>
    <w:qFormat/>
    <w:uiPriority w:val="0"/>
    <w:pPr>
      <w:keepNext w:val="0"/>
      <w:keepLines w:val="0"/>
      <w:tabs>
        <w:tab w:val="left" w:pos="425"/>
        <w:tab w:val="clear" w:pos="720"/>
      </w:tabs>
      <w:spacing w:before="260" w:after="260" w:line="415" w:lineRule="auto"/>
      <w:ind w:left="425" w:hanging="425"/>
    </w:pPr>
    <w:rPr>
      <w:rFonts w:ascii="Cambria" w:hAnsi="Cambria" w:eastAsia="黑体"/>
      <w:b w:val="0"/>
      <w:smallCaps/>
      <w:kern w:val="0"/>
      <w:lang w:eastAsia="en-US"/>
    </w:rPr>
  </w:style>
  <w:style w:type="paragraph" w:customStyle="1" w:styleId="551">
    <w:name w:val="正文－1级标题－箭头符号"/>
    <w:basedOn w:val="1"/>
    <w:next w:val="66"/>
    <w:qFormat/>
    <w:uiPriority w:val="0"/>
    <w:pPr>
      <w:tabs>
        <w:tab w:val="left" w:pos="420"/>
      </w:tabs>
      <w:spacing w:line="240" w:lineRule="auto"/>
      <w:ind w:left="839" w:firstLine="0"/>
    </w:pPr>
    <w:rPr>
      <w:rFonts w:ascii="Tahoma" w:hAnsi="Tahoma" w:eastAsia="黑体"/>
      <w:kern w:val="0"/>
      <w:sz w:val="28"/>
    </w:rPr>
  </w:style>
  <w:style w:type="paragraph" w:customStyle="1" w:styleId="552">
    <w:name w:val="一级编号----一体化"/>
    <w:basedOn w:val="1"/>
    <w:qFormat/>
    <w:uiPriority w:val="0"/>
    <w:pPr>
      <w:snapToGrid w:val="0"/>
      <w:spacing w:line="300" w:lineRule="auto"/>
      <w:ind w:firstLine="0"/>
    </w:pPr>
    <w:rPr>
      <w:rFonts w:ascii="宋体" w:hAnsi="宋体"/>
      <w:sz w:val="28"/>
    </w:rPr>
  </w:style>
  <w:style w:type="paragraph" w:customStyle="1" w:styleId="553">
    <w:name w:val="xl72"/>
    <w:basedOn w:val="1"/>
    <w:qFormat/>
    <w:uiPriority w:val="0"/>
    <w:pPr>
      <w:spacing w:before="100" w:beforeAutospacing="1" w:after="100" w:afterAutospacing="1" w:line="240" w:lineRule="auto"/>
      <w:ind w:firstLine="0"/>
    </w:pPr>
    <w:rPr>
      <w:rFonts w:ascii="宋体" w:hAnsi="宋体"/>
      <w:kern w:val="0"/>
    </w:rPr>
  </w:style>
  <w:style w:type="paragraph" w:customStyle="1" w:styleId="554">
    <w:name w:val="样式 正文（首行缩进两字） + 段前: 0.5 行 段后: 0.5 行"/>
    <w:basedOn w:val="78"/>
    <w:qFormat/>
    <w:uiPriority w:val="0"/>
    <w:pPr>
      <w:spacing w:line="400" w:lineRule="atLeast"/>
    </w:pPr>
    <w:rPr>
      <w:sz w:val="24"/>
    </w:rPr>
  </w:style>
  <w:style w:type="paragraph" w:customStyle="1" w:styleId="555">
    <w:name w:val="工程建设款标题"/>
    <w:basedOn w:val="452"/>
    <w:qFormat/>
    <w:uiPriority w:val="0"/>
    <w:pPr>
      <w:outlineLvl w:val="9"/>
    </w:pPr>
  </w:style>
  <w:style w:type="paragraph" w:customStyle="1" w:styleId="556">
    <w:name w:val="样式 标题 4H4L4h44th level4 + 段前: 0.5 行"/>
    <w:basedOn w:val="7"/>
    <w:qFormat/>
    <w:uiPriority w:val="0"/>
    <w:pPr>
      <w:keepLines w:val="0"/>
      <w:numPr>
        <w:numId w:val="0"/>
      </w:numPr>
      <w:tabs>
        <w:tab w:val="left" w:pos="2356"/>
      </w:tabs>
      <w:adjustRightInd w:val="0"/>
      <w:snapToGrid w:val="0"/>
      <w:spacing w:before="163" w:line="240" w:lineRule="auto"/>
      <w:ind w:left="1984" w:hanging="708"/>
    </w:pPr>
    <w:rPr>
      <w:rFonts w:eastAsia="黑体"/>
      <w:sz w:val="24"/>
    </w:rPr>
  </w:style>
  <w:style w:type="paragraph" w:customStyle="1" w:styleId="557">
    <w:name w:val="样式 右侧:  0 厘米 左  0 字符 首行缩进:  0 字符"/>
    <w:basedOn w:val="1"/>
    <w:qFormat/>
    <w:uiPriority w:val="0"/>
    <w:pPr>
      <w:topLinePunct/>
      <w:adjustRightInd w:val="0"/>
      <w:snapToGrid w:val="0"/>
      <w:ind w:firstLine="0"/>
      <w:textAlignment w:val="center"/>
    </w:pPr>
    <w:rPr>
      <w:kern w:val="0"/>
      <w:sz w:val="32"/>
    </w:rPr>
  </w:style>
  <w:style w:type="paragraph" w:customStyle="1" w:styleId="558">
    <w:name w:val="Char Char Char Char Char Char Char Char Char Char Char Char Char Char Char Char Char Char Char Char Char Char"/>
    <w:basedOn w:val="1"/>
    <w:qFormat/>
    <w:uiPriority w:val="0"/>
    <w:pPr>
      <w:spacing w:line="400" w:lineRule="exact"/>
      <w:ind w:firstLine="0"/>
    </w:pPr>
  </w:style>
  <w:style w:type="paragraph" w:customStyle="1" w:styleId="559">
    <w:name w:val="xl101"/>
    <w:basedOn w:val="1"/>
    <w:qFormat/>
    <w:uiPriority w:val="0"/>
    <w:pPr>
      <w:pBdr>
        <w:top w:val="single" w:color="auto" w:sz="4" w:space="0"/>
        <w:left w:val="single" w:color="auto" w:sz="4" w:space="0"/>
        <w:bottom w:val="single" w:color="auto" w:sz="4" w:space="0"/>
        <w:right w:val="single" w:color="auto" w:sz="4" w:space="0"/>
      </w:pBdr>
      <w:shd w:val="clear" w:color="000000" w:fill="75923C"/>
      <w:spacing w:before="100" w:beforeAutospacing="1" w:after="100" w:afterAutospacing="1" w:line="240" w:lineRule="auto"/>
      <w:ind w:firstLine="0"/>
    </w:pPr>
    <w:rPr>
      <w:kern w:val="0"/>
    </w:rPr>
  </w:style>
  <w:style w:type="paragraph" w:customStyle="1" w:styleId="560">
    <w:name w:val="abcd"/>
    <w:basedOn w:val="1"/>
    <w:qFormat/>
    <w:uiPriority w:val="0"/>
    <w:pPr>
      <w:spacing w:line="276" w:lineRule="auto"/>
      <w:ind w:left="840" w:hanging="420"/>
    </w:pPr>
    <w:rPr>
      <w:rFonts w:ascii="宋体" w:hAnsi="宋体"/>
      <w:color w:val="FF0000"/>
      <w:sz w:val="21"/>
    </w:rPr>
  </w:style>
  <w:style w:type="paragraph" w:customStyle="1" w:styleId="561">
    <w:name w:val="样式1 样式 标题 5 + 段前: 0 行"/>
    <w:basedOn w:val="1"/>
    <w:next w:val="1"/>
    <w:qFormat/>
    <w:uiPriority w:val="0"/>
    <w:pPr>
      <w:tabs>
        <w:tab w:val="left" w:pos="1080"/>
      </w:tabs>
      <w:snapToGrid w:val="0"/>
      <w:spacing w:beforeLines="10" w:line="300" w:lineRule="auto"/>
      <w:ind w:firstLine="0"/>
      <w:outlineLvl w:val="4"/>
    </w:pPr>
    <w:rPr>
      <w:rFonts w:eastAsia="黑体"/>
      <w:sz w:val="21"/>
    </w:rPr>
  </w:style>
  <w:style w:type="paragraph" w:customStyle="1" w:styleId="562">
    <w:name w:val="样式1 样式 标题 3 + 段前: 0.1 行 + 段前: 0.1 行"/>
    <w:basedOn w:val="1"/>
    <w:qFormat/>
    <w:uiPriority w:val="0"/>
    <w:pPr>
      <w:tabs>
        <w:tab w:val="left" w:pos="454"/>
      </w:tabs>
      <w:snapToGrid w:val="0"/>
      <w:spacing w:line="300" w:lineRule="auto"/>
      <w:ind w:firstLine="0"/>
      <w:outlineLvl w:val="2"/>
    </w:pPr>
    <w:rPr>
      <w:rFonts w:eastAsia="黑体"/>
      <w:sz w:val="21"/>
    </w:rPr>
  </w:style>
  <w:style w:type="paragraph" w:customStyle="1" w:styleId="563">
    <w:name w:val="Char Char Char Char Char Char Char1 Char Char Char Char Char Char"/>
    <w:basedOn w:val="1"/>
    <w:qFormat/>
    <w:uiPriority w:val="0"/>
    <w:pPr>
      <w:tabs>
        <w:tab w:val="left" w:pos="840"/>
      </w:tabs>
      <w:spacing w:line="240" w:lineRule="auto"/>
      <w:ind w:firstLine="0"/>
    </w:pPr>
    <w:rPr>
      <w:sz w:val="21"/>
    </w:rPr>
  </w:style>
  <w:style w:type="paragraph" w:customStyle="1" w:styleId="564">
    <w:name w:val="字元 字元 Char Char Char1"/>
    <w:basedOn w:val="80"/>
    <w:qFormat/>
    <w:uiPriority w:val="0"/>
    <w:pPr>
      <w:spacing w:line="240" w:lineRule="auto"/>
      <w:ind w:firstLine="0"/>
    </w:pPr>
    <w:rPr>
      <w:rFonts w:ascii="Tahoma" w:hAnsi="Tahoma"/>
      <w:kern w:val="0"/>
    </w:rPr>
  </w:style>
  <w:style w:type="paragraph" w:customStyle="1" w:styleId="565">
    <w:name w:val="xl106"/>
    <w:basedOn w:val="1"/>
    <w:qFormat/>
    <w:uiPriority w:val="0"/>
    <w:pPr>
      <w:pBdr>
        <w:bottom w:val="single" w:color="auto" w:sz="4" w:space="0"/>
      </w:pBdr>
      <w:spacing w:before="100" w:beforeAutospacing="1" w:after="100" w:afterAutospacing="1" w:line="240" w:lineRule="auto"/>
      <w:ind w:firstLine="0"/>
    </w:pPr>
    <w:rPr>
      <w:rFonts w:ascii="宋体" w:hAnsi="宋体"/>
      <w:kern w:val="0"/>
    </w:rPr>
  </w:style>
  <w:style w:type="paragraph" w:customStyle="1" w:styleId="566">
    <w:name w:val="样式 左侧:  0 厘米 悬挂缩进: 2 字符 行距: 1.5 倍行距"/>
    <w:basedOn w:val="1"/>
    <w:qFormat/>
    <w:uiPriority w:val="0"/>
    <w:pPr>
      <w:ind w:left="420" w:hanging="420" w:hangingChars="200"/>
    </w:pPr>
    <w:rPr>
      <w:rFonts w:ascii="Calibri" w:hAnsi="Calibri"/>
    </w:rPr>
  </w:style>
  <w:style w:type="paragraph" w:customStyle="1" w:styleId="567">
    <w:name w:val="xl1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sz w:val="20"/>
    </w:rPr>
  </w:style>
  <w:style w:type="paragraph" w:customStyle="1" w:styleId="568">
    <w:name w:val="Char Char Char Char Char Char Char Char Char1 Char Char Char"/>
    <w:basedOn w:val="1"/>
    <w:qFormat/>
    <w:uiPriority w:val="0"/>
    <w:pPr>
      <w:spacing w:line="240" w:lineRule="auto"/>
      <w:ind w:firstLine="0"/>
    </w:pPr>
    <w:rPr>
      <w:rFonts w:eastAsia="仿宋_GB2312"/>
      <w:sz w:val="32"/>
    </w:rPr>
  </w:style>
  <w:style w:type="paragraph" w:customStyle="1" w:styleId="569">
    <w:name w:val="封面标准英文名称"/>
    <w:qFormat/>
    <w:uiPriority w:val="0"/>
    <w:pPr>
      <w:widowControl w:val="0"/>
      <w:spacing w:before="370" w:after="156" w:line="400" w:lineRule="exact"/>
      <w:ind w:firstLine="482"/>
      <w:jc w:val="center"/>
    </w:pPr>
    <w:rPr>
      <w:rFonts w:ascii="Times New Roman" w:hAnsi="Times New Roman" w:eastAsia="宋体" w:cs="Times New Roman"/>
      <w:sz w:val="28"/>
      <w:lang w:val="en-US" w:eastAsia="zh-CN" w:bidi="ar-SA"/>
    </w:rPr>
  </w:style>
  <w:style w:type="paragraph" w:customStyle="1" w:styleId="570">
    <w:name w:val="列表编号 41"/>
    <w:basedOn w:val="15"/>
    <w:qFormat/>
    <w:uiPriority w:val="0"/>
    <w:pPr>
      <w:spacing w:after="240" w:line="240" w:lineRule="atLeast"/>
      <w:ind w:left="720"/>
    </w:pPr>
    <w:rPr>
      <w:rFonts w:ascii="Garamond" w:hAnsi="Garamond"/>
      <w:color w:val="auto"/>
      <w:sz w:val="21"/>
      <w:lang w:eastAsia="zh-CN"/>
    </w:rPr>
  </w:style>
  <w:style w:type="paragraph" w:customStyle="1" w:styleId="571">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b/>
      <w:color w:val="4F81BD"/>
      <w:kern w:val="0"/>
    </w:rPr>
  </w:style>
  <w:style w:type="paragraph" w:customStyle="1" w:styleId="572">
    <w:name w:val="font8"/>
    <w:basedOn w:val="1"/>
    <w:qFormat/>
    <w:uiPriority w:val="0"/>
    <w:pPr>
      <w:spacing w:before="100" w:beforeAutospacing="1" w:after="100" w:afterAutospacing="1" w:line="240" w:lineRule="auto"/>
      <w:ind w:firstLine="0"/>
    </w:pPr>
    <w:rPr>
      <w:rFonts w:ascii="宋体" w:hAnsi="宋体"/>
      <w:b/>
      <w:color w:val="000000"/>
      <w:kern w:val="0"/>
      <w:sz w:val="18"/>
    </w:rPr>
  </w:style>
  <w:style w:type="paragraph" w:customStyle="1" w:styleId="573">
    <w:name w:val="引言二级条标题"/>
    <w:basedOn w:val="529"/>
    <w:next w:val="221"/>
    <w:qFormat/>
    <w:uiPriority w:val="0"/>
    <w:pPr>
      <w:tabs>
        <w:tab w:val="clear" w:pos="360"/>
      </w:tabs>
    </w:pPr>
  </w:style>
  <w:style w:type="paragraph" w:customStyle="1" w:styleId="574">
    <w:name w:val="xl48"/>
    <w:basedOn w:val="1"/>
    <w:qFormat/>
    <w:uiPriority w:val="0"/>
    <w:pPr>
      <w:pBdr>
        <w:top w:val="single" w:color="auto" w:sz="8" w:space="0"/>
        <w:left w:val="single" w:color="auto" w:sz="8" w:space="0"/>
        <w:bottom w:val="single" w:color="auto" w:sz="8" w:space="0"/>
      </w:pBdr>
      <w:shd w:val="clear" w:color="auto" w:fill="FF0000"/>
      <w:spacing w:before="100" w:beforeAutospacing="1" w:after="100" w:afterAutospacing="1" w:line="240" w:lineRule="auto"/>
      <w:ind w:firstLine="0"/>
    </w:pPr>
    <w:rPr>
      <w:rFonts w:ascii="宋体" w:hAnsi="宋体"/>
      <w:kern w:val="0"/>
    </w:rPr>
  </w:style>
  <w:style w:type="paragraph" w:customStyle="1" w:styleId="575">
    <w:name w:val="xl33"/>
    <w:basedOn w:val="1"/>
    <w:qFormat/>
    <w:uiPriority w:val="0"/>
    <w:pPr>
      <w:pBdr>
        <w:left w:val="double" w:color="auto" w:sz="6" w:space="0"/>
      </w:pBdr>
      <w:spacing w:before="100" w:beforeAutospacing="1" w:after="100" w:afterAutospacing="1" w:line="240" w:lineRule="auto"/>
      <w:ind w:firstLine="0"/>
    </w:pPr>
    <w:rPr>
      <w:rFonts w:ascii="宋体" w:hAnsi="宋体"/>
      <w:b/>
      <w:kern w:val="0"/>
      <w:sz w:val="28"/>
    </w:rPr>
  </w:style>
  <w:style w:type="paragraph" w:customStyle="1" w:styleId="576">
    <w:name w:val="xl35"/>
    <w:basedOn w:val="1"/>
    <w:qFormat/>
    <w:uiPriority w:val="0"/>
    <w:pPr>
      <w:pBdr>
        <w:right w:val="double" w:color="auto" w:sz="6" w:space="0"/>
      </w:pBdr>
      <w:spacing w:before="100" w:beforeAutospacing="1" w:after="100" w:afterAutospacing="1" w:line="240" w:lineRule="auto"/>
      <w:ind w:firstLine="0"/>
    </w:pPr>
    <w:rPr>
      <w:rFonts w:ascii="宋体" w:hAnsi="宋体"/>
      <w:b/>
      <w:kern w:val="0"/>
      <w:sz w:val="28"/>
    </w:rPr>
  </w:style>
  <w:style w:type="paragraph" w:customStyle="1" w:styleId="577">
    <w:name w:val="封面正文"/>
    <w:qFormat/>
    <w:uiPriority w:val="0"/>
    <w:pPr>
      <w:spacing w:before="156" w:after="156" w:line="360" w:lineRule="auto"/>
      <w:ind w:firstLine="482"/>
      <w:jc w:val="both"/>
    </w:pPr>
    <w:rPr>
      <w:rFonts w:ascii="Times New Roman" w:hAnsi="Times New Roman" w:eastAsia="宋体" w:cs="Times New Roman"/>
      <w:lang w:val="en-US" w:eastAsia="zh-CN" w:bidi="ar-SA"/>
    </w:rPr>
  </w:style>
  <w:style w:type="paragraph" w:customStyle="1" w:styleId="578">
    <w:name w:val="索引 41"/>
    <w:basedOn w:val="1"/>
    <w:next w:val="1"/>
    <w:qFormat/>
    <w:uiPriority w:val="0"/>
    <w:pPr>
      <w:spacing w:line="240" w:lineRule="auto"/>
      <w:ind w:left="600" w:leftChars="600" w:firstLine="0"/>
    </w:pPr>
    <w:rPr>
      <w:sz w:val="21"/>
    </w:rPr>
  </w:style>
  <w:style w:type="paragraph" w:customStyle="1" w:styleId="579">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rFonts w:ascii="宋体" w:hAnsi="宋体"/>
      <w:color w:val="000000"/>
      <w:kern w:val="0"/>
      <w:sz w:val="32"/>
    </w:rPr>
  </w:style>
  <w:style w:type="paragraph" w:customStyle="1" w:styleId="580">
    <w:name w:val="样式 样式 标题 4 + Times New Roman + 段前: 0.5 行 段后: 0.5 行1"/>
    <w:basedOn w:val="1"/>
    <w:qFormat/>
    <w:uiPriority w:val="0"/>
    <w:pPr>
      <w:keepNext/>
      <w:keepLines/>
      <w:tabs>
        <w:tab w:val="left" w:pos="0"/>
      </w:tabs>
      <w:ind w:firstLine="0"/>
      <w:outlineLvl w:val="3"/>
    </w:pPr>
    <w:rPr>
      <w:b/>
    </w:rPr>
  </w:style>
  <w:style w:type="paragraph" w:customStyle="1" w:styleId="581">
    <w:name w:val="图表插入点"/>
    <w:basedOn w:val="1"/>
    <w:qFormat/>
    <w:uiPriority w:val="0"/>
    <w:pPr>
      <w:snapToGrid w:val="0"/>
      <w:spacing w:line="240" w:lineRule="auto"/>
      <w:ind w:firstLine="0"/>
    </w:pPr>
  </w:style>
  <w:style w:type="paragraph" w:customStyle="1" w:styleId="582">
    <w:name w:val="_列表编号1"/>
    <w:basedOn w:val="15"/>
    <w:qFormat/>
    <w:uiPriority w:val="0"/>
    <w:pPr>
      <w:snapToGrid w:val="0"/>
      <w:spacing w:line="276" w:lineRule="auto"/>
      <w:ind w:left="0" w:firstLine="0"/>
    </w:pPr>
    <w:rPr>
      <w:rFonts w:ascii="Arial" w:hAnsi="Arial"/>
      <w:color w:val="auto"/>
      <w:sz w:val="21"/>
      <w:lang w:eastAsia="zh-CN"/>
    </w:rPr>
  </w:style>
  <w:style w:type="paragraph" w:customStyle="1" w:styleId="583">
    <w:name w:val="特点标题"/>
    <w:basedOn w:val="1"/>
    <w:next w:val="78"/>
    <w:qFormat/>
    <w:uiPriority w:val="0"/>
    <w:pPr>
      <w:spacing w:line="240" w:lineRule="auto"/>
      <w:ind w:firstLine="0"/>
    </w:pPr>
  </w:style>
  <w:style w:type="paragraph" w:customStyle="1" w:styleId="584">
    <w:name w:val="索引 21"/>
    <w:basedOn w:val="1"/>
    <w:next w:val="1"/>
    <w:qFormat/>
    <w:uiPriority w:val="0"/>
    <w:pPr>
      <w:spacing w:line="240" w:lineRule="auto"/>
      <w:ind w:left="200" w:leftChars="200" w:firstLine="0"/>
    </w:pPr>
    <w:rPr>
      <w:sz w:val="21"/>
    </w:rPr>
  </w:style>
  <w:style w:type="paragraph" w:customStyle="1" w:styleId="585">
    <w:name w:val="font0"/>
    <w:basedOn w:val="1"/>
    <w:qFormat/>
    <w:uiPriority w:val="0"/>
    <w:pPr>
      <w:spacing w:before="100" w:beforeAutospacing="1" w:after="100" w:afterAutospacing="1" w:line="240" w:lineRule="auto"/>
      <w:ind w:firstLine="0"/>
    </w:pPr>
    <w:rPr>
      <w:rFonts w:hint="eastAsia" w:ascii="宋体" w:hAnsi="宋体"/>
      <w:kern w:val="0"/>
    </w:rPr>
  </w:style>
  <w:style w:type="paragraph" w:customStyle="1" w:styleId="586">
    <w:name w:val="xl57"/>
    <w:basedOn w:val="1"/>
    <w:qFormat/>
    <w:uiPriority w:val="0"/>
    <w:pPr>
      <w:pBdr>
        <w:top w:val="single" w:color="auto" w:sz="8" w:space="0"/>
        <w:left w:val="single" w:color="auto" w:sz="8" w:space="0"/>
        <w:bottom w:val="single" w:color="auto" w:sz="8" w:space="0"/>
      </w:pBdr>
      <w:shd w:val="clear" w:color="auto" w:fill="0000FF"/>
      <w:spacing w:before="100" w:beforeAutospacing="1" w:after="100" w:afterAutospacing="1" w:line="240" w:lineRule="auto"/>
      <w:ind w:firstLine="0"/>
    </w:pPr>
    <w:rPr>
      <w:rFonts w:ascii="宋体" w:hAnsi="宋体"/>
      <w:kern w:val="0"/>
    </w:rPr>
  </w:style>
  <w:style w:type="paragraph" w:customStyle="1" w:styleId="587">
    <w:name w:val="Char1 Char Char Char1"/>
    <w:basedOn w:val="1"/>
    <w:qFormat/>
    <w:uiPriority w:val="0"/>
    <w:pPr>
      <w:tabs>
        <w:tab w:val="left" w:pos="1080"/>
      </w:tabs>
      <w:spacing w:line="240" w:lineRule="auto"/>
      <w:ind w:left="432" w:hanging="432"/>
    </w:pPr>
  </w:style>
  <w:style w:type="paragraph" w:customStyle="1" w:styleId="588">
    <w:name w:val="xl107"/>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pPr>
    <w:rPr>
      <w:rFonts w:ascii="宋体" w:hAnsi="宋体"/>
      <w:kern w:val="0"/>
    </w:rPr>
  </w:style>
  <w:style w:type="paragraph" w:customStyle="1" w:styleId="589">
    <w:name w:val="封面标准名称"/>
    <w:qFormat/>
    <w:uiPriority w:val="0"/>
    <w:pPr>
      <w:widowControl w:val="0"/>
      <w:spacing w:before="156" w:after="156" w:line="680" w:lineRule="exact"/>
      <w:ind w:firstLine="482"/>
      <w:jc w:val="center"/>
      <w:textAlignment w:val="center"/>
    </w:pPr>
    <w:rPr>
      <w:rFonts w:ascii="黑体" w:hAnsi="Times New Roman" w:eastAsia="黑体" w:cs="Times New Roman"/>
      <w:sz w:val="52"/>
      <w:lang w:val="en-US" w:eastAsia="zh-CN" w:bidi="ar-SA"/>
    </w:rPr>
  </w:style>
  <w:style w:type="paragraph" w:customStyle="1" w:styleId="590">
    <w:name w:val="Char1 Char Char Char"/>
    <w:basedOn w:val="1"/>
    <w:qFormat/>
    <w:uiPriority w:val="0"/>
    <w:pPr>
      <w:spacing w:line="240" w:lineRule="auto"/>
      <w:ind w:firstLine="0"/>
    </w:pPr>
    <w:rPr>
      <w:rFonts w:ascii="Tahoma" w:hAnsi="Tahoma"/>
    </w:rPr>
  </w:style>
  <w:style w:type="paragraph" w:customStyle="1" w:styleId="591">
    <w:name w:val="样式1正文（首行缩进两字） Char"/>
    <w:basedOn w:val="1"/>
    <w:next w:val="1"/>
    <w:qFormat/>
    <w:uiPriority w:val="0"/>
    <w:pPr>
      <w:spacing w:line="276" w:lineRule="auto"/>
      <w:ind w:firstLine="420"/>
    </w:pPr>
    <w:rPr>
      <w:sz w:val="21"/>
    </w:rPr>
  </w:style>
  <w:style w:type="paragraph" w:customStyle="1" w:styleId="592">
    <w:name w:val="KD_BulList2"/>
    <w:basedOn w:val="1"/>
    <w:qFormat/>
    <w:uiPriority w:val="0"/>
    <w:pPr>
      <w:ind w:left="840" w:firstLine="0"/>
    </w:pPr>
    <w:rPr>
      <w:rFonts w:ascii="Calibri" w:hAnsi="Calibri"/>
    </w:rPr>
  </w:style>
  <w:style w:type="paragraph" w:customStyle="1" w:styleId="593">
    <w:name w:val="xl38"/>
    <w:basedOn w:val="1"/>
    <w:qFormat/>
    <w:uiPriority w:val="0"/>
    <w:pPr>
      <w:pBdr>
        <w:top w:val="double" w:color="auto" w:sz="6"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594">
    <w:name w:val="Char Char Char Char Char Char Char Char Char Char Char Char1"/>
    <w:basedOn w:val="80"/>
    <w:qFormat/>
    <w:uiPriority w:val="0"/>
    <w:pPr>
      <w:spacing w:line="240" w:lineRule="auto"/>
      <w:ind w:firstLine="0"/>
    </w:pPr>
    <w:rPr>
      <w:rFonts w:ascii="Tahoma" w:hAnsi="Tahoma"/>
      <w:kern w:val="0"/>
    </w:rPr>
  </w:style>
  <w:style w:type="paragraph" w:customStyle="1" w:styleId="595">
    <w:name w:val="目次、标准名称标题"/>
    <w:basedOn w:val="480"/>
    <w:next w:val="221"/>
    <w:qFormat/>
    <w:uiPriority w:val="0"/>
    <w:pPr>
      <w:spacing w:line="460" w:lineRule="exact"/>
      <w:outlineLvl w:val="9"/>
    </w:pPr>
  </w:style>
  <w:style w:type="paragraph" w:customStyle="1" w:styleId="596">
    <w:name w:val="xl50"/>
    <w:basedOn w:val="1"/>
    <w:qFormat/>
    <w:uiPriority w:val="0"/>
    <w:pPr>
      <w:pBdr>
        <w:top w:val="single" w:color="auto" w:sz="8" w:space="0"/>
        <w:bottom w:val="single" w:color="auto" w:sz="8" w:space="0"/>
        <w:right w:val="double" w:color="auto" w:sz="6" w:space="0"/>
      </w:pBdr>
      <w:spacing w:before="100" w:beforeAutospacing="1" w:after="100" w:afterAutospacing="1" w:line="240" w:lineRule="auto"/>
      <w:ind w:firstLine="0"/>
    </w:pPr>
    <w:rPr>
      <w:rFonts w:ascii="宋体" w:hAnsi="宋体"/>
      <w:kern w:val="0"/>
    </w:rPr>
  </w:style>
  <w:style w:type="paragraph" w:customStyle="1" w:styleId="597">
    <w:name w:val="KD_BodyText"/>
    <w:basedOn w:val="1"/>
    <w:qFormat/>
    <w:uiPriority w:val="0"/>
    <w:rPr>
      <w:rFonts w:ascii="Calibri" w:hAnsi="Calibri"/>
    </w:rPr>
  </w:style>
  <w:style w:type="paragraph" w:customStyle="1" w:styleId="598">
    <w:name w:val="“目录”"/>
    <w:basedOn w:val="189"/>
    <w:qFormat/>
    <w:uiPriority w:val="0"/>
    <w:pPr>
      <w:ind w:firstLine="0"/>
    </w:pPr>
    <w:rPr>
      <w:rFonts w:ascii="宋体" w:hAnsi="宋体"/>
      <w:b/>
      <w:kern w:val="0"/>
      <w:sz w:val="44"/>
    </w:rPr>
  </w:style>
  <w:style w:type="paragraph" w:customStyle="1" w:styleId="599">
    <w:name w:val="xl47"/>
    <w:basedOn w:val="1"/>
    <w:qFormat/>
    <w:uiPriority w:val="0"/>
    <w:pPr>
      <w:pBdr>
        <w:left w:val="double" w:color="auto" w:sz="6" w:space="0"/>
      </w:pBdr>
      <w:spacing w:before="100" w:beforeAutospacing="1" w:after="100" w:afterAutospacing="1" w:line="240" w:lineRule="auto"/>
      <w:ind w:firstLine="0"/>
    </w:pPr>
    <w:rPr>
      <w:rFonts w:ascii="宋体" w:hAnsi="宋体"/>
      <w:b/>
      <w:kern w:val="0"/>
      <w:sz w:val="28"/>
    </w:rPr>
  </w:style>
  <w:style w:type="paragraph" w:customStyle="1" w:styleId="600">
    <w:name w:val="0级"/>
    <w:basedOn w:val="1"/>
    <w:qFormat/>
    <w:uiPriority w:val="0"/>
    <w:rPr>
      <w:sz w:val="21"/>
    </w:rPr>
  </w:style>
  <w:style w:type="paragraph" w:customStyle="1" w:styleId="601">
    <w:name w:val="样式 样式 样式 标题 5 + 左侧:  0 厘米 悬挂缩进: 10.08 字符 段前: 6 磅 段后: 6 磅 行距: 1.5..."/>
    <w:basedOn w:val="330"/>
    <w:qFormat/>
    <w:uiPriority w:val="0"/>
    <w:pPr>
      <w:ind w:left="900" w:hanging="420"/>
    </w:pPr>
  </w:style>
  <w:style w:type="paragraph" w:customStyle="1" w:styleId="602">
    <w:name w:val="样式 标题 1合同标题卷标题H1Heading 0Heading appsh1PIM 11.123321标书...1"/>
    <w:basedOn w:val="4"/>
    <w:qFormat/>
    <w:uiPriority w:val="0"/>
    <w:pPr>
      <w:pageBreakBefore/>
      <w:tabs>
        <w:tab w:val="left" w:pos="1080"/>
      </w:tabs>
      <w:spacing w:beforeLines="100" w:afterLines="100"/>
    </w:pPr>
    <w:rPr>
      <w:rFonts w:ascii="宋体" w:hAnsi="宋体"/>
      <w:sz w:val="48"/>
    </w:rPr>
  </w:style>
  <w:style w:type="paragraph" w:customStyle="1" w:styleId="603">
    <w:name w:val="xl84"/>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rFonts w:ascii="宋体" w:hAnsi="宋体"/>
      <w:color w:val="000000"/>
      <w:kern w:val="0"/>
    </w:rPr>
  </w:style>
  <w:style w:type="paragraph" w:customStyle="1" w:styleId="604">
    <w:name w:val="文字 Char Char Char Char"/>
    <w:basedOn w:val="1"/>
    <w:qFormat/>
    <w:uiPriority w:val="0"/>
    <w:pPr>
      <w:tabs>
        <w:tab w:val="left" w:pos="8520"/>
      </w:tabs>
      <w:spacing w:line="312" w:lineRule="auto"/>
      <w:ind w:firstLine="556"/>
    </w:pPr>
    <w:rPr>
      <w:rFonts w:ascii="宋体"/>
      <w:sz w:val="28"/>
    </w:rPr>
  </w:style>
  <w:style w:type="paragraph" w:customStyle="1" w:styleId="605">
    <w:name w:val="图表脚注"/>
    <w:next w:val="221"/>
    <w:qFormat/>
    <w:uiPriority w:val="0"/>
    <w:pPr>
      <w:spacing w:before="156" w:after="156" w:line="360" w:lineRule="auto"/>
      <w:ind w:left="300" w:leftChars="200" w:hanging="100" w:hangingChars="100"/>
      <w:jc w:val="both"/>
    </w:pPr>
    <w:rPr>
      <w:rFonts w:ascii="宋体" w:hAnsi="Times New Roman" w:eastAsia="宋体" w:cs="Times New Roman"/>
      <w:sz w:val="18"/>
      <w:lang w:val="en-US" w:eastAsia="zh-CN" w:bidi="ar-SA"/>
    </w:rPr>
  </w:style>
  <w:style w:type="paragraph" w:customStyle="1" w:styleId="606">
    <w:name w:val="xl118"/>
    <w:basedOn w:val="1"/>
    <w:qFormat/>
    <w:uiPriority w:val="0"/>
    <w:pPr>
      <w:spacing w:before="100" w:beforeAutospacing="1" w:after="100" w:afterAutospacing="1" w:line="240" w:lineRule="auto"/>
      <w:ind w:firstLine="0"/>
    </w:pPr>
    <w:rPr>
      <w:rFonts w:ascii="宋体" w:hAnsi="宋体"/>
      <w:b/>
      <w:kern w:val="0"/>
    </w:rPr>
  </w:style>
  <w:style w:type="paragraph" w:customStyle="1" w:styleId="607">
    <w:name w:val="列表编号 21"/>
    <w:basedOn w:val="1"/>
    <w:qFormat/>
    <w:uiPriority w:val="0"/>
    <w:pPr>
      <w:tabs>
        <w:tab w:val="left" w:pos="780"/>
      </w:tabs>
      <w:ind w:left="780" w:leftChars="200" w:hanging="360" w:hangingChars="200"/>
    </w:pPr>
    <w:rPr>
      <w:rFonts w:ascii="宋体" w:hAnsi="宋体"/>
    </w:rPr>
  </w:style>
  <w:style w:type="paragraph" w:customStyle="1" w:styleId="608">
    <w:name w:val="参考文献、索引标题"/>
    <w:basedOn w:val="1"/>
    <w:next w:val="1"/>
    <w:qFormat/>
    <w:uiPriority w:val="0"/>
    <w:pPr>
      <w:shd w:val="clear" w:color="FFFFFF" w:fill="FFFFFF"/>
      <w:spacing w:line="240" w:lineRule="auto"/>
      <w:ind w:firstLine="0"/>
      <w:outlineLvl w:val="0"/>
    </w:pPr>
    <w:rPr>
      <w:rFonts w:ascii="黑体" w:eastAsia="黑体"/>
      <w:kern w:val="0"/>
      <w:sz w:val="21"/>
    </w:rPr>
  </w:style>
  <w:style w:type="paragraph" w:customStyle="1" w:styleId="609">
    <w:name w:val="术语定义三级条标题"/>
    <w:basedOn w:val="305"/>
    <w:next w:val="221"/>
    <w:qFormat/>
    <w:uiPriority w:val="0"/>
    <w:pPr>
      <w:tabs>
        <w:tab w:val="left" w:pos="720"/>
        <w:tab w:val="clear" w:pos="420"/>
      </w:tabs>
    </w:pPr>
  </w:style>
  <w:style w:type="paragraph" w:customStyle="1" w:styleId="610">
    <w:name w:val="Char11"/>
    <w:basedOn w:val="1"/>
    <w:qFormat/>
    <w:uiPriority w:val="0"/>
    <w:pPr>
      <w:ind w:firstLine="0"/>
    </w:pPr>
    <w:rPr>
      <w:rFonts w:ascii="Tahoma" w:hAnsi="Tahoma"/>
      <w:sz w:val="28"/>
    </w:rPr>
  </w:style>
  <w:style w:type="paragraph" w:customStyle="1" w:styleId="611">
    <w:name w:val="newtext"/>
    <w:basedOn w:val="1"/>
    <w:qFormat/>
    <w:uiPriority w:val="0"/>
    <w:pPr>
      <w:spacing w:before="100" w:beforeAutospacing="1" w:after="100" w:afterAutospacing="1" w:line="272" w:lineRule="atLeast"/>
      <w:ind w:firstLine="380"/>
    </w:pPr>
    <w:rPr>
      <w:rFonts w:ascii="Arial Unicode MS" w:hAnsi="Arial Unicode MS" w:eastAsia="Arial Unicode MS"/>
      <w:kern w:val="0"/>
      <w:sz w:val="19"/>
    </w:rPr>
  </w:style>
  <w:style w:type="paragraph" w:customStyle="1" w:styleId="612">
    <w:name w:val="附录图标题"/>
    <w:basedOn w:val="331"/>
    <w:next w:val="221"/>
    <w:qFormat/>
    <w:uiPriority w:val="0"/>
    <w:pPr>
      <w:tabs>
        <w:tab w:val="left" w:pos="210"/>
        <w:tab w:val="clear" w:pos="420"/>
      </w:tabs>
    </w:pPr>
  </w:style>
  <w:style w:type="paragraph" w:customStyle="1" w:styleId="613">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rPr>
  </w:style>
  <w:style w:type="paragraph" w:customStyle="1" w:styleId="614">
    <w:name w:val="Char Char Char Char Char Char1"/>
    <w:basedOn w:val="80"/>
    <w:qFormat/>
    <w:uiPriority w:val="0"/>
    <w:pPr>
      <w:spacing w:line="240" w:lineRule="auto"/>
      <w:ind w:firstLine="0"/>
    </w:pPr>
    <w:rPr>
      <w:rFonts w:ascii="Tahoma" w:hAnsi="Tahoma"/>
      <w:kern w:val="0"/>
      <w:sz w:val="18"/>
    </w:rPr>
  </w:style>
  <w:style w:type="paragraph" w:customStyle="1" w:styleId="615">
    <w:name w:val="00 正文"/>
    <w:basedOn w:val="436"/>
    <w:qFormat/>
    <w:uiPriority w:val="0"/>
    <w:pPr>
      <w:snapToGrid w:val="0"/>
      <w:spacing w:before="120" w:line="360" w:lineRule="auto"/>
      <w:ind w:left="108" w:leftChars="0" w:right="0" w:rightChars="0" w:firstLine="357"/>
    </w:pPr>
    <w:rPr>
      <w:rFonts w:ascii="Arial" w:hAnsi="Arial"/>
      <w:kern w:val="0"/>
      <w:lang w:eastAsia="en-US"/>
    </w:rPr>
  </w:style>
  <w:style w:type="paragraph" w:customStyle="1" w:styleId="616">
    <w:name w:val="font11"/>
    <w:basedOn w:val="1"/>
    <w:qFormat/>
    <w:uiPriority w:val="0"/>
    <w:pPr>
      <w:spacing w:before="100" w:beforeAutospacing="1" w:after="100" w:afterAutospacing="1" w:line="240" w:lineRule="auto"/>
      <w:ind w:firstLine="0"/>
    </w:pPr>
    <w:rPr>
      <w:rFonts w:ascii="宋体" w:hAnsi="宋体"/>
      <w:color w:val="000000"/>
      <w:kern w:val="0"/>
      <w:sz w:val="32"/>
    </w:rPr>
  </w:style>
  <w:style w:type="paragraph" w:customStyle="1" w:styleId="617">
    <w:name w:val="默认段落字体 Char"/>
    <w:basedOn w:val="1"/>
    <w:qFormat/>
    <w:uiPriority w:val="0"/>
    <w:pPr>
      <w:spacing w:line="240" w:lineRule="auto"/>
      <w:ind w:firstLine="0"/>
    </w:pPr>
    <w:rPr>
      <w:rFonts w:ascii="Tahoma" w:hAnsi="Tahoma"/>
    </w:rPr>
  </w:style>
  <w:style w:type="paragraph" w:customStyle="1" w:styleId="618">
    <w:name w:val="font14"/>
    <w:basedOn w:val="1"/>
    <w:qFormat/>
    <w:uiPriority w:val="0"/>
    <w:pPr>
      <w:spacing w:before="100" w:beforeAutospacing="1" w:after="100" w:afterAutospacing="1" w:line="240" w:lineRule="auto"/>
      <w:ind w:firstLine="0"/>
    </w:pPr>
    <w:rPr>
      <w:rFonts w:hint="eastAsia" w:ascii="宋体" w:hAnsi="宋体"/>
      <w:color w:val="000000"/>
      <w:kern w:val="0"/>
      <w:sz w:val="16"/>
    </w:rPr>
  </w:style>
  <w:style w:type="paragraph" w:customStyle="1" w:styleId="619">
    <w:name w:val="五级条标题"/>
    <w:basedOn w:val="393"/>
    <w:next w:val="1"/>
    <w:qFormat/>
    <w:uiPriority w:val="0"/>
    <w:pPr>
      <w:tabs>
        <w:tab w:val="left" w:pos="1407"/>
        <w:tab w:val="left" w:pos="1440"/>
        <w:tab w:val="clear" w:pos="1021"/>
        <w:tab w:val="clear" w:pos="1155"/>
      </w:tabs>
      <w:outlineLvl w:val="6"/>
    </w:pPr>
  </w:style>
  <w:style w:type="paragraph" w:customStyle="1" w:styleId="620">
    <w:name w:val="xl40"/>
    <w:basedOn w:val="1"/>
    <w:qFormat/>
    <w:uiPriority w:val="0"/>
    <w:pPr>
      <w:pBdr>
        <w:top w:val="double" w:color="auto" w:sz="6" w:space="0"/>
        <w:left w:val="single" w:color="auto" w:sz="4" w:space="0"/>
        <w:bottom w:val="single" w:color="auto" w:sz="4" w:space="0"/>
      </w:pBdr>
      <w:spacing w:before="100" w:beforeAutospacing="1" w:after="100" w:afterAutospacing="1" w:line="240" w:lineRule="auto"/>
      <w:ind w:firstLine="0"/>
    </w:pPr>
    <w:rPr>
      <w:rFonts w:ascii="宋体" w:hAnsi="宋体"/>
      <w:kern w:val="0"/>
    </w:rPr>
  </w:style>
  <w:style w:type="paragraph" w:customStyle="1" w:styleId="621">
    <w:name w:val="样式 正文首行缩进 + 小四"/>
    <w:basedOn w:val="69"/>
    <w:qFormat/>
    <w:uiPriority w:val="0"/>
    <w:pPr>
      <w:spacing w:line="240" w:lineRule="auto"/>
      <w:ind w:firstLine="600" w:firstLineChars="250"/>
    </w:pPr>
    <w:rPr>
      <w:kern w:val="0"/>
      <w:sz w:val="24"/>
    </w:rPr>
  </w:style>
  <w:style w:type="paragraph" w:customStyle="1" w:styleId="622">
    <w:name w:val="xl32"/>
    <w:basedOn w:val="1"/>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line="240" w:lineRule="auto"/>
      <w:ind w:firstLine="0"/>
    </w:pPr>
    <w:rPr>
      <w:rFonts w:ascii="宋体" w:hAnsi="宋体"/>
      <w:kern w:val="0"/>
      <w:sz w:val="20"/>
    </w:rPr>
  </w:style>
  <w:style w:type="paragraph" w:customStyle="1" w:styleId="623">
    <w:name w:val="xl78"/>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color w:val="000000"/>
      <w:kern w:val="0"/>
    </w:rPr>
  </w:style>
  <w:style w:type="paragraph" w:customStyle="1" w:styleId="624">
    <w:name w:val="正文首行缩进2"/>
    <w:basedOn w:val="1"/>
    <w:qFormat/>
    <w:uiPriority w:val="0"/>
    <w:pPr>
      <w:adjustRightInd w:val="0"/>
      <w:spacing w:line="312" w:lineRule="atLeast"/>
      <w:ind w:left="737"/>
      <w:textAlignment w:val="baseline"/>
    </w:pPr>
    <w:rPr>
      <w:rFonts w:ascii="宋体" w:hAnsi="Arial"/>
      <w:kern w:val="0"/>
    </w:rPr>
  </w:style>
  <w:style w:type="paragraph" w:customStyle="1" w:styleId="625">
    <w:name w:val="xl9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sz w:val="32"/>
    </w:rPr>
  </w:style>
  <w:style w:type="paragraph" w:customStyle="1" w:styleId="626">
    <w:name w:val="xl92"/>
    <w:basedOn w:val="1"/>
    <w:qFormat/>
    <w:uiPriority w:val="0"/>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pPr>
    <w:rPr>
      <w:rFonts w:ascii="宋体" w:hAnsi="宋体"/>
      <w:b/>
      <w:color w:val="4F81BD"/>
      <w:kern w:val="0"/>
    </w:rPr>
  </w:style>
  <w:style w:type="paragraph" w:customStyle="1" w:styleId="627">
    <w:name w:val="一级栏目标题"/>
    <w:basedOn w:val="4"/>
    <w:qFormat/>
    <w:uiPriority w:val="0"/>
    <w:pPr>
      <w:keepNext w:val="0"/>
      <w:tabs>
        <w:tab w:val="left" w:pos="425"/>
      </w:tabs>
      <w:spacing w:line="576" w:lineRule="auto"/>
      <w:ind w:left="425" w:hanging="425"/>
    </w:pPr>
    <w:rPr>
      <w:rFonts w:ascii="Cambria" w:hAnsi="Cambria"/>
      <w:b w:val="0"/>
      <w:smallCaps/>
      <w:spacing w:val="5"/>
      <w:lang w:eastAsia="en-US"/>
    </w:rPr>
  </w:style>
  <w:style w:type="paragraph" w:customStyle="1" w:styleId="628">
    <w:name w:val="xl116"/>
    <w:basedOn w:val="1"/>
    <w:qFormat/>
    <w:uiPriority w:val="0"/>
    <w:pPr>
      <w:pBdr>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b/>
      <w:kern w:val="0"/>
      <w:sz w:val="20"/>
    </w:rPr>
  </w:style>
  <w:style w:type="paragraph" w:customStyle="1" w:styleId="629">
    <w:name w:val="xl42"/>
    <w:basedOn w:val="1"/>
    <w:qFormat/>
    <w:uiPriority w:val="0"/>
    <w:pPr>
      <w:pBdr>
        <w:top w:val="double" w:color="auto" w:sz="6" w:space="0"/>
        <w:left w:val="single" w:color="auto" w:sz="4" w:space="0"/>
        <w:bottom w:val="single" w:color="auto" w:sz="4" w:space="0"/>
        <w:right w:val="single" w:color="auto" w:sz="8" w:space="0"/>
      </w:pBdr>
      <w:spacing w:before="100" w:beforeAutospacing="1" w:after="100" w:afterAutospacing="1" w:line="240" w:lineRule="auto"/>
      <w:ind w:firstLine="0"/>
    </w:pPr>
    <w:rPr>
      <w:rFonts w:ascii="宋体" w:hAnsi="宋体"/>
      <w:kern w:val="0"/>
    </w:rPr>
  </w:style>
  <w:style w:type="paragraph" w:customStyle="1" w:styleId="630">
    <w:name w:val="样式7"/>
    <w:basedOn w:val="4"/>
    <w:qFormat/>
    <w:uiPriority w:val="0"/>
    <w:pPr>
      <w:keepLines w:val="0"/>
      <w:snapToGrid w:val="0"/>
      <w:spacing w:beforeLines="200" w:afterLines="200"/>
      <w:ind w:left="-2" w:leftChars="-85" w:hanging="176" w:hangingChars="40"/>
    </w:pPr>
    <w:rPr>
      <w:b w:val="0"/>
      <w:caps/>
      <w:color w:val="FF0000"/>
      <w:sz w:val="44"/>
    </w:rPr>
  </w:style>
  <w:style w:type="paragraph" w:customStyle="1" w:styleId="631">
    <w:name w:val="标准书脚_奇数页"/>
    <w:qFormat/>
    <w:uiPriority w:val="0"/>
    <w:pPr>
      <w:spacing w:before="120" w:after="156" w:line="360" w:lineRule="auto"/>
      <w:ind w:firstLine="482"/>
      <w:jc w:val="right"/>
    </w:pPr>
    <w:rPr>
      <w:rFonts w:ascii="Times New Roman" w:hAnsi="Times New Roman" w:eastAsia="宋体" w:cs="Times New Roman"/>
      <w:sz w:val="18"/>
      <w:lang w:val="en-US" w:eastAsia="zh-CN" w:bidi="ar-SA"/>
    </w:rPr>
  </w:style>
  <w:style w:type="paragraph" w:customStyle="1" w:styleId="632">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color w:val="000000"/>
      <w:kern w:val="0"/>
    </w:rPr>
  </w:style>
  <w:style w:type="paragraph" w:customStyle="1" w:styleId="633">
    <w:name w:val="xl109"/>
    <w:basedOn w:val="1"/>
    <w:qFormat/>
    <w:uiPriority w:val="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line="240" w:lineRule="auto"/>
      <w:ind w:firstLine="0"/>
    </w:pPr>
    <w:rPr>
      <w:rFonts w:ascii="宋体" w:hAnsi="宋体"/>
      <w:kern w:val="0"/>
    </w:rPr>
  </w:style>
  <w:style w:type="paragraph" w:customStyle="1" w:styleId="634">
    <w:name w:val="封面二级标题文字"/>
    <w:basedOn w:val="189"/>
    <w:qFormat/>
    <w:uiPriority w:val="0"/>
    <w:pPr>
      <w:ind w:firstLine="0"/>
    </w:pPr>
    <w:rPr>
      <w:rFonts w:ascii="黑体" w:eastAsia="黑体"/>
      <w:b/>
      <w:kern w:val="0"/>
      <w:sz w:val="44"/>
    </w:rPr>
  </w:style>
  <w:style w:type="paragraph" w:customStyle="1" w:styleId="635">
    <w:name w:val="数字编号列项（二级）"/>
    <w:qFormat/>
    <w:uiPriority w:val="0"/>
    <w:pPr>
      <w:spacing w:before="156" w:after="156" w:line="360" w:lineRule="auto"/>
      <w:ind w:firstLine="482"/>
      <w:jc w:val="both"/>
    </w:pPr>
    <w:rPr>
      <w:rFonts w:ascii="宋体" w:hAnsi="Times New Roman" w:eastAsia="宋体" w:cs="Times New Roman"/>
      <w:sz w:val="21"/>
      <w:lang w:val="en-US" w:eastAsia="zh-CN" w:bidi="ar-SA"/>
    </w:rPr>
  </w:style>
  <w:style w:type="paragraph" w:customStyle="1" w:styleId="636">
    <w:name w:val="字元 字元 Char Char Char"/>
    <w:basedOn w:val="80"/>
    <w:qFormat/>
    <w:uiPriority w:val="0"/>
    <w:pPr>
      <w:spacing w:line="240" w:lineRule="auto"/>
      <w:ind w:firstLine="0"/>
    </w:pPr>
    <w:rPr>
      <w:rFonts w:ascii="Tahoma" w:hAnsi="Tahoma"/>
      <w:kern w:val="0"/>
    </w:rPr>
  </w:style>
  <w:style w:type="paragraph" w:customStyle="1" w:styleId="637">
    <w:name w:val="Char Char1 Char Char Char Char Char Char Char Char"/>
    <w:basedOn w:val="1"/>
    <w:qFormat/>
    <w:uiPriority w:val="0"/>
    <w:pPr>
      <w:spacing w:line="240" w:lineRule="exact"/>
      <w:ind w:firstLine="0"/>
    </w:pPr>
    <w:rPr>
      <w:sz w:val="21"/>
    </w:rPr>
  </w:style>
  <w:style w:type="paragraph" w:customStyle="1" w:styleId="638">
    <w:name w:val="默认段落字体 Para Char Char Char"/>
    <w:basedOn w:val="1"/>
    <w:qFormat/>
    <w:uiPriority w:val="0"/>
    <w:pPr>
      <w:spacing w:line="240" w:lineRule="auto"/>
      <w:ind w:firstLine="0"/>
    </w:pPr>
    <w:rPr>
      <w:sz w:val="21"/>
    </w:rPr>
  </w:style>
  <w:style w:type="paragraph" w:customStyle="1" w:styleId="639">
    <w:name w:val="xl96"/>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line="240" w:lineRule="auto"/>
      <w:ind w:firstLine="0"/>
    </w:pPr>
    <w:rPr>
      <w:rFonts w:ascii="宋体" w:hAnsi="宋体"/>
      <w:kern w:val="0"/>
      <w:sz w:val="32"/>
    </w:rPr>
  </w:style>
  <w:style w:type="paragraph" w:customStyle="1" w:styleId="640">
    <w:name w:val="样式 样式 1-正文 + 段前: 0.5 行 + 首行缩进:  4 字符 段前: 0.5 行"/>
    <w:basedOn w:val="1"/>
    <w:qFormat/>
    <w:uiPriority w:val="0"/>
    <w:rPr>
      <w:sz w:val="21"/>
    </w:rPr>
  </w:style>
  <w:style w:type="paragraph" w:customStyle="1" w:styleId="641">
    <w:name w:val="发布部门"/>
    <w:next w:val="221"/>
    <w:qFormat/>
    <w:uiPriority w:val="0"/>
    <w:pPr>
      <w:spacing w:before="156" w:after="156" w:line="360" w:lineRule="auto"/>
      <w:ind w:firstLine="482"/>
      <w:jc w:val="center"/>
    </w:pPr>
    <w:rPr>
      <w:rFonts w:ascii="宋体" w:hAnsi="Times New Roman" w:eastAsia="宋体" w:cs="Times New Roman"/>
      <w:b/>
      <w:spacing w:val="20"/>
      <w:w w:val="135"/>
      <w:sz w:val="36"/>
      <w:lang w:val="en-US" w:eastAsia="zh-CN" w:bidi="ar-SA"/>
    </w:rPr>
  </w:style>
  <w:style w:type="paragraph" w:customStyle="1" w:styleId="642">
    <w:name w:val="63注"/>
    <w:basedOn w:val="1"/>
    <w:qFormat/>
    <w:uiPriority w:val="0"/>
    <w:pPr>
      <w:tabs>
        <w:tab w:val="left" w:pos="794"/>
      </w:tabs>
      <w:spacing w:line="288" w:lineRule="auto"/>
      <w:ind w:left="794" w:hanging="374"/>
    </w:pPr>
    <w:rPr>
      <w:sz w:val="18"/>
    </w:rPr>
  </w:style>
  <w:style w:type="paragraph" w:customStyle="1" w:styleId="643">
    <w:name w:val="样式 前言、引言标题 + 两端对齐"/>
    <w:basedOn w:val="1"/>
    <w:qFormat/>
    <w:uiPriority w:val="0"/>
    <w:pPr>
      <w:shd w:val="clear" w:color="FFFFFF" w:fill="FFFFFF"/>
      <w:spacing w:line="240" w:lineRule="auto"/>
      <w:ind w:firstLine="0"/>
      <w:outlineLvl w:val="0"/>
    </w:pPr>
    <w:rPr>
      <w:rFonts w:ascii="黑体" w:eastAsia="黑体"/>
      <w:b/>
      <w:kern w:val="0"/>
      <w:sz w:val="32"/>
    </w:rPr>
  </w:style>
  <w:style w:type="paragraph" w:customStyle="1" w:styleId="644">
    <w:name w:val="修订11"/>
    <w:qFormat/>
    <w:uiPriority w:val="0"/>
    <w:pPr>
      <w:spacing w:before="156" w:after="200" w:line="276" w:lineRule="auto"/>
      <w:ind w:firstLine="482"/>
      <w:jc w:val="both"/>
    </w:pPr>
    <w:rPr>
      <w:rFonts w:ascii="Times New Roman" w:hAnsi="Times New Roman" w:eastAsia="宋体" w:cs="Times New Roman"/>
      <w:kern w:val="2"/>
      <w:sz w:val="24"/>
      <w:lang w:val="en-US" w:eastAsia="zh-CN" w:bidi="ar-SA"/>
    </w:rPr>
  </w:style>
  <w:style w:type="paragraph" w:customStyle="1" w:styleId="645">
    <w:name w:val="数字"/>
    <w:basedOn w:val="1"/>
    <w:qFormat/>
    <w:uiPriority w:val="0"/>
    <w:pPr>
      <w:tabs>
        <w:tab w:val="left" w:pos="8505"/>
      </w:tabs>
      <w:adjustRightInd w:val="0"/>
      <w:spacing w:line="318" w:lineRule="atLeast"/>
      <w:ind w:firstLine="0"/>
      <w:textAlignment w:val="baseline"/>
    </w:pPr>
    <w:rPr>
      <w:kern w:val="0"/>
      <w:sz w:val="28"/>
    </w:rPr>
  </w:style>
  <w:style w:type="paragraph" w:customStyle="1" w:styleId="646">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sz w:val="32"/>
    </w:rPr>
  </w:style>
  <w:style w:type="paragraph" w:customStyle="1" w:styleId="647">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color w:val="FF0000"/>
      <w:kern w:val="0"/>
    </w:rPr>
  </w:style>
  <w:style w:type="paragraph" w:customStyle="1" w:styleId="648">
    <w:name w:val="Char Char1 Char"/>
    <w:basedOn w:val="80"/>
    <w:qFormat/>
    <w:uiPriority w:val="0"/>
    <w:pPr>
      <w:spacing w:line="240" w:lineRule="auto"/>
      <w:ind w:firstLine="0"/>
    </w:pPr>
    <w:rPr>
      <w:sz w:val="21"/>
    </w:rPr>
  </w:style>
  <w:style w:type="paragraph" w:customStyle="1" w:styleId="649">
    <w:name w:val="xl83"/>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pPr>
    <w:rPr>
      <w:rFonts w:ascii="宋体" w:hAnsi="宋体"/>
      <w:kern w:val="0"/>
    </w:rPr>
  </w:style>
  <w:style w:type="paragraph" w:customStyle="1" w:styleId="650">
    <w:name w:val="font7"/>
    <w:basedOn w:val="1"/>
    <w:qFormat/>
    <w:uiPriority w:val="0"/>
    <w:pPr>
      <w:spacing w:before="100" w:beforeAutospacing="1" w:after="100" w:afterAutospacing="1" w:line="240" w:lineRule="auto"/>
      <w:ind w:firstLine="0"/>
    </w:pPr>
    <w:rPr>
      <w:rFonts w:ascii="宋体" w:hAnsi="宋体"/>
      <w:color w:val="000000"/>
      <w:kern w:val="0"/>
      <w:sz w:val="18"/>
    </w:rPr>
  </w:style>
  <w:style w:type="paragraph" w:customStyle="1" w:styleId="651">
    <w:name w:val="条文脚注"/>
    <w:basedOn w:val="37"/>
    <w:qFormat/>
    <w:uiPriority w:val="0"/>
    <w:pPr>
      <w:tabs>
        <w:tab w:val="left" w:pos="360"/>
      </w:tabs>
      <w:ind w:left="200" w:leftChars="200"/>
    </w:pPr>
    <w:rPr>
      <w:rFonts w:ascii="宋体"/>
    </w:rPr>
  </w:style>
  <w:style w:type="paragraph" w:customStyle="1" w:styleId="652">
    <w:name w:val="样式1 样式 标题 4 + 段前: 0 行 + Times New Roman"/>
    <w:basedOn w:val="1"/>
    <w:next w:val="1"/>
    <w:qFormat/>
    <w:uiPriority w:val="0"/>
    <w:pPr>
      <w:tabs>
        <w:tab w:val="left" w:pos="720"/>
      </w:tabs>
      <w:snapToGrid w:val="0"/>
      <w:spacing w:beforeLines="30" w:line="276" w:lineRule="auto"/>
      <w:ind w:firstLine="0"/>
      <w:outlineLvl w:val="3"/>
    </w:pPr>
    <w:rPr>
      <w:rFonts w:ascii="宋体" w:hAnsi="宋体"/>
      <w:sz w:val="21"/>
    </w:rPr>
  </w:style>
  <w:style w:type="paragraph" w:customStyle="1" w:styleId="653">
    <w:name w:val="xl108"/>
    <w:basedOn w:val="1"/>
    <w:qFormat/>
    <w:uiPriority w:val="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line="240" w:lineRule="auto"/>
      <w:ind w:firstLine="0"/>
    </w:pPr>
    <w:rPr>
      <w:rFonts w:ascii="宋体" w:hAnsi="宋体"/>
      <w:kern w:val="0"/>
    </w:rPr>
  </w:style>
  <w:style w:type="paragraph" w:customStyle="1" w:styleId="654">
    <w:name w:val="4"/>
    <w:basedOn w:val="1"/>
    <w:qFormat/>
    <w:uiPriority w:val="0"/>
    <w:pPr>
      <w:spacing w:line="288" w:lineRule="auto"/>
      <w:ind w:left="454"/>
      <w:outlineLvl w:val="3"/>
    </w:pPr>
    <w:rPr>
      <w:sz w:val="21"/>
    </w:rPr>
  </w:style>
  <w:style w:type="paragraph" w:customStyle="1" w:styleId="655">
    <w:name w:val="大标题"/>
    <w:basedOn w:val="1"/>
    <w:qFormat/>
    <w:uiPriority w:val="0"/>
    <w:pPr>
      <w:spacing w:line="240" w:lineRule="auto"/>
      <w:ind w:firstLine="0"/>
    </w:pPr>
    <w:rPr>
      <w:rFonts w:ascii="黑体" w:eastAsia="黑体"/>
      <w:b/>
      <w:sz w:val="32"/>
    </w:rPr>
  </w:style>
  <w:style w:type="paragraph" w:customStyle="1" w:styleId="656">
    <w:name w:val="样式 标题 2一级节名节标题标题1章H22nd levelh22Header 2UNDERRUBRIK 1-..."/>
    <w:basedOn w:val="5"/>
    <w:qFormat/>
    <w:uiPriority w:val="0"/>
    <w:pPr>
      <w:adjustRightInd w:val="0"/>
      <w:snapToGrid w:val="0"/>
      <w:spacing w:line="300" w:lineRule="auto"/>
      <w:textAlignment w:val="baseline"/>
    </w:pPr>
    <w:rPr>
      <w:rFonts w:eastAsia="黑体"/>
      <w:kern w:val="0"/>
    </w:rPr>
  </w:style>
  <w:style w:type="paragraph" w:customStyle="1" w:styleId="657">
    <w:name w:val="项目符号"/>
    <w:basedOn w:val="1"/>
    <w:qFormat/>
    <w:uiPriority w:val="0"/>
    <w:pPr>
      <w:tabs>
        <w:tab w:val="left" w:pos="840"/>
      </w:tabs>
      <w:ind w:firstLine="0"/>
    </w:pPr>
  </w:style>
  <w:style w:type="paragraph" w:customStyle="1" w:styleId="658">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sz w:val="32"/>
    </w:rPr>
  </w:style>
  <w:style w:type="paragraph" w:customStyle="1" w:styleId="659">
    <w:name w:val="xl119"/>
    <w:basedOn w:val="1"/>
    <w:qFormat/>
    <w:uiPriority w:val="0"/>
    <w:pPr>
      <w:pBdr>
        <w:top w:val="single" w:color="auto" w:sz="4" w:space="0"/>
        <w:left w:val="single" w:color="auto" w:sz="4" w:space="0"/>
        <w:bottom w:val="single" w:color="auto" w:sz="4" w:space="0"/>
      </w:pBdr>
      <w:spacing w:before="100" w:beforeAutospacing="1" w:after="100" w:afterAutospacing="1" w:line="240" w:lineRule="auto"/>
      <w:ind w:firstLine="0"/>
    </w:pPr>
    <w:rPr>
      <w:rFonts w:ascii="宋体" w:hAnsi="宋体"/>
      <w:kern w:val="0"/>
      <w:sz w:val="20"/>
    </w:rPr>
  </w:style>
  <w:style w:type="paragraph" w:customStyle="1" w:styleId="660">
    <w:name w:val="提示符"/>
    <w:basedOn w:val="1"/>
    <w:qFormat/>
    <w:uiPriority w:val="0"/>
    <w:pPr>
      <w:tabs>
        <w:tab w:val="left" w:pos="817"/>
      </w:tabs>
      <w:ind w:left="250" w:firstLine="0"/>
    </w:pPr>
    <w:rPr>
      <w:rFonts w:eastAsia="仿宋_GB2312"/>
      <w:sz w:val="32"/>
    </w:rPr>
  </w:style>
  <w:style w:type="paragraph" w:customStyle="1" w:styleId="661">
    <w:name w:val="font6"/>
    <w:basedOn w:val="1"/>
    <w:qFormat/>
    <w:uiPriority w:val="0"/>
    <w:pPr>
      <w:spacing w:before="100" w:beforeAutospacing="1" w:after="100" w:afterAutospacing="1" w:line="240" w:lineRule="auto"/>
      <w:ind w:firstLine="0"/>
    </w:pPr>
    <w:rPr>
      <w:rFonts w:ascii="宋体" w:hAnsi="宋体"/>
      <w:kern w:val="0"/>
      <w:sz w:val="18"/>
    </w:rPr>
  </w:style>
  <w:style w:type="paragraph" w:customStyle="1" w:styleId="662">
    <w:name w:val="font10"/>
    <w:basedOn w:val="1"/>
    <w:qFormat/>
    <w:uiPriority w:val="0"/>
    <w:pPr>
      <w:spacing w:before="100" w:beforeAutospacing="1" w:after="100" w:afterAutospacing="1" w:line="240" w:lineRule="auto"/>
      <w:ind w:firstLine="0"/>
    </w:pPr>
    <w:rPr>
      <w:rFonts w:ascii="宋体" w:hAnsi="宋体"/>
      <w:color w:val="000000"/>
      <w:kern w:val="0"/>
    </w:rPr>
  </w:style>
  <w:style w:type="paragraph" w:customStyle="1" w:styleId="663">
    <w:name w:val="xl55"/>
    <w:basedOn w:val="1"/>
    <w:qFormat/>
    <w:uiPriority w:val="0"/>
    <w:pPr>
      <w:spacing w:before="100" w:beforeAutospacing="1" w:after="100" w:afterAutospacing="1" w:line="240" w:lineRule="auto"/>
      <w:ind w:firstLine="0"/>
    </w:pPr>
    <w:rPr>
      <w:rFonts w:ascii="宋体" w:hAnsi="宋体"/>
      <w:kern w:val="0"/>
    </w:rPr>
  </w:style>
  <w:style w:type="paragraph" w:customStyle="1" w:styleId="664">
    <w:name w:val="目次、索引正文"/>
    <w:qFormat/>
    <w:uiPriority w:val="0"/>
    <w:pPr>
      <w:spacing w:before="156" w:after="156" w:line="320" w:lineRule="exact"/>
      <w:ind w:firstLine="482"/>
      <w:jc w:val="both"/>
    </w:pPr>
    <w:rPr>
      <w:rFonts w:ascii="宋体" w:hAnsi="Times New Roman" w:eastAsia="宋体" w:cs="Times New Roman"/>
      <w:sz w:val="21"/>
      <w:lang w:val="en-US" w:eastAsia="zh-CN" w:bidi="ar-SA"/>
    </w:rPr>
  </w:style>
  <w:style w:type="paragraph" w:customStyle="1" w:styleId="665">
    <w:name w:val="段落"/>
    <w:basedOn w:val="1"/>
    <w:qFormat/>
    <w:uiPriority w:val="0"/>
    <w:pPr>
      <w:snapToGrid w:val="0"/>
      <w:ind w:right="200" w:rightChars="200"/>
    </w:pPr>
    <w:rPr>
      <w:rFonts w:ascii="Tahoma" w:hAnsi="Tahoma"/>
      <w:sz w:val="21"/>
    </w:rPr>
  </w:style>
  <w:style w:type="paragraph" w:customStyle="1" w:styleId="666">
    <w:name w:val="Char Char Char Char Char Char Char Char Char Char Char Char Char1"/>
    <w:basedOn w:val="80"/>
    <w:qFormat/>
    <w:uiPriority w:val="0"/>
    <w:pPr>
      <w:spacing w:line="240" w:lineRule="auto"/>
      <w:ind w:firstLine="0"/>
    </w:pPr>
    <w:rPr>
      <w:rFonts w:ascii="Tahoma" w:hAnsi="Tahoma"/>
      <w:kern w:val="0"/>
    </w:rPr>
  </w:style>
  <w:style w:type="paragraph" w:customStyle="1" w:styleId="667">
    <w:name w:val="正文2"/>
    <w:basedOn w:val="1"/>
    <w:qFormat/>
    <w:uiPriority w:val="0"/>
    <w:pPr>
      <w:tabs>
        <w:tab w:val="left" w:pos="840"/>
      </w:tabs>
      <w:spacing w:line="240" w:lineRule="auto"/>
      <w:ind w:firstLine="420"/>
    </w:pPr>
    <w:rPr>
      <w:rFonts w:ascii="宋体" w:hAnsi="宋体"/>
      <w:sz w:val="21"/>
    </w:rPr>
  </w:style>
  <w:style w:type="paragraph" w:customStyle="1" w:styleId="668">
    <w:name w:val="Char Char1 Char Char Char Char Char Char Char Char Char Char Char Char Char Char"/>
    <w:basedOn w:val="1"/>
    <w:qFormat/>
    <w:uiPriority w:val="0"/>
    <w:pPr>
      <w:spacing w:line="240" w:lineRule="exact"/>
      <w:ind w:firstLine="0"/>
    </w:pPr>
    <w:rPr>
      <w:rFonts w:ascii="Verdana" w:hAnsi="Verdana"/>
      <w:kern w:val="0"/>
      <w:sz w:val="20"/>
      <w:lang w:eastAsia="en-US"/>
    </w:rPr>
  </w:style>
  <w:style w:type="paragraph" w:customStyle="1" w:styleId="669">
    <w:name w:val="样式 样式 样式 正文圆点编号 + 首行缩进:  2 字符 + 首行缩进:  1 字符 段前: 0.5 行 + 段前: 0.5 行"/>
    <w:basedOn w:val="1"/>
    <w:qFormat/>
    <w:uiPriority w:val="0"/>
    <w:pPr>
      <w:adjustRightInd w:val="0"/>
      <w:spacing w:line="300" w:lineRule="auto"/>
      <w:ind w:left="72" w:leftChars="30" w:firstLine="0"/>
    </w:pPr>
    <w:rPr>
      <w:rFonts w:hint="eastAsia" w:ascii="宋体" w:hAnsi="Arial"/>
      <w:kern w:val="0"/>
    </w:rPr>
  </w:style>
  <w:style w:type="paragraph" w:customStyle="1" w:styleId="670">
    <w:name w:val="Char Char Char Char Char Char Char Char Char Char Char Char"/>
    <w:basedOn w:val="1"/>
    <w:qFormat/>
    <w:uiPriority w:val="0"/>
    <w:pPr>
      <w:ind w:firstLine="0"/>
    </w:pPr>
    <w:rPr>
      <w:rFonts w:ascii="Tahoma" w:hAnsi="Tahoma"/>
    </w:rPr>
  </w:style>
  <w:style w:type="paragraph" w:customStyle="1" w:styleId="671">
    <w:name w:val="正文文字居中"/>
    <w:basedOn w:val="1"/>
    <w:next w:val="2"/>
    <w:qFormat/>
    <w:uiPriority w:val="0"/>
    <w:pPr>
      <w:adjustRightInd w:val="0"/>
      <w:snapToGrid w:val="0"/>
      <w:ind w:firstLine="0"/>
    </w:pPr>
    <w:rPr>
      <w:rFonts w:ascii="宋体" w:hAnsi="宋体"/>
      <w:kern w:val="0"/>
      <w:sz w:val="21"/>
    </w:rPr>
  </w:style>
  <w:style w:type="paragraph" w:customStyle="1" w:styleId="672">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color w:val="000000"/>
      <w:kern w:val="0"/>
      <w:sz w:val="20"/>
    </w:rPr>
  </w:style>
  <w:style w:type="paragraph" w:customStyle="1" w:styleId="673">
    <w:name w:val="xl59"/>
    <w:basedOn w:val="1"/>
    <w:qFormat/>
    <w:uiPriority w:val="0"/>
    <w:pPr>
      <w:pBdr>
        <w:bottom w:val="single" w:color="auto" w:sz="8" w:space="0"/>
      </w:pBdr>
      <w:spacing w:before="100" w:beforeAutospacing="1" w:after="100" w:afterAutospacing="1" w:line="240" w:lineRule="auto"/>
      <w:ind w:firstLine="0"/>
    </w:pPr>
    <w:rPr>
      <w:rFonts w:ascii="宋体" w:hAnsi="宋体"/>
      <w:kern w:val="0"/>
    </w:rPr>
  </w:style>
  <w:style w:type="paragraph" w:customStyle="1" w:styleId="674">
    <w:name w:val="xl51"/>
    <w:basedOn w:val="1"/>
    <w:qFormat/>
    <w:uiPriority w:val="0"/>
    <w:pPr>
      <w:pBdr>
        <w:top w:val="single" w:color="auto" w:sz="8" w:space="0"/>
        <w:left w:val="single" w:color="auto" w:sz="8" w:space="0"/>
        <w:bottom w:val="single" w:color="auto" w:sz="8" w:space="0"/>
      </w:pBdr>
      <w:shd w:val="clear" w:color="auto" w:fill="339966"/>
      <w:spacing w:before="100" w:beforeAutospacing="1" w:after="100" w:afterAutospacing="1" w:line="240" w:lineRule="auto"/>
      <w:ind w:firstLine="0"/>
    </w:pPr>
    <w:rPr>
      <w:rFonts w:ascii="宋体" w:hAnsi="宋体"/>
      <w:kern w:val="0"/>
    </w:rPr>
  </w:style>
  <w:style w:type="paragraph" w:customStyle="1" w:styleId="675">
    <w:name w:val="xl27"/>
    <w:basedOn w:val="1"/>
    <w:qFormat/>
    <w:uiPriority w:val="0"/>
    <w:pPr>
      <w:pBdr>
        <w:top w:val="single" w:color="auto" w:sz="4" w:space="0"/>
        <w:left w:val="double" w:color="auto" w:sz="6" w:space="0"/>
        <w:bottom w:val="single" w:color="auto" w:sz="8" w:space="0"/>
        <w:right w:val="single" w:color="auto" w:sz="8" w:space="0"/>
      </w:pBdr>
      <w:spacing w:before="100" w:beforeAutospacing="1" w:after="100" w:afterAutospacing="1" w:line="240" w:lineRule="auto"/>
      <w:ind w:firstLine="0"/>
    </w:pPr>
    <w:rPr>
      <w:rFonts w:ascii="宋体" w:hAnsi="宋体"/>
      <w:kern w:val="0"/>
      <w:sz w:val="28"/>
    </w:rPr>
  </w:style>
  <w:style w:type="paragraph" w:customStyle="1" w:styleId="676">
    <w:name w:val="列出段落2"/>
    <w:basedOn w:val="1"/>
    <w:qFormat/>
    <w:uiPriority w:val="0"/>
    <w:pPr>
      <w:spacing w:line="240" w:lineRule="auto"/>
      <w:ind w:firstLine="420"/>
    </w:pPr>
    <w:rPr>
      <w:sz w:val="21"/>
    </w:rPr>
  </w:style>
  <w:style w:type="paragraph" w:customStyle="1" w:styleId="677">
    <w:name w:val="样式 标题 1Chapter11121314151111211311611212213217113...1"/>
    <w:basedOn w:val="4"/>
    <w:qFormat/>
    <w:uiPriority w:val="0"/>
    <w:pPr>
      <w:pageBreakBefore/>
      <w:tabs>
        <w:tab w:val="left" w:pos="480"/>
        <w:tab w:val="left" w:pos="840"/>
      </w:tabs>
      <w:ind w:left="840" w:hanging="420"/>
    </w:pPr>
    <w:rPr>
      <w:rFonts w:ascii="宋体" w:hAnsi="宋体"/>
      <w:sz w:val="30"/>
    </w:rPr>
  </w:style>
  <w:style w:type="paragraph" w:customStyle="1" w:styleId="678">
    <w:name w:val="xl60"/>
    <w:basedOn w:val="1"/>
    <w:qFormat/>
    <w:uiPriority w:val="0"/>
    <w:pPr>
      <w:pBdr>
        <w:bottom w:val="single" w:color="auto" w:sz="8" w:space="0"/>
        <w:right w:val="double" w:color="auto" w:sz="6" w:space="0"/>
      </w:pBdr>
      <w:spacing w:before="100" w:beforeAutospacing="1" w:after="100" w:afterAutospacing="1" w:line="240" w:lineRule="auto"/>
      <w:ind w:firstLine="0"/>
    </w:pPr>
    <w:rPr>
      <w:rFonts w:ascii="宋体" w:hAnsi="宋体"/>
      <w:kern w:val="0"/>
    </w:rPr>
  </w:style>
  <w:style w:type="paragraph" w:customStyle="1" w:styleId="679">
    <w:name w:val="字母编号列项（一级）"/>
    <w:qFormat/>
    <w:uiPriority w:val="0"/>
    <w:pPr>
      <w:spacing w:before="156" w:after="156" w:line="360" w:lineRule="auto"/>
      <w:ind w:left="420" w:hanging="420"/>
      <w:jc w:val="both"/>
    </w:pPr>
    <w:rPr>
      <w:rFonts w:ascii="宋体" w:hAnsi="Times New Roman" w:eastAsia="宋体" w:cs="Times New Roman"/>
      <w:sz w:val="21"/>
      <w:lang w:val="en-US" w:eastAsia="zh-CN" w:bidi="ar-SA"/>
    </w:rPr>
  </w:style>
  <w:style w:type="paragraph" w:customStyle="1" w:styleId="680">
    <w:name w:val="xl75"/>
    <w:basedOn w:val="1"/>
    <w:qFormat/>
    <w:uiPriority w:val="0"/>
    <w:pPr>
      <w:shd w:val="clear" w:color="000000" w:fill="FFFF99"/>
      <w:spacing w:before="100" w:beforeAutospacing="1" w:after="100" w:afterAutospacing="1" w:line="240" w:lineRule="auto"/>
      <w:ind w:firstLine="0"/>
    </w:pPr>
    <w:rPr>
      <w:rFonts w:ascii="宋体" w:hAnsi="宋体"/>
      <w:kern w:val="0"/>
    </w:rPr>
  </w:style>
  <w:style w:type="paragraph" w:customStyle="1" w:styleId="681">
    <w:name w:val="表格文本"/>
    <w:basedOn w:val="1"/>
    <w:qFormat/>
    <w:uiPriority w:val="0"/>
    <w:pPr>
      <w:tabs>
        <w:tab w:val="decimal" w:pos="0"/>
      </w:tabs>
      <w:autoSpaceDE w:val="0"/>
      <w:autoSpaceDN w:val="0"/>
      <w:adjustRightInd w:val="0"/>
      <w:spacing w:line="240" w:lineRule="auto"/>
      <w:ind w:firstLine="0"/>
    </w:pPr>
    <w:rPr>
      <w:kern w:val="0"/>
    </w:rPr>
  </w:style>
  <w:style w:type="paragraph" w:customStyle="1" w:styleId="682">
    <w:name w:val="索引 71"/>
    <w:basedOn w:val="1"/>
    <w:next w:val="1"/>
    <w:qFormat/>
    <w:uiPriority w:val="0"/>
    <w:pPr>
      <w:spacing w:line="240" w:lineRule="auto"/>
      <w:ind w:left="1200" w:leftChars="1200" w:firstLine="0"/>
    </w:pPr>
    <w:rPr>
      <w:sz w:val="21"/>
    </w:rPr>
  </w:style>
  <w:style w:type="paragraph" w:customStyle="1" w:styleId="683">
    <w:name w:val="xl34"/>
    <w:basedOn w:val="1"/>
    <w:qFormat/>
    <w:uiPriority w:val="0"/>
    <w:pPr>
      <w:spacing w:before="100" w:beforeAutospacing="1" w:after="100" w:afterAutospacing="1" w:line="240" w:lineRule="auto"/>
      <w:ind w:firstLine="0"/>
    </w:pPr>
    <w:rPr>
      <w:rFonts w:ascii="宋体" w:hAnsi="宋体"/>
      <w:b/>
      <w:kern w:val="0"/>
      <w:sz w:val="28"/>
    </w:rPr>
  </w:style>
  <w:style w:type="paragraph" w:customStyle="1" w:styleId="684">
    <w:name w:val="样式 Arial 小四 黑色 行距: 1.5 倍行距 Char"/>
    <w:basedOn w:val="1"/>
    <w:qFormat/>
    <w:uiPriority w:val="0"/>
    <w:pPr>
      <w:adjustRightInd w:val="0"/>
      <w:snapToGrid w:val="0"/>
    </w:pPr>
    <w:rPr>
      <w:rFonts w:ascii="Arial" w:hAnsi="Arial"/>
      <w:color w:val="000000"/>
      <w:lang w:eastAsia="zh-TW"/>
    </w:rPr>
  </w:style>
  <w:style w:type="paragraph" w:customStyle="1" w:styleId="685">
    <w:name w:val="xl98"/>
    <w:basedOn w:val="1"/>
    <w:qFormat/>
    <w:uiPriority w:val="0"/>
    <w:pPr>
      <w:pBdr>
        <w:top w:val="single" w:color="auto" w:sz="4" w:space="0"/>
        <w:left w:val="single" w:color="auto" w:sz="4" w:space="0"/>
        <w:bottom w:val="single" w:color="auto" w:sz="4" w:space="0"/>
        <w:right w:val="single" w:color="auto" w:sz="4" w:space="0"/>
      </w:pBdr>
      <w:shd w:val="clear" w:color="000000" w:fill="75923C"/>
      <w:spacing w:before="100" w:beforeAutospacing="1" w:after="100" w:afterAutospacing="1" w:line="240" w:lineRule="auto"/>
      <w:ind w:firstLine="0"/>
    </w:pPr>
    <w:rPr>
      <w:rFonts w:ascii="宋体" w:hAnsi="宋体"/>
      <w:kern w:val="0"/>
    </w:rPr>
  </w:style>
  <w:style w:type="paragraph" w:customStyle="1" w:styleId="686">
    <w:name w:val="一级无标题条"/>
    <w:basedOn w:val="1"/>
    <w:qFormat/>
    <w:uiPriority w:val="0"/>
    <w:pPr>
      <w:tabs>
        <w:tab w:val="left" w:pos="420"/>
      </w:tabs>
      <w:spacing w:line="240" w:lineRule="auto"/>
      <w:ind w:firstLine="0"/>
    </w:pPr>
    <w:rPr>
      <w:b/>
      <w:sz w:val="21"/>
    </w:rPr>
  </w:style>
  <w:style w:type="paragraph" w:customStyle="1" w:styleId="687">
    <w:name w:val="文献分类号"/>
    <w:qFormat/>
    <w:uiPriority w:val="0"/>
    <w:pPr>
      <w:widowControl w:val="0"/>
      <w:spacing w:before="156" w:after="156" w:line="360" w:lineRule="auto"/>
      <w:ind w:firstLine="482"/>
      <w:jc w:val="both"/>
      <w:textAlignment w:val="center"/>
    </w:pPr>
    <w:rPr>
      <w:rFonts w:ascii="Times New Roman" w:hAnsi="Times New Roman" w:eastAsia="黑体" w:cs="Times New Roman"/>
      <w:sz w:val="21"/>
      <w:lang w:val="en-US" w:eastAsia="zh-CN" w:bidi="ar-SA"/>
    </w:rPr>
  </w:style>
  <w:style w:type="paragraph" w:customStyle="1" w:styleId="688">
    <w:name w:val="xl56"/>
    <w:basedOn w:val="1"/>
    <w:qFormat/>
    <w:uiPriority w:val="0"/>
    <w:pPr>
      <w:spacing w:before="100" w:beforeAutospacing="1" w:after="100" w:afterAutospacing="1" w:line="240" w:lineRule="auto"/>
      <w:ind w:firstLine="0"/>
    </w:pPr>
    <w:rPr>
      <w:rFonts w:ascii="宋体" w:hAnsi="宋体"/>
      <w:kern w:val="0"/>
    </w:rPr>
  </w:style>
  <w:style w:type="paragraph" w:customStyle="1" w:styleId="689">
    <w:name w:val="xl24"/>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ind w:firstLine="0"/>
    </w:pPr>
    <w:rPr>
      <w:rFonts w:ascii="宋体" w:hAnsi="宋体"/>
      <w:kern w:val="0"/>
      <w:sz w:val="20"/>
    </w:rPr>
  </w:style>
  <w:style w:type="paragraph" w:customStyle="1" w:styleId="690">
    <w:name w:val="font15"/>
    <w:basedOn w:val="1"/>
    <w:qFormat/>
    <w:uiPriority w:val="0"/>
    <w:pPr>
      <w:spacing w:before="100" w:beforeAutospacing="1" w:after="100" w:afterAutospacing="1" w:line="240" w:lineRule="auto"/>
      <w:ind w:firstLine="0"/>
    </w:pPr>
    <w:rPr>
      <w:rFonts w:hint="eastAsia" w:ascii="宋体" w:hAnsi="宋体"/>
      <w:b/>
      <w:color w:val="000000"/>
      <w:kern w:val="0"/>
      <w:sz w:val="16"/>
    </w:rPr>
  </w:style>
  <w:style w:type="paragraph" w:customStyle="1" w:styleId="691">
    <w:name w:val="图号"/>
    <w:basedOn w:val="1"/>
    <w:qFormat/>
    <w:uiPriority w:val="0"/>
    <w:pPr>
      <w:tabs>
        <w:tab w:val="left" w:pos="720"/>
      </w:tabs>
      <w:autoSpaceDE w:val="0"/>
      <w:autoSpaceDN w:val="0"/>
      <w:adjustRightInd w:val="0"/>
      <w:snapToGrid w:val="0"/>
      <w:ind w:firstLine="0"/>
    </w:pPr>
    <w:rPr>
      <w:rFonts w:ascii="宋体"/>
      <w:kern w:val="0"/>
      <w:sz w:val="21"/>
    </w:rPr>
  </w:style>
  <w:style w:type="paragraph" w:customStyle="1" w:styleId="692">
    <w:name w:val="无标题条"/>
    <w:next w:val="221"/>
    <w:qFormat/>
    <w:uiPriority w:val="0"/>
    <w:pPr>
      <w:spacing w:before="156" w:after="156" w:line="360" w:lineRule="auto"/>
      <w:ind w:firstLine="482"/>
      <w:jc w:val="both"/>
    </w:pPr>
    <w:rPr>
      <w:rFonts w:ascii="Times New Roman" w:hAnsi="Times New Roman" w:eastAsia="宋体" w:cs="Times New Roman"/>
      <w:sz w:val="21"/>
      <w:lang w:val="en-US" w:eastAsia="zh-CN" w:bidi="ar-SA"/>
    </w:rPr>
  </w:style>
  <w:style w:type="paragraph" w:customStyle="1" w:styleId="693">
    <w:name w:val="TOC 标题1"/>
    <w:basedOn w:val="4"/>
    <w:next w:val="1"/>
    <w:qFormat/>
    <w:uiPriority w:val="0"/>
    <w:pPr>
      <w:spacing w:line="276" w:lineRule="auto"/>
      <w:outlineLvl w:val="9"/>
    </w:pPr>
    <w:rPr>
      <w:rFonts w:ascii="Cambria" w:hAnsi="Cambria"/>
      <w:color w:val="365F91"/>
      <w:kern w:val="0"/>
    </w:rPr>
  </w:style>
  <w:style w:type="paragraph" w:customStyle="1" w:styleId="694">
    <w:name w:val="缩进正文"/>
    <w:basedOn w:val="1"/>
    <w:qFormat/>
    <w:uiPriority w:val="0"/>
    <w:pPr>
      <w:adjustRightInd w:val="0"/>
      <w:snapToGrid w:val="0"/>
      <w:spacing w:line="560" w:lineRule="atLeast"/>
      <w:ind w:firstLine="629"/>
    </w:pPr>
    <w:rPr>
      <w:rFonts w:eastAsia="仿宋_GB2312"/>
      <w:sz w:val="32"/>
    </w:rPr>
  </w:style>
  <w:style w:type="paragraph" w:customStyle="1" w:styleId="695">
    <w:name w:val="样式 标题 5H5h5heading 5标题1.1.1.1.1CSS节内3级标记PIM 5dsddBlock ..."/>
    <w:basedOn w:val="8"/>
    <w:qFormat/>
    <w:uiPriority w:val="0"/>
    <w:pPr>
      <w:tabs>
        <w:tab w:val="left" w:pos="1428"/>
      </w:tabs>
      <w:topLinePunct/>
      <w:adjustRightInd w:val="0"/>
      <w:snapToGrid w:val="0"/>
      <w:spacing w:before="0" w:line="240" w:lineRule="auto"/>
      <w:ind w:left="1428" w:hanging="1428"/>
    </w:pPr>
    <w:rPr>
      <w:sz w:val="30"/>
    </w:rPr>
  </w:style>
  <w:style w:type="paragraph" w:customStyle="1" w:styleId="696">
    <w:name w:val="文档标题"/>
    <w:basedOn w:val="1"/>
    <w:qFormat/>
    <w:uiPriority w:val="0"/>
    <w:pPr>
      <w:ind w:firstLine="0"/>
    </w:pPr>
    <w:rPr>
      <w:rFonts w:eastAsia="黑体"/>
      <w:b/>
      <w:sz w:val="44"/>
    </w:rPr>
  </w:style>
  <w:style w:type="paragraph" w:customStyle="1" w:styleId="697">
    <w:name w:val="标准书眉_偶数页"/>
    <w:basedOn w:val="544"/>
    <w:next w:val="1"/>
    <w:qFormat/>
    <w:uiPriority w:val="0"/>
  </w:style>
  <w:style w:type="paragraph" w:customStyle="1" w:styleId="698">
    <w:name w:val="xl43"/>
    <w:basedOn w:val="1"/>
    <w:qFormat/>
    <w:uiPriority w:val="0"/>
    <w:pPr>
      <w:pBdr>
        <w:top w:val="double" w:color="auto" w:sz="6" w:space="0"/>
        <w:left w:val="double" w:color="auto" w:sz="6" w:space="0"/>
        <w:right w:val="single" w:color="auto" w:sz="8" w:space="0"/>
      </w:pBdr>
      <w:spacing w:before="100" w:beforeAutospacing="1" w:after="100" w:afterAutospacing="1" w:line="240" w:lineRule="auto"/>
      <w:ind w:firstLine="0"/>
    </w:pPr>
    <w:rPr>
      <w:rFonts w:ascii="宋体" w:hAnsi="宋体"/>
      <w:kern w:val="0"/>
      <w:sz w:val="28"/>
    </w:rPr>
  </w:style>
  <w:style w:type="paragraph" w:customStyle="1" w:styleId="699">
    <w:name w:val="样式 标题 2 + 宋体 行距: 多倍行距 1.73 字行"/>
    <w:basedOn w:val="5"/>
    <w:qFormat/>
    <w:uiPriority w:val="0"/>
    <w:pPr>
      <w:tabs>
        <w:tab w:val="left" w:pos="1260"/>
        <w:tab w:val="clear" w:pos="720"/>
      </w:tabs>
      <w:spacing w:before="100" w:beforeAutospacing="1" w:after="100" w:afterAutospacing="1" w:line="413" w:lineRule="auto"/>
      <w:ind w:left="1260" w:hanging="420"/>
    </w:pPr>
    <w:rPr>
      <w:rFonts w:ascii="宋体" w:hAnsi="宋体"/>
      <w:sz w:val="32"/>
    </w:rPr>
  </w:style>
  <w:style w:type="paragraph" w:customStyle="1" w:styleId="700">
    <w:name w:val="Char Char Char Char Char Char Char Char Char Char"/>
    <w:basedOn w:val="1"/>
    <w:qFormat/>
    <w:uiPriority w:val="0"/>
    <w:pPr>
      <w:spacing w:line="240" w:lineRule="exact"/>
      <w:ind w:firstLine="0"/>
    </w:pPr>
    <w:rPr>
      <w:rFonts w:ascii="Verdana" w:hAnsi="Verdana" w:eastAsia="仿宋_GB2312"/>
      <w:kern w:val="0"/>
      <w:sz w:val="30"/>
      <w:lang w:eastAsia="en-US"/>
    </w:rPr>
  </w:style>
  <w:style w:type="paragraph" w:customStyle="1" w:styleId="701">
    <w:name w:val="标准称谓"/>
    <w:next w:val="1"/>
    <w:qFormat/>
    <w:uiPriority w:val="0"/>
    <w:pPr>
      <w:widowControl w:val="0"/>
      <w:kinsoku w:val="0"/>
      <w:overflowPunct w:val="0"/>
      <w:autoSpaceDE w:val="0"/>
      <w:autoSpaceDN w:val="0"/>
      <w:spacing w:before="156" w:after="156" w:line="0" w:lineRule="atLeast"/>
      <w:ind w:firstLine="482"/>
      <w:jc w:val="distribute"/>
    </w:pPr>
    <w:rPr>
      <w:rFonts w:ascii="宋体" w:hAnsi="Times New Roman" w:eastAsia="宋体" w:cs="Times New Roman"/>
      <w:b/>
      <w:spacing w:val="20"/>
      <w:w w:val="148"/>
      <w:sz w:val="52"/>
      <w:lang w:val="en-US" w:eastAsia="zh-CN" w:bidi="ar-SA"/>
    </w:rPr>
  </w:style>
  <w:style w:type="paragraph" w:customStyle="1" w:styleId="702">
    <w:name w:val="工程建设公式标题"/>
    <w:basedOn w:val="452"/>
    <w:qFormat/>
    <w:uiPriority w:val="0"/>
    <w:pPr>
      <w:outlineLvl w:val="6"/>
    </w:pPr>
  </w:style>
  <w:style w:type="paragraph" w:customStyle="1" w:styleId="703">
    <w:name w:val="工程建设无节条标题"/>
    <w:basedOn w:val="1"/>
    <w:next w:val="221"/>
    <w:qFormat/>
    <w:uiPriority w:val="0"/>
    <w:pPr>
      <w:tabs>
        <w:tab w:val="left" w:pos="720"/>
      </w:tabs>
      <w:spacing w:line="240" w:lineRule="auto"/>
      <w:ind w:firstLine="0"/>
      <w:outlineLvl w:val="3"/>
    </w:pPr>
    <w:rPr>
      <w:sz w:val="21"/>
    </w:rPr>
  </w:style>
  <w:style w:type="paragraph" w:customStyle="1" w:styleId="704">
    <w:name w:val="63注1"/>
    <w:basedOn w:val="1"/>
    <w:qFormat/>
    <w:uiPriority w:val="0"/>
    <w:pPr>
      <w:tabs>
        <w:tab w:val="left" w:pos="839"/>
      </w:tabs>
      <w:spacing w:line="288" w:lineRule="auto"/>
      <w:ind w:left="839" w:hanging="419"/>
    </w:pPr>
    <w:rPr>
      <w:sz w:val="18"/>
    </w:rPr>
  </w:style>
  <w:style w:type="paragraph" w:customStyle="1" w:styleId="705">
    <w:name w:val="xl1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pPr>
    <w:rPr>
      <w:rFonts w:ascii="宋体" w:hAnsi="宋体"/>
      <w:kern w:val="0"/>
    </w:rPr>
  </w:style>
  <w:style w:type="paragraph" w:customStyle="1" w:styleId="706">
    <w:name w:val="样式 样式 标题 1 + 三号 + 段前: 0.5 行 段后: 0.5 行"/>
    <w:basedOn w:val="1"/>
    <w:qFormat/>
    <w:uiPriority w:val="0"/>
    <w:pPr>
      <w:keepNext/>
      <w:keepLines/>
      <w:tabs>
        <w:tab w:val="left" w:pos="840"/>
      </w:tabs>
      <w:ind w:left="840" w:hanging="420"/>
      <w:outlineLvl w:val="0"/>
    </w:pPr>
    <w:rPr>
      <w:b/>
      <w:kern w:val="44"/>
      <w:sz w:val="32"/>
    </w:rPr>
  </w:style>
  <w:style w:type="character" w:customStyle="1" w:styleId="707">
    <w:name w:val="正文-一体化 Char"/>
    <w:qFormat/>
    <w:uiPriority w:val="0"/>
    <w:rPr>
      <w:sz w:val="24"/>
    </w:rPr>
  </w:style>
  <w:style w:type="character" w:customStyle="1" w:styleId="708">
    <w:name w:val="样式 正文首行缩进 + 段前: 0.5 行 段后: 0.5 行 Char"/>
    <w:qFormat/>
    <w:uiPriority w:val="0"/>
    <w:rPr>
      <w:rFonts w:eastAsia="宋体"/>
      <w:kern w:val="2"/>
      <w:sz w:val="24"/>
      <w:lang w:val="en-US" w:eastAsia="zh-CN"/>
    </w:rPr>
  </w:style>
  <w:style w:type="character" w:customStyle="1" w:styleId="709">
    <w:name w:val="文档结构图 字符"/>
    <w:link w:val="19"/>
    <w:qFormat/>
    <w:uiPriority w:val="99"/>
    <w:rPr>
      <w:rFonts w:ascii="宋体"/>
      <w:kern w:val="2"/>
      <w:sz w:val="18"/>
      <w:szCs w:val="18"/>
    </w:rPr>
  </w:style>
  <w:style w:type="paragraph" w:customStyle="1" w:styleId="710">
    <w:name w:val="8"/>
    <w:qFormat/>
    <w:uiPriority w:val="99"/>
    <w:pPr>
      <w:widowControl w:val="0"/>
      <w:spacing w:beforeLines="50" w:afterLines="50" w:line="480" w:lineRule="exact"/>
      <w:ind w:firstLine="200" w:firstLineChars="200"/>
      <w:jc w:val="both"/>
    </w:pPr>
    <w:rPr>
      <w:rFonts w:ascii="Times New Roman" w:hAnsi="Times New Roman" w:eastAsia="宋体" w:cs="Times New Roman"/>
      <w:kern w:val="2"/>
      <w:sz w:val="24"/>
      <w:lang w:val="en-US" w:eastAsia="zh-CN" w:bidi="ar-SA"/>
    </w:rPr>
  </w:style>
  <w:style w:type="character" w:customStyle="1" w:styleId="711">
    <w:name w:val="无间隔 Char"/>
    <w:link w:val="460"/>
    <w:qFormat/>
    <w:uiPriority w:val="0"/>
    <w:rPr>
      <w:kern w:val="2"/>
      <w:sz w:val="24"/>
      <w:lang w:bidi="ar-SA"/>
    </w:rPr>
  </w:style>
  <w:style w:type="character" w:customStyle="1" w:styleId="712">
    <w:name w:val="批注主题 字符"/>
    <w:link w:val="43"/>
    <w:semiHidden/>
    <w:qFormat/>
    <w:uiPriority w:val="99"/>
    <w:rPr>
      <w:b/>
      <w:bCs/>
      <w:kern w:val="2"/>
      <w:sz w:val="24"/>
    </w:rPr>
  </w:style>
  <w:style w:type="paragraph" w:customStyle="1" w:styleId="713">
    <w:name w:val="正文缩进11"/>
    <w:basedOn w:val="1"/>
    <w:qFormat/>
    <w:uiPriority w:val="0"/>
    <w:pPr>
      <w:spacing w:before="0" w:after="0"/>
      <w:ind w:firstLine="420"/>
    </w:pPr>
    <w:rPr>
      <w:sz w:val="21"/>
      <w:szCs w:val="24"/>
    </w:rPr>
  </w:style>
  <w:style w:type="paragraph" w:customStyle="1" w:styleId="714">
    <w:name w:val="批注主题11"/>
    <w:basedOn w:val="20"/>
    <w:next w:val="20"/>
    <w:qFormat/>
    <w:uiPriority w:val="0"/>
    <w:pPr>
      <w:spacing w:before="0" w:after="0"/>
      <w:jc w:val="left"/>
    </w:pPr>
    <w:rPr>
      <w:b/>
      <w:bCs/>
      <w:szCs w:val="24"/>
    </w:rPr>
  </w:style>
  <w:style w:type="paragraph" w:customStyle="1" w:styleId="715">
    <w:name w:val="日期11"/>
    <w:basedOn w:val="1"/>
    <w:next w:val="1"/>
    <w:qFormat/>
    <w:uiPriority w:val="0"/>
    <w:pPr>
      <w:spacing w:before="0" w:after="0"/>
      <w:ind w:left="100" w:leftChars="2500"/>
    </w:pPr>
    <w:rPr>
      <w:szCs w:val="24"/>
    </w:rPr>
  </w:style>
  <w:style w:type="paragraph" w:customStyle="1" w:styleId="716">
    <w:name w:val="文本块11"/>
    <w:basedOn w:val="1"/>
    <w:qFormat/>
    <w:uiPriority w:val="0"/>
    <w:pPr>
      <w:spacing w:before="0" w:after="0" w:line="240" w:lineRule="auto"/>
      <w:ind w:left="1440" w:leftChars="700" w:right="1440" w:rightChars="700" w:firstLine="0"/>
    </w:pPr>
    <w:rPr>
      <w:rFonts w:ascii="Calibri" w:hAnsi="Calibri"/>
      <w:sz w:val="21"/>
      <w:szCs w:val="21"/>
    </w:rPr>
  </w:style>
  <w:style w:type="character" w:customStyle="1" w:styleId="717">
    <w:name w:val="称呼 Char"/>
    <w:link w:val="718"/>
    <w:qFormat/>
    <w:uiPriority w:val="0"/>
    <w:rPr>
      <w:rFonts w:ascii="Calibri" w:hAnsi="Calibri"/>
      <w:sz w:val="21"/>
    </w:rPr>
  </w:style>
  <w:style w:type="paragraph" w:customStyle="1" w:styleId="718">
    <w:name w:val="称呼1"/>
    <w:basedOn w:val="1"/>
    <w:next w:val="1"/>
    <w:link w:val="717"/>
    <w:qFormat/>
    <w:uiPriority w:val="0"/>
    <w:pPr>
      <w:spacing w:before="0" w:after="0" w:line="240" w:lineRule="auto"/>
      <w:ind w:firstLine="0"/>
      <w:jc w:val="left"/>
    </w:pPr>
    <w:rPr>
      <w:rFonts w:ascii="Calibri" w:hAnsi="Calibri"/>
      <w:kern w:val="0"/>
      <w:sz w:val="21"/>
    </w:rPr>
  </w:style>
  <w:style w:type="paragraph" w:customStyle="1" w:styleId="719">
    <w:name w:val="纯文本11"/>
    <w:basedOn w:val="1"/>
    <w:qFormat/>
    <w:uiPriority w:val="0"/>
    <w:pPr>
      <w:spacing w:before="0" w:after="0" w:line="240" w:lineRule="auto"/>
      <w:ind w:firstLine="0"/>
    </w:pPr>
    <w:rPr>
      <w:rFonts w:ascii="宋体" w:hAnsi="Courier New"/>
      <w:sz w:val="21"/>
      <w:szCs w:val="21"/>
    </w:rPr>
  </w:style>
  <w:style w:type="paragraph" w:customStyle="1" w:styleId="720">
    <w:name w:val="正文文本缩进11"/>
    <w:basedOn w:val="1"/>
    <w:qFormat/>
    <w:uiPriority w:val="0"/>
    <w:pPr>
      <w:spacing w:before="0" w:after="0"/>
      <w:ind w:left="420" w:leftChars="200" w:firstLine="0"/>
    </w:pPr>
    <w:rPr>
      <w:sz w:val="21"/>
      <w:szCs w:val="24"/>
    </w:rPr>
  </w:style>
  <w:style w:type="paragraph" w:customStyle="1" w:styleId="721">
    <w:name w:val="文档结构图11"/>
    <w:basedOn w:val="1"/>
    <w:qFormat/>
    <w:uiPriority w:val="0"/>
    <w:pPr>
      <w:shd w:val="clear" w:color="auto" w:fill="000080"/>
      <w:spacing w:before="0" w:after="0"/>
    </w:pPr>
    <w:rPr>
      <w:szCs w:val="24"/>
    </w:rPr>
  </w:style>
  <w:style w:type="paragraph" w:customStyle="1" w:styleId="722">
    <w:name w:val="正文文本缩进 211"/>
    <w:basedOn w:val="1"/>
    <w:qFormat/>
    <w:uiPriority w:val="0"/>
    <w:pPr>
      <w:spacing w:before="0" w:after="0" w:line="480" w:lineRule="auto"/>
      <w:ind w:left="420" w:leftChars="200" w:firstLine="0"/>
    </w:pPr>
    <w:rPr>
      <w:sz w:val="21"/>
      <w:szCs w:val="24"/>
    </w:rPr>
  </w:style>
  <w:style w:type="paragraph" w:customStyle="1" w:styleId="723">
    <w:name w:val="正文首行缩进11"/>
    <w:basedOn w:val="2"/>
    <w:qFormat/>
    <w:uiPriority w:val="0"/>
    <w:pPr>
      <w:spacing w:before="0" w:after="0"/>
      <w:ind w:firstLine="420"/>
    </w:pPr>
    <w:rPr>
      <w:sz w:val="21"/>
      <w:szCs w:val="24"/>
    </w:rPr>
  </w:style>
  <w:style w:type="character" w:customStyle="1" w:styleId="724">
    <w:name w:val="条标题1.1.1 Char Char"/>
    <w:qFormat/>
    <w:uiPriority w:val="0"/>
    <w:rPr>
      <w:rFonts w:eastAsia="华文细黑"/>
      <w:snapToGrid/>
      <w:color w:val="0000FF"/>
      <w:kern w:val="24"/>
      <w:sz w:val="28"/>
      <w:szCs w:val="28"/>
      <w:lang w:val="en-US" w:eastAsia="zh-CN"/>
    </w:rPr>
  </w:style>
  <w:style w:type="paragraph" w:customStyle="1" w:styleId="725">
    <w:name w:val="正文文本 311"/>
    <w:basedOn w:val="1"/>
    <w:qFormat/>
    <w:uiPriority w:val="0"/>
    <w:pPr>
      <w:spacing w:before="0" w:after="0" w:line="240" w:lineRule="auto"/>
      <w:ind w:firstLine="0"/>
    </w:pPr>
    <w:rPr>
      <w:sz w:val="16"/>
      <w:szCs w:val="16"/>
    </w:rPr>
  </w:style>
  <w:style w:type="paragraph" w:customStyle="1" w:styleId="726">
    <w:name w:val="HTML 地址11"/>
    <w:basedOn w:val="1"/>
    <w:qFormat/>
    <w:uiPriority w:val="0"/>
    <w:pPr>
      <w:spacing w:before="0" w:after="0" w:line="240" w:lineRule="auto"/>
      <w:ind w:firstLine="0"/>
    </w:pPr>
    <w:rPr>
      <w:i/>
      <w:iCs/>
      <w:sz w:val="21"/>
      <w:szCs w:val="24"/>
    </w:rPr>
  </w:style>
  <w:style w:type="paragraph" w:customStyle="1" w:styleId="727">
    <w:name w:val="正文首行缩进 211"/>
    <w:basedOn w:val="720"/>
    <w:qFormat/>
    <w:uiPriority w:val="0"/>
    <w:pPr>
      <w:ind w:firstLine="420" w:firstLineChars="200"/>
    </w:pPr>
    <w:rPr>
      <w:sz w:val="24"/>
    </w:rPr>
  </w:style>
  <w:style w:type="character" w:customStyle="1" w:styleId="728">
    <w:name w:val="明显参考11"/>
    <w:qFormat/>
    <w:uiPriority w:val="0"/>
    <w:rPr>
      <w:b/>
      <w:smallCaps/>
    </w:rPr>
  </w:style>
  <w:style w:type="paragraph" w:customStyle="1" w:styleId="729">
    <w:name w:val="正文文本缩进 311"/>
    <w:basedOn w:val="1"/>
    <w:qFormat/>
    <w:uiPriority w:val="0"/>
    <w:pPr>
      <w:adjustRightInd w:val="0"/>
      <w:spacing w:before="0" w:after="0" w:line="360" w:lineRule="atLeast"/>
      <w:ind w:left="420" w:leftChars="200" w:firstLine="0"/>
      <w:jc w:val="left"/>
      <w:textAlignment w:val="baseline"/>
    </w:pPr>
    <w:rPr>
      <w:sz w:val="16"/>
      <w:szCs w:val="16"/>
    </w:rPr>
  </w:style>
  <w:style w:type="paragraph" w:customStyle="1" w:styleId="730">
    <w:name w:val="HTML 预设格式1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0" w:lineRule="atLeast"/>
      <w:ind w:firstLine="0"/>
      <w:jc w:val="left"/>
    </w:pPr>
    <w:rPr>
      <w:rFonts w:ascii="Arial" w:hAnsi="Arial"/>
      <w:sz w:val="21"/>
      <w:szCs w:val="21"/>
    </w:rPr>
  </w:style>
  <w:style w:type="character" w:customStyle="1" w:styleId="731">
    <w:name w:val="HTML 打字机11"/>
    <w:qFormat/>
    <w:uiPriority w:val="0"/>
    <w:rPr>
      <w:rFonts w:ascii="Courier New" w:hAnsi="Courier New"/>
      <w:sz w:val="20"/>
      <w:szCs w:val="20"/>
    </w:rPr>
  </w:style>
  <w:style w:type="character" w:customStyle="1" w:styleId="732">
    <w:name w:val="不明显参考11"/>
    <w:qFormat/>
    <w:uiPriority w:val="0"/>
    <w:rPr>
      <w:smallCaps/>
    </w:rPr>
  </w:style>
  <w:style w:type="character" w:customStyle="1" w:styleId="733">
    <w:name w:val="明显强调11"/>
    <w:qFormat/>
    <w:uiPriority w:val="0"/>
    <w:rPr>
      <w:b/>
      <w:bCs/>
      <w:i/>
      <w:iCs/>
    </w:rPr>
  </w:style>
  <w:style w:type="character" w:customStyle="1" w:styleId="734">
    <w:name w:val="0段落 Char Char Char Char"/>
    <w:link w:val="735"/>
    <w:qFormat/>
    <w:uiPriority w:val="0"/>
    <w:rPr>
      <w:kern w:val="2"/>
      <w:sz w:val="21"/>
      <w:szCs w:val="21"/>
    </w:rPr>
  </w:style>
  <w:style w:type="paragraph" w:customStyle="1" w:styleId="735">
    <w:name w:val="0段落 Char"/>
    <w:basedOn w:val="713"/>
    <w:link w:val="734"/>
    <w:qFormat/>
    <w:uiPriority w:val="0"/>
    <w:pPr>
      <w:spacing w:line="288" w:lineRule="auto"/>
      <w:ind w:left="454"/>
    </w:pPr>
    <w:rPr>
      <w:szCs w:val="21"/>
    </w:rPr>
  </w:style>
  <w:style w:type="character" w:customStyle="1" w:styleId="736">
    <w:name w:val="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737">
    <w:name w:val="Char 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738">
    <w:name w:val="不明显强调11"/>
    <w:qFormat/>
    <w:uiPriority w:val="0"/>
    <w:rPr>
      <w:i/>
      <w:iCs/>
    </w:rPr>
  </w:style>
  <w:style w:type="character" w:customStyle="1" w:styleId="739">
    <w:name w:val="样式 标题 2H2h2l22nd level2Header 2节Titre2Heading 2 Hidden...1 Char Char"/>
    <w:qFormat/>
    <w:uiPriority w:val="0"/>
    <w:rPr>
      <w:rFonts w:ascii="Arial" w:hAnsi="Arial" w:eastAsia="黑体" w:cs="Arial"/>
      <w:b/>
      <w:bCs/>
      <w:kern w:val="2"/>
      <w:sz w:val="32"/>
      <w:szCs w:val="32"/>
      <w:lang w:val="en-US" w:eastAsia="zh-CN"/>
    </w:rPr>
  </w:style>
  <w:style w:type="character" w:customStyle="1" w:styleId="740">
    <w:name w:val="HTML 缩写11"/>
    <w:qFormat/>
    <w:uiPriority w:val="0"/>
  </w:style>
  <w:style w:type="character" w:customStyle="1" w:styleId="741">
    <w:name w:val="访问过的超链接1"/>
    <w:qFormat/>
    <w:uiPriority w:val="0"/>
    <w:rPr>
      <w:color w:val="800080"/>
      <w:u w:val="single"/>
    </w:rPr>
  </w:style>
  <w:style w:type="character" w:customStyle="1" w:styleId="742">
    <w:name w:val="Char Char12"/>
    <w:qFormat/>
    <w:uiPriority w:val="0"/>
    <w:rPr>
      <w:rFonts w:ascii="Arial" w:hAnsi="Arial" w:eastAsia="黑体"/>
      <w:b/>
      <w:bCs/>
      <w:kern w:val="2"/>
      <w:sz w:val="24"/>
      <w:szCs w:val="24"/>
    </w:rPr>
  </w:style>
  <w:style w:type="character" w:customStyle="1" w:styleId="743">
    <w:name w:val="HTML 变量11"/>
    <w:qFormat/>
    <w:uiPriority w:val="0"/>
    <w:rPr>
      <w:i/>
      <w:iCs/>
    </w:rPr>
  </w:style>
  <w:style w:type="character" w:customStyle="1" w:styleId="744">
    <w:name w:val="样式7 Char Char"/>
    <w:qFormat/>
    <w:uiPriority w:val="0"/>
    <w:rPr>
      <w:rFonts w:eastAsia="黑体"/>
      <w:b/>
      <w:caps/>
      <w:color w:val="FF0000"/>
      <w:kern w:val="2"/>
      <w:sz w:val="44"/>
      <w:szCs w:val="24"/>
      <w:lang w:val="en-US" w:eastAsia="zh-CN"/>
    </w:rPr>
  </w:style>
  <w:style w:type="character" w:customStyle="1" w:styleId="745">
    <w:name w:val="mlt-表格标题 Char Char"/>
    <w:link w:val="746"/>
    <w:qFormat/>
    <w:uiPriority w:val="0"/>
    <w:rPr>
      <w:rFonts w:ascii="Calibri" w:hAnsi="Calibri"/>
      <w:kern w:val="2"/>
      <w:sz w:val="21"/>
      <w:szCs w:val="21"/>
    </w:rPr>
  </w:style>
  <w:style w:type="paragraph" w:customStyle="1" w:styleId="746">
    <w:name w:val="mlt-表格标题"/>
    <w:basedOn w:val="10"/>
    <w:link w:val="745"/>
    <w:qFormat/>
    <w:uiPriority w:val="0"/>
    <w:pPr>
      <w:keepNext w:val="0"/>
      <w:keepLines w:val="0"/>
      <w:numPr>
        <w:numId w:val="0"/>
      </w:numPr>
      <w:tabs>
        <w:tab w:val="left" w:pos="1296"/>
        <w:tab w:val="left" w:pos="3420"/>
      </w:tabs>
      <w:spacing w:before="0" w:after="0" w:line="240" w:lineRule="auto"/>
      <w:ind w:left="3420" w:hanging="420"/>
      <w:jc w:val="left"/>
    </w:pPr>
    <w:rPr>
      <w:rFonts w:ascii="Calibri" w:hAnsi="Calibri"/>
      <w:b w:val="0"/>
      <w:sz w:val="21"/>
      <w:szCs w:val="21"/>
    </w:rPr>
  </w:style>
  <w:style w:type="character" w:customStyle="1" w:styleId="747">
    <w:name w:val="HTML 引文11"/>
    <w:qFormat/>
    <w:uiPriority w:val="0"/>
    <w:rPr>
      <w:i/>
      <w:iCs/>
    </w:rPr>
  </w:style>
  <w:style w:type="paragraph" w:customStyle="1" w:styleId="748">
    <w:name w:val="明显引用11"/>
    <w:basedOn w:val="1"/>
    <w:next w:val="1"/>
    <w:qFormat/>
    <w:uiPriority w:val="0"/>
    <w:pPr>
      <w:pBdr>
        <w:top w:val="single" w:color="auto" w:sz="4" w:space="10"/>
        <w:bottom w:val="single" w:color="auto" w:sz="4" w:space="10"/>
      </w:pBdr>
      <w:spacing w:before="0" w:after="0" w:line="300" w:lineRule="auto"/>
      <w:ind w:left="1152" w:right="1152" w:firstLine="0"/>
    </w:pPr>
    <w:rPr>
      <w:rFonts w:ascii="Cambria" w:hAnsi="Cambria"/>
      <w:i/>
      <w:iCs/>
      <w:sz w:val="22"/>
      <w:szCs w:val="24"/>
      <w:lang w:eastAsia="en-US"/>
    </w:rPr>
  </w:style>
  <w:style w:type="character" w:customStyle="1" w:styleId="749">
    <w:name w:val="Char Char15"/>
    <w:qFormat/>
    <w:uiPriority w:val="0"/>
    <w:rPr>
      <w:rFonts w:eastAsia="宋体"/>
      <w:kern w:val="2"/>
      <w:sz w:val="18"/>
      <w:lang w:val="en-US" w:eastAsia="zh-CN"/>
    </w:rPr>
  </w:style>
  <w:style w:type="character" w:customStyle="1" w:styleId="750">
    <w:name w:val="正文缩进2"/>
    <w:qFormat/>
    <w:uiPriority w:val="0"/>
    <w:rPr>
      <w:rFonts w:eastAsia="宋体"/>
      <w:kern w:val="2"/>
      <w:sz w:val="24"/>
      <w:szCs w:val="24"/>
      <w:lang w:val="en-US" w:eastAsia="zh-CN"/>
    </w:rPr>
  </w:style>
  <w:style w:type="character" w:customStyle="1" w:styleId="751">
    <w:name w:val="页码11"/>
    <w:qFormat/>
    <w:uiPriority w:val="0"/>
  </w:style>
  <w:style w:type="character" w:customStyle="1" w:styleId="752">
    <w:name w:val="Char Char9"/>
    <w:qFormat/>
    <w:uiPriority w:val="0"/>
    <w:rPr>
      <w:rFonts w:eastAsia="宋体"/>
      <w:kern w:val="2"/>
      <w:sz w:val="18"/>
      <w:szCs w:val="18"/>
      <w:lang w:val="en-US" w:eastAsia="zh-CN"/>
    </w:rPr>
  </w:style>
  <w:style w:type="character" w:customStyle="1" w:styleId="753">
    <w:name w:val="不明显参考2"/>
    <w:qFormat/>
    <w:uiPriority w:val="0"/>
    <w:rPr>
      <w:smallCaps/>
    </w:rPr>
  </w:style>
  <w:style w:type="character" w:customStyle="1" w:styleId="754">
    <w:name w:val="正文缩进3"/>
    <w:qFormat/>
    <w:uiPriority w:val="0"/>
    <w:rPr>
      <w:rFonts w:eastAsia="宋体"/>
      <w:kern w:val="2"/>
      <w:sz w:val="24"/>
      <w:lang w:val="en-US" w:eastAsia="zh-CN"/>
    </w:rPr>
  </w:style>
  <w:style w:type="character" w:customStyle="1" w:styleId="755">
    <w:name w:val="页码2"/>
    <w:qFormat/>
    <w:uiPriority w:val="0"/>
  </w:style>
  <w:style w:type="character" w:customStyle="1" w:styleId="756">
    <w:name w:val="批注引用11"/>
    <w:qFormat/>
    <w:uiPriority w:val="0"/>
    <w:rPr>
      <w:sz w:val="21"/>
      <w:szCs w:val="21"/>
    </w:rPr>
  </w:style>
  <w:style w:type="character" w:customStyle="1" w:styleId="757">
    <w:name w:val="表格文字 Char Char"/>
    <w:link w:val="758"/>
    <w:qFormat/>
    <w:uiPriority w:val="0"/>
    <w:rPr>
      <w:rFonts w:ascii="Calibri" w:hAnsi="Calibri"/>
      <w:sz w:val="21"/>
    </w:rPr>
  </w:style>
  <w:style w:type="paragraph" w:customStyle="1" w:styleId="758">
    <w:name w:val="表格文字"/>
    <w:basedOn w:val="1"/>
    <w:link w:val="757"/>
    <w:qFormat/>
    <w:uiPriority w:val="0"/>
    <w:pPr>
      <w:adjustRightInd w:val="0"/>
      <w:snapToGrid w:val="0"/>
      <w:spacing w:before="0" w:after="0" w:line="240" w:lineRule="auto"/>
      <w:ind w:firstLine="0"/>
      <w:jc w:val="center"/>
    </w:pPr>
    <w:rPr>
      <w:rFonts w:ascii="Calibri" w:hAnsi="Calibri"/>
      <w:kern w:val="0"/>
      <w:sz w:val="21"/>
    </w:rPr>
  </w:style>
  <w:style w:type="character" w:customStyle="1" w:styleId="759">
    <w:name w:val="样式2 Char Char Char"/>
    <w:qFormat/>
    <w:uiPriority w:val="0"/>
    <w:rPr>
      <w:kern w:val="2"/>
      <w:sz w:val="21"/>
      <w:szCs w:val="24"/>
    </w:rPr>
  </w:style>
  <w:style w:type="character" w:customStyle="1" w:styleId="760">
    <w:name w:val="HTML 代码11"/>
    <w:qFormat/>
    <w:uiPriority w:val="0"/>
    <w:rPr>
      <w:rFonts w:ascii="Courier New" w:hAnsi="Courier New"/>
      <w:sz w:val="20"/>
      <w:szCs w:val="20"/>
    </w:rPr>
  </w:style>
  <w:style w:type="character" w:customStyle="1" w:styleId="761">
    <w:name w:val="HTML 定义11"/>
    <w:qFormat/>
    <w:uiPriority w:val="0"/>
    <w:rPr>
      <w:i/>
      <w:iCs/>
    </w:rPr>
  </w:style>
  <w:style w:type="character" w:customStyle="1" w:styleId="762">
    <w:name w:val="HTML 键盘11"/>
    <w:qFormat/>
    <w:uiPriority w:val="0"/>
    <w:rPr>
      <w:rFonts w:ascii="Courier New" w:hAnsi="Courier New"/>
      <w:sz w:val="20"/>
      <w:szCs w:val="20"/>
    </w:rPr>
  </w:style>
  <w:style w:type="character" w:customStyle="1" w:styleId="763">
    <w:name w:val="HTML 缩写2"/>
    <w:qFormat/>
    <w:uiPriority w:val="0"/>
  </w:style>
  <w:style w:type="character" w:customStyle="1" w:styleId="764">
    <w:name w:val="HTML 样本11"/>
    <w:qFormat/>
    <w:uiPriority w:val="0"/>
    <w:rPr>
      <w:rFonts w:ascii="Courier New" w:hAnsi="Courier New"/>
    </w:rPr>
  </w:style>
  <w:style w:type="character" w:customStyle="1" w:styleId="765">
    <w:name w:val="文本块 Char1"/>
    <w:qFormat/>
    <w:uiPriority w:val="0"/>
    <w:rPr>
      <w:rFonts w:ascii="Cambria" w:hAnsi="Cambria"/>
      <w:i/>
      <w:iCs/>
      <w:sz w:val="22"/>
      <w:lang w:eastAsia="en-US"/>
    </w:rPr>
  </w:style>
  <w:style w:type="character" w:customStyle="1" w:styleId="766">
    <w:name w:val="明显参考2"/>
    <w:qFormat/>
    <w:uiPriority w:val="0"/>
    <w:rPr>
      <w:b/>
      <w:bCs/>
      <w:smallCaps/>
    </w:rPr>
  </w:style>
  <w:style w:type="character" w:customStyle="1" w:styleId="767">
    <w:name w:val="书籍标题11"/>
    <w:qFormat/>
    <w:uiPriority w:val="0"/>
    <w:rPr>
      <w:i/>
      <w:iCs/>
      <w:smallCaps/>
      <w:spacing w:val="5"/>
    </w:rPr>
  </w:style>
  <w:style w:type="character" w:customStyle="1" w:styleId="768">
    <w:name w:val="“上标”样式"/>
    <w:qFormat/>
    <w:uiPriority w:val="0"/>
    <w:rPr>
      <w:rFonts w:ascii="Times New Roman" w:hAnsi="Times New Roman" w:eastAsia="宋体"/>
      <w:sz w:val="24"/>
      <w:vertAlign w:val="superscript"/>
    </w:rPr>
  </w:style>
  <w:style w:type="character" w:customStyle="1" w:styleId="769">
    <w:name w:val="封面“EPC联合体”西文文字 Char Char"/>
    <w:link w:val="770"/>
    <w:qFormat/>
    <w:uiPriority w:val="0"/>
    <w:rPr>
      <w:rFonts w:ascii="Calibri"/>
      <w:b/>
      <w:sz w:val="32"/>
      <w:szCs w:val="32"/>
    </w:rPr>
  </w:style>
  <w:style w:type="paragraph" w:customStyle="1" w:styleId="770">
    <w:name w:val="封面“EPC联合体”西文文字"/>
    <w:basedOn w:val="203"/>
    <w:link w:val="769"/>
    <w:qFormat/>
    <w:uiPriority w:val="0"/>
    <w:pPr>
      <w:spacing w:before="0" w:after="0" w:line="240" w:lineRule="auto"/>
      <w:jc w:val="center"/>
    </w:pPr>
    <w:rPr>
      <w:rFonts w:ascii="Calibri" w:hAnsi="Times New Roman"/>
      <w:kern w:val="0"/>
      <w:szCs w:val="32"/>
    </w:rPr>
  </w:style>
  <w:style w:type="character" w:customStyle="1" w:styleId="771">
    <w:name w:val="style271"/>
    <w:qFormat/>
    <w:uiPriority w:val="0"/>
    <w:rPr>
      <w:rFonts w:hint="eastAsia" w:ascii="宋体" w:hAnsi="宋体" w:eastAsia="宋体"/>
    </w:rPr>
  </w:style>
  <w:style w:type="character" w:customStyle="1" w:styleId="772">
    <w:name w:val="d Char"/>
    <w:qFormat/>
    <w:uiPriority w:val="0"/>
    <w:rPr>
      <w:rFonts w:eastAsia="宋体"/>
      <w:b/>
      <w:bCs/>
      <w:kern w:val="2"/>
      <w:sz w:val="24"/>
      <w:szCs w:val="32"/>
      <w:lang w:val="en-US" w:eastAsia="zh-CN"/>
    </w:rPr>
  </w:style>
  <w:style w:type="character" w:customStyle="1" w:styleId="773">
    <w:name w:val="lgbluetitle"/>
    <w:qFormat/>
    <w:uiPriority w:val="0"/>
  </w:style>
  <w:style w:type="character" w:customStyle="1" w:styleId="774">
    <w:name w:val="newsbody1"/>
    <w:qFormat/>
    <w:uiPriority w:val="0"/>
    <w:rPr>
      <w:sz w:val="21"/>
      <w:szCs w:val="21"/>
    </w:rPr>
  </w:style>
  <w:style w:type="character" w:customStyle="1" w:styleId="775">
    <w:name w:val="zhou11"/>
    <w:qFormat/>
    <w:uiPriority w:val="0"/>
    <w:rPr>
      <w:color w:val="000000"/>
      <w:sz w:val="17"/>
      <w:szCs w:val="17"/>
    </w:rPr>
  </w:style>
  <w:style w:type="character" w:customStyle="1" w:styleId="776">
    <w:name w:val="Char Char3"/>
    <w:qFormat/>
    <w:uiPriority w:val="0"/>
    <w:rPr>
      <w:rFonts w:ascii="Arial" w:hAnsi="Arial" w:eastAsia="宋体"/>
      <w:b/>
      <w:bCs/>
      <w:kern w:val="2"/>
      <w:sz w:val="28"/>
      <w:szCs w:val="32"/>
      <w:lang w:val="en-US" w:eastAsia="zh-CN"/>
    </w:rPr>
  </w:style>
  <w:style w:type="character" w:customStyle="1" w:styleId="777">
    <w:name w:val="正文（首行缩进两字） Char2"/>
    <w:qFormat/>
    <w:uiPriority w:val="0"/>
    <w:rPr>
      <w:rFonts w:eastAsia="宋体"/>
      <w:kern w:val="2"/>
      <w:sz w:val="24"/>
      <w:lang w:val="en-US" w:eastAsia="zh-CN"/>
    </w:rPr>
  </w:style>
  <w:style w:type="character" w:customStyle="1" w:styleId="778">
    <w:name w:val="3zw1"/>
    <w:qFormat/>
    <w:uiPriority w:val="0"/>
    <w:rPr>
      <w:color w:val="000000"/>
      <w:sz w:val="21"/>
      <w:szCs w:val="21"/>
    </w:rPr>
  </w:style>
  <w:style w:type="character" w:customStyle="1" w:styleId="779">
    <w:name w:val="正文（首行缩进2字符） Char Char"/>
    <w:link w:val="780"/>
    <w:qFormat/>
    <w:uiPriority w:val="0"/>
    <w:rPr>
      <w:rFonts w:ascii="Calibri" w:hAnsi="Calibri"/>
      <w:sz w:val="24"/>
      <w:szCs w:val="24"/>
    </w:rPr>
  </w:style>
  <w:style w:type="paragraph" w:customStyle="1" w:styleId="780">
    <w:name w:val="正文（首行缩进2字符）"/>
    <w:basedOn w:val="1"/>
    <w:link w:val="779"/>
    <w:qFormat/>
    <w:uiPriority w:val="0"/>
    <w:pPr>
      <w:spacing w:before="0" w:after="0"/>
      <w:ind w:firstLine="0"/>
      <w:jc w:val="left"/>
    </w:pPr>
    <w:rPr>
      <w:rFonts w:ascii="Calibri" w:hAnsi="Calibri"/>
      <w:kern w:val="0"/>
      <w:szCs w:val="24"/>
    </w:rPr>
  </w:style>
  <w:style w:type="character" w:customStyle="1" w:styleId="781">
    <w:name w:val="图形标注 Char Char"/>
    <w:link w:val="782"/>
    <w:qFormat/>
    <w:uiPriority w:val="0"/>
    <w:rPr>
      <w:rFonts w:eastAsia="仿宋_GB2312"/>
      <w:kern w:val="6"/>
      <w:sz w:val="24"/>
      <w:szCs w:val="24"/>
    </w:rPr>
  </w:style>
  <w:style w:type="paragraph" w:customStyle="1" w:styleId="782">
    <w:name w:val="图形标注"/>
    <w:basedOn w:val="713"/>
    <w:next w:val="713"/>
    <w:link w:val="781"/>
    <w:qFormat/>
    <w:uiPriority w:val="0"/>
    <w:pPr>
      <w:spacing w:line="500" w:lineRule="exact"/>
      <w:ind w:left="5103" w:hanging="5103"/>
      <w:jc w:val="center"/>
    </w:pPr>
    <w:rPr>
      <w:rFonts w:eastAsia="仿宋_GB2312"/>
      <w:kern w:val="6"/>
      <w:sz w:val="24"/>
    </w:rPr>
  </w:style>
  <w:style w:type="character" w:customStyle="1" w:styleId="783">
    <w:name w:val="正文首行缩进:  2 字符 Char Char Char"/>
    <w:link w:val="784"/>
    <w:qFormat/>
    <w:uiPriority w:val="0"/>
    <w:rPr>
      <w:rFonts w:ascii="Arial" w:hAnsi="Arial" w:cs="宋体"/>
      <w:sz w:val="24"/>
      <w:szCs w:val="24"/>
    </w:rPr>
  </w:style>
  <w:style w:type="paragraph" w:customStyle="1" w:styleId="784">
    <w:name w:val="正文首行缩进:  2 字符 Char"/>
    <w:basedOn w:val="1"/>
    <w:link w:val="783"/>
    <w:qFormat/>
    <w:uiPriority w:val="0"/>
    <w:pPr>
      <w:spacing w:before="0" w:after="0"/>
      <w:ind w:firstLine="0"/>
      <w:jc w:val="left"/>
    </w:pPr>
    <w:rPr>
      <w:rFonts w:ascii="Arial" w:hAnsi="Arial"/>
      <w:kern w:val="0"/>
      <w:szCs w:val="24"/>
    </w:rPr>
  </w:style>
  <w:style w:type="character" w:customStyle="1" w:styleId="785">
    <w:name w:val="正文 + 宋体 Char"/>
    <w:qFormat/>
    <w:uiPriority w:val="0"/>
    <w:rPr>
      <w:rFonts w:ascii="宋体" w:hAnsi="宋体" w:eastAsia="宋体"/>
      <w:kern w:val="2"/>
      <w:sz w:val="24"/>
      <w:szCs w:val="24"/>
      <w:u w:val="single"/>
      <w:lang w:val="en-US" w:eastAsia="zh-CN"/>
    </w:rPr>
  </w:style>
  <w:style w:type="character" w:customStyle="1" w:styleId="786">
    <w:name w:val="unnamed41"/>
    <w:qFormat/>
    <w:uiPriority w:val="0"/>
    <w:rPr>
      <w:color w:val="333333"/>
      <w:spacing w:val="360"/>
      <w:sz w:val="18"/>
      <w:szCs w:val="18"/>
    </w:rPr>
  </w:style>
  <w:style w:type="character" w:customStyle="1" w:styleId="787">
    <w:name w:val="style221"/>
    <w:qFormat/>
    <w:uiPriority w:val="0"/>
    <w:rPr>
      <w:rFonts w:hint="default" w:ascii="Arial" w:hAnsi="Arial" w:cs="Arial"/>
      <w:b/>
      <w:bCs/>
      <w:color w:val="FFA523"/>
      <w:sz w:val="27"/>
      <w:szCs w:val="27"/>
    </w:rPr>
  </w:style>
  <w:style w:type="character" w:customStyle="1" w:styleId="788">
    <w:name w:val="EmailStyle67"/>
    <w:qFormat/>
    <w:uiPriority w:val="0"/>
    <w:rPr>
      <w:rFonts w:ascii="Arial" w:hAnsi="Arial" w:eastAsia="宋体" w:cs="Arial"/>
      <w:color w:val="auto"/>
      <w:sz w:val="20"/>
    </w:rPr>
  </w:style>
  <w:style w:type="character" w:customStyle="1" w:styleId="789">
    <w:name w:val="EmailStyle68"/>
    <w:qFormat/>
    <w:uiPriority w:val="0"/>
    <w:rPr>
      <w:rFonts w:ascii="Arial" w:hAnsi="Arial" w:eastAsia="宋体" w:cs="Arial"/>
      <w:color w:val="auto"/>
      <w:sz w:val="20"/>
    </w:rPr>
  </w:style>
  <w:style w:type="character" w:customStyle="1" w:styleId="790">
    <w:name w:val="even Char Char"/>
    <w:qFormat/>
    <w:uiPriority w:val="0"/>
    <w:rPr>
      <w:rFonts w:eastAsia="宋体"/>
      <w:kern w:val="2"/>
      <w:sz w:val="18"/>
      <w:szCs w:val="18"/>
    </w:rPr>
  </w:style>
  <w:style w:type="character" w:customStyle="1" w:styleId="791">
    <w:name w:val="Char Char7"/>
    <w:qFormat/>
    <w:uiPriority w:val="0"/>
    <w:rPr>
      <w:rFonts w:ascii="宋体" w:hAnsi="Courier New"/>
      <w:kern w:val="2"/>
      <w:sz w:val="21"/>
    </w:rPr>
  </w:style>
  <w:style w:type="character" w:customStyle="1" w:styleId="792">
    <w:name w:val="Char Char13"/>
    <w:qFormat/>
    <w:uiPriority w:val="0"/>
    <w:rPr>
      <w:b/>
      <w:bCs/>
      <w:kern w:val="2"/>
      <w:sz w:val="28"/>
      <w:szCs w:val="28"/>
    </w:rPr>
  </w:style>
  <w:style w:type="character" w:customStyle="1" w:styleId="793">
    <w:name w:val="Char Char11"/>
    <w:qFormat/>
    <w:uiPriority w:val="0"/>
    <w:rPr>
      <w:rFonts w:ascii="Arial" w:hAnsi="Arial" w:eastAsia="黑体"/>
      <w:kern w:val="2"/>
      <w:sz w:val="24"/>
      <w:szCs w:val="24"/>
    </w:rPr>
  </w:style>
  <w:style w:type="character" w:customStyle="1" w:styleId="794">
    <w:name w:val="图形 Char Char"/>
    <w:link w:val="795"/>
    <w:qFormat/>
    <w:uiPriority w:val="0"/>
    <w:rPr>
      <w:rFonts w:ascii="Calibri" w:hAnsi="Calibri"/>
      <w:sz w:val="24"/>
    </w:rPr>
  </w:style>
  <w:style w:type="paragraph" w:customStyle="1" w:styleId="795">
    <w:name w:val="图形"/>
    <w:basedOn w:val="1"/>
    <w:next w:val="383"/>
    <w:link w:val="794"/>
    <w:qFormat/>
    <w:uiPriority w:val="0"/>
    <w:pPr>
      <w:spacing w:before="0" w:after="0"/>
      <w:ind w:firstLine="0"/>
      <w:jc w:val="center"/>
    </w:pPr>
    <w:rPr>
      <w:rFonts w:ascii="Calibri" w:hAnsi="Calibri"/>
      <w:kern w:val="0"/>
    </w:rPr>
  </w:style>
  <w:style w:type="character" w:customStyle="1" w:styleId="796">
    <w:name w:val="文本正文 Char Char"/>
    <w:link w:val="797"/>
    <w:qFormat/>
    <w:uiPriority w:val="0"/>
    <w:rPr>
      <w:rFonts w:ascii="Calibri" w:hAnsi="Calibri"/>
      <w:sz w:val="28"/>
    </w:rPr>
  </w:style>
  <w:style w:type="paragraph" w:customStyle="1" w:styleId="797">
    <w:name w:val="文本正文"/>
    <w:basedOn w:val="1"/>
    <w:link w:val="796"/>
    <w:qFormat/>
    <w:uiPriority w:val="0"/>
    <w:pPr>
      <w:spacing w:before="0" w:after="0"/>
      <w:ind w:firstLine="560"/>
      <w:jc w:val="left"/>
    </w:pPr>
    <w:rPr>
      <w:rFonts w:ascii="Calibri" w:hAnsi="Calibri"/>
      <w:kern w:val="0"/>
      <w:sz w:val="28"/>
    </w:rPr>
  </w:style>
  <w:style w:type="character" w:customStyle="1" w:styleId="798">
    <w:name w:val="Char Char Char Char Char Char Char Char Char Char Char Char Char Char Char Char Char Char Char Char Char Char Char Char Char Char Char Char Char"/>
    <w:qFormat/>
    <w:uiPriority w:val="0"/>
    <w:rPr>
      <w:rFonts w:ascii="Tahoma" w:hAnsi="Tahoma"/>
      <w:kern w:val="2"/>
      <w:sz w:val="24"/>
    </w:rPr>
  </w:style>
  <w:style w:type="paragraph" w:customStyle="1" w:styleId="799">
    <w:name w:val="索引 711"/>
    <w:basedOn w:val="1"/>
    <w:next w:val="1"/>
    <w:qFormat/>
    <w:uiPriority w:val="0"/>
    <w:pPr>
      <w:spacing w:before="0" w:after="0" w:line="240" w:lineRule="auto"/>
      <w:ind w:left="1200" w:leftChars="1200" w:firstLine="0"/>
    </w:pPr>
    <w:rPr>
      <w:sz w:val="21"/>
      <w:szCs w:val="24"/>
    </w:rPr>
  </w:style>
  <w:style w:type="paragraph" w:customStyle="1" w:styleId="800">
    <w:name w:val="Char Char Char Char Char Char"/>
    <w:basedOn w:val="721"/>
    <w:qFormat/>
    <w:uiPriority w:val="0"/>
    <w:pPr>
      <w:spacing w:line="240" w:lineRule="auto"/>
      <w:ind w:firstLine="0"/>
    </w:pPr>
    <w:rPr>
      <w:rFonts w:ascii="Tahoma" w:hAnsi="Tahoma" w:cs="Tahoma"/>
      <w:kern w:val="0"/>
      <w:sz w:val="18"/>
    </w:rPr>
  </w:style>
  <w:style w:type="paragraph" w:customStyle="1" w:styleId="801">
    <w:name w:val="Table Style"/>
    <w:basedOn w:val="1"/>
    <w:qFormat/>
    <w:uiPriority w:val="0"/>
    <w:pPr>
      <w:tabs>
        <w:tab w:val="left" w:pos="1440"/>
      </w:tabs>
      <w:spacing w:before="0" w:after="0" w:line="276" w:lineRule="auto"/>
      <w:ind w:firstLine="0"/>
      <w:jc w:val="left"/>
    </w:pPr>
    <w:rPr>
      <w:rFonts w:ascii="Calibri" w:hAnsi="Calibri"/>
      <w:kern w:val="0"/>
      <w:szCs w:val="22"/>
      <w:lang w:eastAsia="en-US"/>
    </w:rPr>
  </w:style>
  <w:style w:type="paragraph" w:customStyle="1" w:styleId="802">
    <w:name w:val="Text"/>
    <w:basedOn w:val="1"/>
    <w:qFormat/>
    <w:uiPriority w:val="0"/>
    <w:pPr>
      <w:spacing w:before="0" w:after="0" w:line="276" w:lineRule="auto"/>
      <w:ind w:firstLine="0"/>
      <w:jc w:val="left"/>
    </w:pPr>
    <w:rPr>
      <w:rFonts w:ascii="Arial" w:hAnsi="Arial" w:cs="Courier New"/>
      <w:kern w:val="0"/>
      <w:sz w:val="22"/>
      <w:szCs w:val="21"/>
      <w:lang w:eastAsia="en-US"/>
    </w:rPr>
  </w:style>
  <w:style w:type="paragraph" w:customStyle="1" w:styleId="803">
    <w:name w:val="修订2"/>
    <w:qFormat/>
    <w:uiPriority w:val="0"/>
    <w:pPr>
      <w:spacing w:before="156" w:after="156" w:line="360" w:lineRule="auto"/>
      <w:ind w:firstLine="482"/>
      <w:jc w:val="both"/>
    </w:pPr>
    <w:rPr>
      <w:rFonts w:ascii="Times New Roman" w:hAnsi="Times New Roman" w:eastAsia="宋体" w:cs="Times New Roman"/>
      <w:kern w:val="2"/>
      <w:sz w:val="24"/>
      <w:szCs w:val="24"/>
      <w:lang w:val="en-US" w:eastAsia="zh-CN" w:bidi="ar-SA"/>
    </w:rPr>
  </w:style>
  <w:style w:type="paragraph" w:customStyle="1" w:styleId="804">
    <w:name w:val="Char Char Char Char"/>
    <w:basedOn w:val="1"/>
    <w:qFormat/>
    <w:uiPriority w:val="0"/>
    <w:pPr>
      <w:spacing w:before="0" w:after="0"/>
      <w:ind w:left="454"/>
    </w:pPr>
    <w:rPr>
      <w:sz w:val="21"/>
      <w:szCs w:val="24"/>
    </w:rPr>
  </w:style>
  <w:style w:type="paragraph" w:customStyle="1" w:styleId="805">
    <w:name w:val="索引 611"/>
    <w:basedOn w:val="1"/>
    <w:next w:val="1"/>
    <w:qFormat/>
    <w:uiPriority w:val="0"/>
    <w:pPr>
      <w:spacing w:before="0" w:after="0" w:line="240" w:lineRule="auto"/>
      <w:ind w:left="1000" w:leftChars="1000" w:firstLine="0"/>
    </w:pPr>
    <w:rPr>
      <w:sz w:val="21"/>
      <w:szCs w:val="24"/>
    </w:rPr>
  </w:style>
  <w:style w:type="paragraph" w:customStyle="1" w:styleId="806">
    <w:name w:val="索引 311"/>
    <w:basedOn w:val="1"/>
    <w:next w:val="1"/>
    <w:qFormat/>
    <w:uiPriority w:val="0"/>
    <w:pPr>
      <w:spacing w:before="0" w:after="0" w:line="240" w:lineRule="auto"/>
      <w:ind w:left="400" w:leftChars="400" w:firstLine="0"/>
    </w:pPr>
    <w:rPr>
      <w:sz w:val="21"/>
      <w:szCs w:val="24"/>
    </w:rPr>
  </w:style>
  <w:style w:type="paragraph" w:customStyle="1" w:styleId="807">
    <w:name w:val="普通(网站)11"/>
    <w:basedOn w:val="1"/>
    <w:qFormat/>
    <w:uiPriority w:val="0"/>
    <w:pPr>
      <w:spacing w:before="0" w:after="0" w:line="240" w:lineRule="auto"/>
      <w:ind w:firstLine="0"/>
      <w:jc w:val="left"/>
    </w:pPr>
    <w:rPr>
      <w:kern w:val="0"/>
      <w:szCs w:val="24"/>
    </w:rPr>
  </w:style>
  <w:style w:type="paragraph" w:customStyle="1" w:styleId="808">
    <w:name w:val="列表 211"/>
    <w:basedOn w:val="1"/>
    <w:qFormat/>
    <w:uiPriority w:val="0"/>
    <w:pPr>
      <w:spacing w:before="0" w:after="0"/>
      <w:ind w:left="100" w:leftChars="200" w:hanging="200" w:hangingChars="200"/>
    </w:pPr>
    <w:rPr>
      <w:szCs w:val="24"/>
    </w:rPr>
  </w:style>
  <w:style w:type="paragraph" w:customStyle="1" w:styleId="809">
    <w:name w:val="列表11"/>
    <w:basedOn w:val="1"/>
    <w:qFormat/>
    <w:uiPriority w:val="0"/>
    <w:pPr>
      <w:spacing w:before="0" w:after="0"/>
      <w:ind w:left="200" w:hanging="200" w:hangingChars="200"/>
    </w:pPr>
    <w:rPr>
      <w:szCs w:val="24"/>
    </w:rPr>
  </w:style>
  <w:style w:type="paragraph" w:customStyle="1" w:styleId="810">
    <w:name w:val="索引 511"/>
    <w:basedOn w:val="1"/>
    <w:next w:val="1"/>
    <w:qFormat/>
    <w:uiPriority w:val="0"/>
    <w:pPr>
      <w:spacing w:before="0" w:after="0" w:line="240" w:lineRule="auto"/>
      <w:ind w:left="800" w:leftChars="800" w:firstLine="0"/>
    </w:pPr>
    <w:rPr>
      <w:sz w:val="21"/>
      <w:szCs w:val="24"/>
    </w:rPr>
  </w:style>
  <w:style w:type="paragraph" w:customStyle="1" w:styleId="811">
    <w:name w:val="索引 411"/>
    <w:basedOn w:val="1"/>
    <w:next w:val="1"/>
    <w:qFormat/>
    <w:uiPriority w:val="0"/>
    <w:pPr>
      <w:spacing w:before="0" w:after="0" w:line="240" w:lineRule="auto"/>
      <w:ind w:left="600" w:leftChars="600" w:firstLine="0"/>
    </w:pPr>
    <w:rPr>
      <w:sz w:val="21"/>
      <w:szCs w:val="24"/>
    </w:rPr>
  </w:style>
  <w:style w:type="paragraph" w:customStyle="1" w:styleId="812">
    <w:name w:val="TOC 标题11"/>
    <w:basedOn w:val="4"/>
    <w:next w:val="1"/>
    <w:qFormat/>
    <w:uiPriority w:val="0"/>
    <w:pPr>
      <w:tabs>
        <w:tab w:val="left" w:pos="0"/>
      </w:tabs>
      <w:spacing w:before="0" w:after="0" w:line="276" w:lineRule="auto"/>
      <w:jc w:val="left"/>
      <w:outlineLvl w:val="9"/>
    </w:pPr>
    <w:rPr>
      <w:rFonts w:ascii="Cambria" w:hAnsi="Cambria"/>
      <w:color w:val="365F91"/>
      <w:kern w:val="0"/>
      <w:szCs w:val="28"/>
    </w:rPr>
  </w:style>
  <w:style w:type="paragraph" w:customStyle="1" w:styleId="813">
    <w:name w:val="图表目录11"/>
    <w:basedOn w:val="1"/>
    <w:next w:val="1"/>
    <w:qFormat/>
    <w:uiPriority w:val="0"/>
    <w:pPr>
      <w:adjustRightInd w:val="0"/>
      <w:spacing w:before="0" w:after="0" w:line="360" w:lineRule="atLeast"/>
      <w:ind w:left="200" w:leftChars="200" w:hanging="200" w:hangingChars="200"/>
      <w:jc w:val="left"/>
      <w:textAlignment w:val="baseline"/>
    </w:pPr>
    <w:rPr>
      <w:kern w:val="0"/>
      <w:sz w:val="32"/>
    </w:rPr>
  </w:style>
  <w:style w:type="paragraph" w:customStyle="1" w:styleId="814">
    <w:name w:val="索引 111"/>
    <w:basedOn w:val="1"/>
    <w:next w:val="1"/>
    <w:qFormat/>
    <w:uiPriority w:val="0"/>
    <w:pPr>
      <w:spacing w:before="0" w:after="0" w:line="240" w:lineRule="auto"/>
      <w:ind w:firstLine="0"/>
    </w:pPr>
    <w:rPr>
      <w:sz w:val="21"/>
      <w:szCs w:val="24"/>
    </w:rPr>
  </w:style>
  <w:style w:type="paragraph" w:customStyle="1" w:styleId="815">
    <w:name w:val="Char Char Char Char Char Char Char Char Char Char Char Char Char"/>
    <w:basedOn w:val="721"/>
    <w:qFormat/>
    <w:uiPriority w:val="0"/>
    <w:pPr>
      <w:spacing w:line="240" w:lineRule="auto"/>
      <w:ind w:firstLine="0"/>
    </w:pPr>
    <w:rPr>
      <w:rFonts w:ascii="Tahoma" w:hAnsi="Tahoma"/>
      <w:kern w:val="0"/>
    </w:rPr>
  </w:style>
  <w:style w:type="paragraph" w:customStyle="1" w:styleId="816">
    <w:name w:val="列表编号 211"/>
    <w:basedOn w:val="1"/>
    <w:qFormat/>
    <w:uiPriority w:val="0"/>
    <w:pPr>
      <w:tabs>
        <w:tab w:val="left" w:pos="780"/>
      </w:tabs>
      <w:spacing w:before="0" w:after="0"/>
      <w:ind w:left="780" w:leftChars="200" w:hanging="360" w:hangingChars="200"/>
    </w:pPr>
    <w:rPr>
      <w:rFonts w:ascii="宋体" w:hAnsi="宋体"/>
      <w:szCs w:val="24"/>
    </w:rPr>
  </w:style>
  <w:style w:type="paragraph" w:customStyle="1" w:styleId="817">
    <w:name w:val="Char Char Char Char Char Char1 Char"/>
    <w:basedOn w:val="1"/>
    <w:qFormat/>
    <w:uiPriority w:val="0"/>
    <w:pPr>
      <w:spacing w:before="0" w:after="0" w:line="240" w:lineRule="exact"/>
      <w:ind w:firstLine="0"/>
      <w:jc w:val="left"/>
    </w:pPr>
    <w:rPr>
      <w:rFonts w:ascii="Verdana" w:hAnsi="Verdana"/>
      <w:kern w:val="0"/>
      <w:sz w:val="21"/>
      <w:lang w:eastAsia="en-US"/>
    </w:rPr>
  </w:style>
  <w:style w:type="paragraph" w:customStyle="1" w:styleId="818">
    <w:name w:val="索引 211"/>
    <w:basedOn w:val="1"/>
    <w:next w:val="1"/>
    <w:qFormat/>
    <w:uiPriority w:val="0"/>
    <w:pPr>
      <w:spacing w:before="0" w:after="0" w:line="240" w:lineRule="auto"/>
      <w:ind w:left="200" w:leftChars="200" w:firstLine="0"/>
    </w:pPr>
    <w:rPr>
      <w:sz w:val="21"/>
      <w:szCs w:val="24"/>
    </w:rPr>
  </w:style>
  <w:style w:type="paragraph" w:customStyle="1" w:styleId="819">
    <w:name w:val="引文目录标题11"/>
    <w:basedOn w:val="1"/>
    <w:next w:val="1"/>
    <w:qFormat/>
    <w:uiPriority w:val="0"/>
    <w:pPr>
      <w:spacing w:before="0" w:after="0"/>
      <w:ind w:firstLine="0"/>
      <w:jc w:val="left"/>
    </w:pPr>
    <w:rPr>
      <w:rFonts w:ascii="Arial" w:hAnsi="Arial" w:cs="Arial"/>
      <w:szCs w:val="24"/>
    </w:rPr>
  </w:style>
  <w:style w:type="paragraph" w:customStyle="1" w:styleId="820">
    <w:name w:val="索引 811"/>
    <w:basedOn w:val="1"/>
    <w:next w:val="1"/>
    <w:qFormat/>
    <w:uiPriority w:val="0"/>
    <w:pPr>
      <w:spacing w:before="0" w:after="0" w:line="240" w:lineRule="auto"/>
      <w:ind w:left="1400" w:leftChars="1400" w:firstLine="0"/>
    </w:pPr>
    <w:rPr>
      <w:sz w:val="21"/>
      <w:szCs w:val="24"/>
    </w:rPr>
  </w:style>
  <w:style w:type="paragraph" w:customStyle="1" w:styleId="821">
    <w:name w:val="索引 911"/>
    <w:basedOn w:val="1"/>
    <w:next w:val="1"/>
    <w:qFormat/>
    <w:uiPriority w:val="0"/>
    <w:pPr>
      <w:spacing w:before="0" w:after="0" w:line="240" w:lineRule="auto"/>
      <w:ind w:left="1600" w:leftChars="1600" w:firstLine="0"/>
    </w:pPr>
    <w:rPr>
      <w:sz w:val="21"/>
      <w:szCs w:val="24"/>
    </w:rPr>
  </w:style>
  <w:style w:type="paragraph" w:customStyle="1" w:styleId="822">
    <w:name w:val="索引标题11"/>
    <w:basedOn w:val="1"/>
    <w:next w:val="814"/>
    <w:qFormat/>
    <w:uiPriority w:val="0"/>
    <w:pPr>
      <w:spacing w:before="0" w:after="0" w:line="240" w:lineRule="auto"/>
      <w:ind w:firstLine="0"/>
    </w:pPr>
    <w:rPr>
      <w:sz w:val="21"/>
      <w:szCs w:val="24"/>
    </w:rPr>
  </w:style>
  <w:style w:type="paragraph" w:customStyle="1" w:styleId="823">
    <w:name w:val="列表编号 411"/>
    <w:basedOn w:val="15"/>
    <w:qFormat/>
    <w:uiPriority w:val="0"/>
    <w:pPr>
      <w:tabs>
        <w:tab w:val="clear" w:pos="360"/>
      </w:tabs>
      <w:spacing w:before="0" w:after="0" w:line="240" w:lineRule="atLeast"/>
      <w:ind w:left="720" w:right="720"/>
    </w:pPr>
    <w:rPr>
      <w:rFonts w:ascii="Garamond" w:hAnsi="Garamond"/>
      <w:color w:val="auto"/>
      <w:sz w:val="21"/>
      <w:lang w:eastAsia="zh-CN"/>
    </w:rPr>
  </w:style>
  <w:style w:type="paragraph" w:customStyle="1" w:styleId="824">
    <w:name w:val="Char Char Char Char Char Char Char Char Char Char Char Char Char Char Char Char Char Char Char"/>
    <w:basedOn w:val="1"/>
    <w:qFormat/>
    <w:uiPriority w:val="0"/>
    <w:pPr>
      <w:spacing w:before="0" w:after="0" w:line="240" w:lineRule="exact"/>
      <w:ind w:left="454"/>
      <w:jc w:val="left"/>
    </w:pPr>
    <w:rPr>
      <w:rFonts w:ascii="Verdana" w:hAnsi="Verdana" w:eastAsia="仿宋_GB2312"/>
      <w:kern w:val="0"/>
      <w:sz w:val="30"/>
      <w:szCs w:val="30"/>
      <w:lang w:eastAsia="en-US"/>
    </w:rPr>
  </w:style>
  <w:style w:type="paragraph" w:customStyle="1" w:styleId="825">
    <w:name w:val="列表编号 311"/>
    <w:basedOn w:val="1"/>
    <w:qFormat/>
    <w:uiPriority w:val="0"/>
    <w:pPr>
      <w:tabs>
        <w:tab w:val="left" w:pos="1200"/>
      </w:tabs>
      <w:spacing w:before="0" w:after="0"/>
      <w:ind w:left="1200" w:hanging="360"/>
      <w:contextualSpacing/>
    </w:pPr>
    <w:rPr>
      <w:sz w:val="21"/>
      <w:szCs w:val="24"/>
    </w:rPr>
  </w:style>
  <w:style w:type="paragraph" w:customStyle="1" w:styleId="826">
    <w:name w:val="Char Char Char Char Char Char Char Char Char Char Char Char Char Char Char Char Char Char Char Char Char Char Char Char Char"/>
    <w:basedOn w:val="1"/>
    <w:qFormat/>
    <w:uiPriority w:val="0"/>
    <w:pPr>
      <w:spacing w:before="0" w:after="0" w:line="240" w:lineRule="auto"/>
      <w:ind w:firstLine="0"/>
    </w:pPr>
    <w:rPr>
      <w:rFonts w:ascii="Tahoma" w:hAnsi="Tahoma"/>
    </w:rPr>
  </w:style>
  <w:style w:type="paragraph" w:customStyle="1" w:styleId="827">
    <w:name w:val="ParaText"/>
    <w:basedOn w:val="1"/>
    <w:qFormat/>
    <w:uiPriority w:val="0"/>
    <w:pPr>
      <w:tabs>
        <w:tab w:val="left" w:pos="0"/>
      </w:tabs>
      <w:spacing w:before="0" w:after="0" w:line="300" w:lineRule="auto"/>
      <w:ind w:firstLine="0"/>
    </w:pPr>
    <w:rPr>
      <w:sz w:val="22"/>
      <w:lang w:eastAsia="en-US"/>
    </w:rPr>
  </w:style>
  <w:style w:type="paragraph" w:customStyle="1" w:styleId="828">
    <w:name w:val="摘要内容"/>
    <w:basedOn w:val="1"/>
    <w:qFormat/>
    <w:uiPriority w:val="0"/>
    <w:pPr>
      <w:spacing w:before="0" w:after="0"/>
      <w:ind w:firstLine="480"/>
      <w:jc w:val="left"/>
    </w:pPr>
    <w:rPr>
      <w:rFonts w:ascii="Calibri" w:hAnsi="Calibri" w:eastAsia="仿宋_GB2312"/>
      <w:kern w:val="0"/>
    </w:rPr>
  </w:style>
  <w:style w:type="paragraph" w:customStyle="1" w:styleId="829">
    <w:name w:val="版本记录标题文字"/>
    <w:basedOn w:val="1"/>
    <w:qFormat/>
    <w:uiPriority w:val="0"/>
    <w:pPr>
      <w:spacing w:before="0" w:after="0" w:line="240" w:lineRule="auto"/>
      <w:ind w:firstLine="0"/>
      <w:jc w:val="left"/>
    </w:pPr>
    <w:rPr>
      <w:rFonts w:ascii="Calibri" w:hAnsi="Calibri"/>
      <w:kern w:val="0"/>
      <w:szCs w:val="24"/>
    </w:rPr>
  </w:style>
  <w:style w:type="paragraph" w:customStyle="1" w:styleId="830">
    <w:name w:val="版本记录表格内文字"/>
    <w:basedOn w:val="1"/>
    <w:qFormat/>
    <w:uiPriority w:val="0"/>
    <w:pPr>
      <w:spacing w:before="0" w:after="0"/>
      <w:ind w:firstLine="0"/>
      <w:jc w:val="center"/>
    </w:pPr>
    <w:rPr>
      <w:rFonts w:ascii="Calibri" w:hAnsi="Calibri"/>
      <w:kern w:val="0"/>
      <w:szCs w:val="24"/>
    </w:rPr>
  </w:style>
  <w:style w:type="paragraph" w:customStyle="1" w:styleId="831">
    <w:name w:val="图名/表名/表头样式"/>
    <w:basedOn w:val="189"/>
    <w:qFormat/>
    <w:uiPriority w:val="0"/>
    <w:pPr>
      <w:spacing w:before="0" w:after="0" w:line="240" w:lineRule="auto"/>
      <w:ind w:firstLine="0"/>
      <w:jc w:val="center"/>
    </w:pPr>
    <w:rPr>
      <w:rFonts w:ascii="Calibri" w:hAnsi="Calibri"/>
      <w:b/>
      <w:kern w:val="0"/>
      <w:sz w:val="21"/>
      <w:szCs w:val="21"/>
    </w:rPr>
  </w:style>
  <w:style w:type="paragraph" w:customStyle="1" w:styleId="832">
    <w:name w:val="表格文字样式"/>
    <w:basedOn w:val="189"/>
    <w:qFormat/>
    <w:uiPriority w:val="0"/>
    <w:pPr>
      <w:spacing w:before="0" w:after="0" w:line="240" w:lineRule="auto"/>
      <w:ind w:firstLine="0"/>
      <w:jc w:val="left"/>
    </w:pPr>
    <w:rPr>
      <w:rFonts w:ascii="Calibri" w:hAnsi="Calibri"/>
      <w:kern w:val="0"/>
      <w:sz w:val="21"/>
      <w:szCs w:val="21"/>
    </w:rPr>
  </w:style>
  <w:style w:type="paragraph" w:customStyle="1" w:styleId="833">
    <w:name w:val="7"/>
    <w:basedOn w:val="1"/>
    <w:next w:val="713"/>
    <w:qFormat/>
    <w:uiPriority w:val="0"/>
    <w:pPr>
      <w:spacing w:before="0" w:after="0"/>
      <w:ind w:firstLine="0"/>
      <w:jc w:val="left"/>
    </w:pPr>
    <w:rPr>
      <w:rFonts w:ascii="Calibri" w:hAnsi="Calibri"/>
      <w:kern w:val="0"/>
      <w:szCs w:val="24"/>
      <w:lang w:eastAsia="en-US"/>
    </w:rPr>
  </w:style>
  <w:style w:type="paragraph" w:customStyle="1" w:styleId="834">
    <w:name w:val="列表编号 51"/>
    <w:basedOn w:val="1"/>
    <w:qFormat/>
    <w:uiPriority w:val="0"/>
    <w:pPr>
      <w:tabs>
        <w:tab w:val="left" w:pos="840"/>
      </w:tabs>
      <w:spacing w:before="0" w:after="0" w:line="276" w:lineRule="auto"/>
      <w:ind w:left="840" w:firstLine="0"/>
      <w:jc w:val="left"/>
    </w:pPr>
    <w:rPr>
      <w:rFonts w:ascii="Calibri" w:hAnsi="Calibri"/>
      <w:kern w:val="0"/>
      <w:sz w:val="22"/>
      <w:szCs w:val="22"/>
      <w:lang w:eastAsia="en-US"/>
    </w:rPr>
  </w:style>
  <w:style w:type="paragraph" w:customStyle="1" w:styleId="835">
    <w:name w:val="标题2"/>
    <w:basedOn w:val="5"/>
    <w:qFormat/>
    <w:uiPriority w:val="0"/>
    <w:pPr>
      <w:keepNext w:val="0"/>
      <w:keepLines w:val="0"/>
      <w:tabs>
        <w:tab w:val="left" w:pos="1200"/>
        <w:tab w:val="clear" w:pos="720"/>
      </w:tabs>
      <w:autoSpaceDE w:val="0"/>
      <w:autoSpaceDN w:val="0"/>
      <w:spacing w:before="0" w:after="0"/>
      <w:jc w:val="center"/>
      <w:textAlignment w:val="bottom"/>
      <w:outlineLvl w:val="0"/>
    </w:pPr>
    <w:rPr>
      <w:rFonts w:ascii="仿宋_GB2312" w:hAnsi="Times New Roman" w:eastAsia="仿宋_GB2312"/>
      <w:iCs/>
      <w:color w:val="4F81BD"/>
      <w:sz w:val="30"/>
      <w:szCs w:val="26"/>
      <w:lang w:eastAsia="en-US"/>
    </w:rPr>
  </w:style>
  <w:style w:type="paragraph" w:customStyle="1" w:styleId="836">
    <w:name w:val="项目1"/>
    <w:basedOn w:val="1"/>
    <w:qFormat/>
    <w:uiPriority w:val="0"/>
    <w:pPr>
      <w:adjustRightInd w:val="0"/>
      <w:spacing w:before="0" w:after="0" w:line="312" w:lineRule="atLeast"/>
      <w:ind w:left="879" w:hanging="425"/>
      <w:jc w:val="left"/>
      <w:textAlignment w:val="baseline"/>
    </w:pPr>
    <w:rPr>
      <w:rFonts w:ascii="Arial" w:hAnsi="Arial"/>
      <w:kern w:val="0"/>
      <w:szCs w:val="22"/>
      <w:lang w:eastAsia="en-US"/>
    </w:rPr>
  </w:style>
  <w:style w:type="paragraph" w:customStyle="1" w:styleId="837">
    <w:name w:val="CM98"/>
    <w:basedOn w:val="1"/>
    <w:next w:val="1"/>
    <w:qFormat/>
    <w:uiPriority w:val="0"/>
    <w:pPr>
      <w:autoSpaceDE w:val="0"/>
      <w:autoSpaceDN w:val="0"/>
      <w:adjustRightInd w:val="0"/>
      <w:spacing w:before="0" w:after="0"/>
      <w:ind w:firstLine="0"/>
      <w:jc w:val="left"/>
    </w:pPr>
    <w:rPr>
      <w:rFonts w:ascii="华文中宋" w:hAnsi="Calibri" w:eastAsia="华文中宋"/>
      <w:kern w:val="0"/>
      <w:sz w:val="20"/>
      <w:szCs w:val="24"/>
      <w:lang w:eastAsia="en-US"/>
    </w:rPr>
  </w:style>
  <w:style w:type="paragraph" w:customStyle="1" w:styleId="838">
    <w:name w:val="默认段落字体 Para Char Char Char Char Char Char Char Char Char1 Char"/>
    <w:basedOn w:val="1"/>
    <w:qFormat/>
    <w:uiPriority w:val="0"/>
    <w:pPr>
      <w:spacing w:before="0" w:after="0"/>
      <w:ind w:firstLine="0"/>
      <w:jc w:val="left"/>
    </w:pPr>
    <w:rPr>
      <w:rFonts w:ascii="Tahoma" w:hAnsi="Tahoma"/>
      <w:kern w:val="0"/>
      <w:szCs w:val="22"/>
      <w:lang w:eastAsia="en-US"/>
    </w:rPr>
  </w:style>
  <w:style w:type="paragraph" w:customStyle="1" w:styleId="839">
    <w:name w:val="样式 标题 3 + 宋体 小五"/>
    <w:basedOn w:val="6"/>
    <w:qFormat/>
    <w:uiPriority w:val="0"/>
    <w:pPr>
      <w:keepLines w:val="0"/>
      <w:numPr>
        <w:numId w:val="0"/>
      </w:numPr>
      <w:tabs>
        <w:tab w:val="left" w:pos="0"/>
      </w:tabs>
      <w:spacing w:before="0" w:after="0"/>
      <w:jc w:val="left"/>
    </w:pPr>
    <w:rPr>
      <w:rFonts w:ascii="宋体" w:hAnsi="宋体"/>
      <w:b w:val="0"/>
      <w:color w:val="4F81BD"/>
      <w:kern w:val="0"/>
      <w:sz w:val="18"/>
      <w:szCs w:val="24"/>
      <w:lang w:eastAsia="en-US"/>
    </w:rPr>
  </w:style>
  <w:style w:type="paragraph" w:customStyle="1" w:styleId="840">
    <w:name w:val="篇"/>
    <w:basedOn w:val="1"/>
    <w:next w:val="1"/>
    <w:qFormat/>
    <w:uiPriority w:val="0"/>
    <w:pPr>
      <w:adjustRightInd w:val="0"/>
      <w:spacing w:before="0" w:after="0" w:line="360" w:lineRule="atLeast"/>
      <w:ind w:firstLine="0"/>
      <w:jc w:val="center"/>
      <w:textAlignment w:val="baseline"/>
    </w:pPr>
    <w:rPr>
      <w:rFonts w:ascii="Calibri" w:hAnsi="Calibri" w:eastAsia="黑体"/>
      <w:kern w:val="0"/>
      <w:szCs w:val="24"/>
      <w:lang w:eastAsia="en-US"/>
    </w:rPr>
  </w:style>
  <w:style w:type="paragraph" w:customStyle="1" w:styleId="841">
    <w:name w:val="普通 (Web)"/>
    <w:basedOn w:val="1"/>
    <w:qFormat/>
    <w:uiPriority w:val="0"/>
    <w:pPr>
      <w:spacing w:before="0" w:after="0" w:line="276" w:lineRule="auto"/>
      <w:ind w:firstLine="0"/>
      <w:jc w:val="left"/>
    </w:pPr>
    <w:rPr>
      <w:rFonts w:ascii="宋体" w:hAnsi="宋体"/>
      <w:kern w:val="0"/>
      <w:szCs w:val="24"/>
      <w:lang w:eastAsia="en-US"/>
    </w:rPr>
  </w:style>
  <w:style w:type="paragraph" w:customStyle="1" w:styleId="842">
    <w:name w:val="afont"/>
    <w:basedOn w:val="1"/>
    <w:qFormat/>
    <w:uiPriority w:val="0"/>
    <w:pPr>
      <w:spacing w:before="0" w:after="0" w:line="285" w:lineRule="atLeast"/>
      <w:ind w:firstLine="0"/>
      <w:jc w:val="left"/>
    </w:pPr>
    <w:rPr>
      <w:rFonts w:ascii="Arial Unicode MS" w:hAnsi="Arial Unicode MS" w:eastAsia="Arial Unicode MS"/>
      <w:kern w:val="0"/>
      <w:sz w:val="18"/>
      <w:szCs w:val="22"/>
      <w:lang w:eastAsia="en-US"/>
    </w:rPr>
  </w:style>
  <w:style w:type="paragraph" w:customStyle="1" w:styleId="843">
    <w:name w:val="标题 22"/>
    <w:basedOn w:val="1"/>
    <w:qFormat/>
    <w:uiPriority w:val="0"/>
    <w:pPr>
      <w:tabs>
        <w:tab w:val="left" w:pos="576"/>
        <w:tab w:val="left" w:pos="817"/>
      </w:tabs>
      <w:autoSpaceDE w:val="0"/>
      <w:autoSpaceDN w:val="0"/>
      <w:spacing w:before="0" w:after="0" w:line="276" w:lineRule="auto"/>
      <w:ind w:left="576" w:hanging="576"/>
      <w:jc w:val="left"/>
    </w:pPr>
    <w:rPr>
      <w:rFonts w:ascii="Calibri" w:hAnsi="Calibri"/>
      <w:kern w:val="24"/>
      <w:sz w:val="20"/>
      <w:szCs w:val="22"/>
      <w:lang w:eastAsia="en-US"/>
    </w:rPr>
  </w:style>
  <w:style w:type="paragraph" w:customStyle="1" w:styleId="844">
    <w:name w:val="标题 41"/>
    <w:basedOn w:val="1"/>
    <w:qFormat/>
    <w:uiPriority w:val="0"/>
    <w:pPr>
      <w:tabs>
        <w:tab w:val="left" w:pos="864"/>
      </w:tabs>
      <w:autoSpaceDE w:val="0"/>
      <w:autoSpaceDN w:val="0"/>
      <w:spacing w:before="0" w:after="0" w:line="276" w:lineRule="auto"/>
      <w:ind w:left="864" w:hanging="864"/>
      <w:jc w:val="left"/>
    </w:pPr>
    <w:rPr>
      <w:rFonts w:ascii="Calibri" w:hAnsi="Calibri"/>
      <w:kern w:val="24"/>
      <w:sz w:val="20"/>
      <w:szCs w:val="22"/>
      <w:lang w:eastAsia="en-US"/>
    </w:rPr>
  </w:style>
  <w:style w:type="paragraph" w:customStyle="1" w:styleId="845">
    <w:name w:val="标题 51"/>
    <w:basedOn w:val="1"/>
    <w:qFormat/>
    <w:uiPriority w:val="0"/>
    <w:pPr>
      <w:tabs>
        <w:tab w:val="left" w:pos="720"/>
        <w:tab w:val="left" w:pos="1008"/>
      </w:tabs>
      <w:autoSpaceDE w:val="0"/>
      <w:autoSpaceDN w:val="0"/>
      <w:spacing w:before="0" w:after="0" w:line="276" w:lineRule="auto"/>
      <w:ind w:left="1008" w:hanging="1008"/>
      <w:jc w:val="left"/>
    </w:pPr>
    <w:rPr>
      <w:rFonts w:ascii="Calibri" w:hAnsi="Calibri"/>
      <w:kern w:val="24"/>
      <w:sz w:val="20"/>
      <w:szCs w:val="22"/>
      <w:lang w:eastAsia="en-US"/>
    </w:rPr>
  </w:style>
  <w:style w:type="paragraph" w:customStyle="1" w:styleId="846">
    <w:name w:val="标题 61"/>
    <w:basedOn w:val="1"/>
    <w:qFormat/>
    <w:uiPriority w:val="0"/>
    <w:pPr>
      <w:tabs>
        <w:tab w:val="left" w:pos="720"/>
        <w:tab w:val="left" w:pos="1152"/>
      </w:tabs>
      <w:autoSpaceDE w:val="0"/>
      <w:autoSpaceDN w:val="0"/>
      <w:spacing w:before="0" w:after="0" w:line="276" w:lineRule="auto"/>
      <w:ind w:left="1152" w:hanging="1152"/>
      <w:jc w:val="left"/>
    </w:pPr>
    <w:rPr>
      <w:rFonts w:ascii="Calibri" w:hAnsi="Calibri"/>
      <w:kern w:val="24"/>
      <w:sz w:val="20"/>
      <w:szCs w:val="22"/>
      <w:lang w:eastAsia="en-US"/>
    </w:rPr>
  </w:style>
  <w:style w:type="paragraph" w:customStyle="1" w:styleId="847">
    <w:name w:val="标题 71"/>
    <w:basedOn w:val="1"/>
    <w:qFormat/>
    <w:uiPriority w:val="0"/>
    <w:pPr>
      <w:tabs>
        <w:tab w:val="left" w:pos="720"/>
        <w:tab w:val="left" w:pos="1296"/>
      </w:tabs>
      <w:autoSpaceDE w:val="0"/>
      <w:autoSpaceDN w:val="0"/>
      <w:spacing w:before="0" w:after="0" w:line="276" w:lineRule="auto"/>
      <w:ind w:left="1296" w:hanging="1296"/>
      <w:jc w:val="left"/>
    </w:pPr>
    <w:rPr>
      <w:rFonts w:ascii="Calibri" w:hAnsi="Calibri"/>
      <w:kern w:val="24"/>
      <w:sz w:val="20"/>
      <w:szCs w:val="22"/>
      <w:lang w:eastAsia="en-US"/>
    </w:rPr>
  </w:style>
  <w:style w:type="paragraph" w:customStyle="1" w:styleId="848">
    <w:name w:val="标题 81"/>
    <w:basedOn w:val="1"/>
    <w:qFormat/>
    <w:uiPriority w:val="0"/>
    <w:pPr>
      <w:tabs>
        <w:tab w:val="left" w:pos="720"/>
        <w:tab w:val="left" w:pos="1440"/>
      </w:tabs>
      <w:autoSpaceDE w:val="0"/>
      <w:autoSpaceDN w:val="0"/>
      <w:spacing w:before="0" w:after="0" w:line="276" w:lineRule="auto"/>
      <w:ind w:left="1440" w:hanging="1440"/>
      <w:jc w:val="left"/>
    </w:pPr>
    <w:rPr>
      <w:rFonts w:ascii="Calibri" w:hAnsi="Calibri"/>
      <w:kern w:val="24"/>
      <w:sz w:val="20"/>
      <w:szCs w:val="22"/>
      <w:lang w:eastAsia="en-US"/>
    </w:rPr>
  </w:style>
  <w:style w:type="paragraph" w:customStyle="1" w:styleId="849">
    <w:name w:val="标题 91"/>
    <w:basedOn w:val="1"/>
    <w:qFormat/>
    <w:uiPriority w:val="0"/>
    <w:pPr>
      <w:tabs>
        <w:tab w:val="left" w:pos="720"/>
        <w:tab w:val="left" w:pos="1584"/>
      </w:tabs>
      <w:autoSpaceDE w:val="0"/>
      <w:autoSpaceDN w:val="0"/>
      <w:spacing w:before="0" w:after="0" w:line="276" w:lineRule="auto"/>
      <w:ind w:left="1584" w:hanging="1584"/>
      <w:jc w:val="left"/>
    </w:pPr>
    <w:rPr>
      <w:rFonts w:ascii="Calibri" w:hAnsi="Calibri"/>
      <w:kern w:val="24"/>
      <w:sz w:val="20"/>
      <w:szCs w:val="22"/>
      <w:lang w:eastAsia="en-US"/>
    </w:rPr>
  </w:style>
  <w:style w:type="paragraph" w:customStyle="1" w:styleId="850">
    <w:name w:val="1st Layer"/>
    <w:basedOn w:val="1"/>
    <w:qFormat/>
    <w:uiPriority w:val="0"/>
    <w:pPr>
      <w:tabs>
        <w:tab w:val="left" w:pos="720"/>
        <w:tab w:val="left" w:pos="780"/>
      </w:tabs>
      <w:autoSpaceDE w:val="0"/>
      <w:autoSpaceDN w:val="0"/>
      <w:adjustRightInd w:val="0"/>
      <w:spacing w:before="0" w:after="0" w:line="312" w:lineRule="exact"/>
      <w:ind w:left="629" w:hanging="209"/>
      <w:jc w:val="left"/>
      <w:textAlignment w:val="baseline"/>
    </w:pPr>
    <w:rPr>
      <w:rFonts w:ascii="Calibri" w:hAnsi="Calibri"/>
      <w:kern w:val="24"/>
      <w:sz w:val="22"/>
      <w:szCs w:val="22"/>
      <w:lang w:eastAsia="en-US"/>
    </w:rPr>
  </w:style>
  <w:style w:type="paragraph" w:customStyle="1" w:styleId="851">
    <w:name w:val="默认段落字体 Para Char Char Char Char Char Char"/>
    <w:basedOn w:val="1"/>
    <w:qFormat/>
    <w:uiPriority w:val="0"/>
    <w:pPr>
      <w:spacing w:before="0" w:after="0"/>
      <w:ind w:firstLine="0"/>
      <w:jc w:val="left"/>
    </w:pPr>
    <w:rPr>
      <w:rFonts w:ascii="Tahoma" w:hAnsi="Tahoma"/>
      <w:kern w:val="0"/>
      <w:szCs w:val="22"/>
      <w:lang w:eastAsia="en-US"/>
    </w:rPr>
  </w:style>
  <w:style w:type="paragraph" w:customStyle="1" w:styleId="852">
    <w:name w:val="样式 标题 5 + 小四 段前: 0.5 行 段后: 0.5 行"/>
    <w:basedOn w:val="8"/>
    <w:qFormat/>
    <w:uiPriority w:val="0"/>
    <w:pPr>
      <w:keepNext w:val="0"/>
      <w:keepLines w:val="0"/>
      <w:numPr>
        <w:numId w:val="0"/>
      </w:numPr>
      <w:tabs>
        <w:tab w:val="left" w:pos="0"/>
      </w:tabs>
      <w:spacing w:before="312" w:after="60"/>
      <w:jc w:val="left"/>
    </w:pPr>
    <w:rPr>
      <w:rFonts w:ascii="Calibri" w:hAnsi="Cambria" w:cs="宋体"/>
      <w:b w:val="0"/>
      <w:bCs/>
      <w:iCs/>
      <w:color w:val="243F60"/>
      <w:kern w:val="0"/>
      <w:sz w:val="26"/>
      <w:szCs w:val="22"/>
      <w:lang w:eastAsia="en-US"/>
    </w:rPr>
  </w:style>
  <w:style w:type="paragraph" w:customStyle="1" w:styleId="853">
    <w:name w:val="Bullets"/>
    <w:basedOn w:val="1"/>
    <w:qFormat/>
    <w:uiPriority w:val="0"/>
    <w:pPr>
      <w:tabs>
        <w:tab w:val="left" w:pos="1712"/>
      </w:tabs>
      <w:spacing w:before="0" w:after="0" w:line="276" w:lineRule="auto"/>
      <w:ind w:left="1712" w:firstLine="0"/>
      <w:jc w:val="left"/>
    </w:pPr>
    <w:rPr>
      <w:rFonts w:ascii="Times" w:hAnsi="Times"/>
      <w:kern w:val="0"/>
      <w:sz w:val="20"/>
      <w:szCs w:val="22"/>
      <w:lang w:eastAsia="en-US"/>
    </w:rPr>
  </w:style>
  <w:style w:type="paragraph" w:customStyle="1" w:styleId="854">
    <w:name w:val="样式 标题 2 + 首行缩进:  2 字符 段前: 0.5 行 段后: 0.5 行"/>
    <w:basedOn w:val="5"/>
    <w:qFormat/>
    <w:uiPriority w:val="0"/>
    <w:pPr>
      <w:keepLines w:val="0"/>
      <w:tabs>
        <w:tab w:val="left" w:pos="576"/>
        <w:tab w:val="left" w:pos="1200"/>
        <w:tab w:val="clear" w:pos="720"/>
      </w:tabs>
      <w:spacing w:before="0" w:after="0" w:line="416" w:lineRule="atLeast"/>
      <w:ind w:left="576" w:hanging="576"/>
      <w:jc w:val="left"/>
    </w:pPr>
    <w:rPr>
      <w:rFonts w:ascii="Cambria" w:hAnsi="Cambria"/>
      <w:bCs/>
      <w:iCs/>
      <w:color w:val="4F81BD"/>
      <w:sz w:val="26"/>
      <w:szCs w:val="26"/>
      <w:lang w:eastAsia="en-US"/>
    </w:rPr>
  </w:style>
  <w:style w:type="paragraph" w:customStyle="1" w:styleId="855">
    <w:name w:val="KD_BulList1"/>
    <w:basedOn w:val="1"/>
    <w:qFormat/>
    <w:uiPriority w:val="0"/>
    <w:pPr>
      <w:spacing w:before="0" w:after="0"/>
      <w:ind w:left="840" w:firstLine="0"/>
      <w:jc w:val="left"/>
    </w:pPr>
    <w:rPr>
      <w:rFonts w:ascii="Calibri" w:hAnsi="Calibri"/>
      <w:kern w:val="0"/>
      <w:szCs w:val="24"/>
      <w:lang w:eastAsia="en-US"/>
    </w:rPr>
  </w:style>
  <w:style w:type="paragraph" w:customStyle="1" w:styleId="856">
    <w:name w:val="样式 标题 1主标题H1Section Headh11st levell11H11H12H13H14H1..."/>
    <w:basedOn w:val="4"/>
    <w:qFormat/>
    <w:uiPriority w:val="0"/>
    <w:pPr>
      <w:keepLines w:val="0"/>
      <w:tabs>
        <w:tab w:val="left" w:pos="0"/>
      </w:tabs>
      <w:spacing w:before="0" w:after="0" w:line="240" w:lineRule="auto"/>
      <w:ind w:right="119"/>
      <w:jc w:val="center"/>
    </w:pPr>
    <w:rPr>
      <w:rFonts w:ascii="宋体" w:hAnsi="宋体" w:cs="宋体"/>
      <w:kern w:val="32"/>
      <w:sz w:val="32"/>
    </w:rPr>
  </w:style>
  <w:style w:type="paragraph" w:customStyle="1" w:styleId="857">
    <w:name w:val="样式 小四 左侧:  0.75 厘米"/>
    <w:basedOn w:val="1"/>
    <w:qFormat/>
    <w:uiPriority w:val="0"/>
    <w:pPr>
      <w:spacing w:before="0" w:after="0"/>
      <w:ind w:left="425" w:firstLine="0"/>
      <w:jc w:val="left"/>
    </w:pPr>
    <w:rPr>
      <w:rFonts w:ascii="Calibri" w:hAnsi="Calibri" w:cs="宋体"/>
      <w:kern w:val="0"/>
    </w:rPr>
  </w:style>
  <w:style w:type="paragraph" w:customStyle="1" w:styleId="858">
    <w:name w:val="列表文字"/>
    <w:basedOn w:val="1"/>
    <w:qFormat/>
    <w:uiPriority w:val="0"/>
    <w:pPr>
      <w:spacing w:before="0" w:after="0" w:line="240" w:lineRule="auto"/>
      <w:ind w:firstLine="0"/>
      <w:jc w:val="left"/>
    </w:pPr>
    <w:rPr>
      <w:rFonts w:ascii="Calibri" w:hAnsi="Calibri"/>
      <w:kern w:val="0"/>
      <w:sz w:val="21"/>
      <w:szCs w:val="24"/>
    </w:rPr>
  </w:style>
  <w:style w:type="paragraph" w:customStyle="1" w:styleId="859">
    <w:name w:val="默认段落字体 Para Char Char Char Char Char Char Char Char Char Char Char Char Char Char Char Char"/>
    <w:basedOn w:val="1"/>
    <w:qFormat/>
    <w:uiPriority w:val="0"/>
    <w:pPr>
      <w:spacing w:before="0" w:after="0"/>
      <w:ind w:firstLine="0"/>
      <w:jc w:val="left"/>
    </w:pPr>
    <w:rPr>
      <w:rFonts w:ascii="Tahoma" w:hAnsi="Tahoma"/>
      <w:kern w:val="0"/>
    </w:rPr>
  </w:style>
  <w:style w:type="paragraph" w:customStyle="1" w:styleId="860">
    <w:name w:val="规范正文"/>
    <w:basedOn w:val="409"/>
    <w:qFormat/>
    <w:uiPriority w:val="0"/>
    <w:pPr>
      <w:spacing w:before="0" w:after="0" w:line="360" w:lineRule="auto"/>
      <w:ind w:firstLine="420"/>
    </w:pPr>
    <w:rPr>
      <w:rFonts w:ascii="Arial" w:hAnsi="Arial" w:cs="宋体"/>
      <w:snapToGrid w:val="0"/>
      <w:szCs w:val="21"/>
    </w:rPr>
  </w:style>
  <w:style w:type="paragraph" w:customStyle="1" w:styleId="861">
    <w:name w:val="Figure Caption"/>
    <w:basedOn w:val="1"/>
    <w:qFormat/>
    <w:uiPriority w:val="0"/>
    <w:pPr>
      <w:spacing w:before="0" w:after="0" w:line="400" w:lineRule="atLeast"/>
      <w:ind w:firstLine="0"/>
      <w:jc w:val="center"/>
    </w:pPr>
    <w:rPr>
      <w:rFonts w:ascii="Calibri" w:hAnsi="Calibri"/>
      <w:kern w:val="0"/>
      <w:sz w:val="21"/>
      <w:lang w:eastAsia="en-US"/>
    </w:rPr>
  </w:style>
  <w:style w:type="paragraph" w:customStyle="1" w:styleId="862">
    <w:name w:val="样式 样式 首行缩进:  2 字符 + 首行缩进:  2 字符"/>
    <w:basedOn w:val="1"/>
    <w:qFormat/>
    <w:uiPriority w:val="0"/>
    <w:pPr>
      <w:spacing w:before="0" w:after="0" w:line="240" w:lineRule="atLeast"/>
      <w:ind w:firstLine="0"/>
      <w:jc w:val="left"/>
    </w:pPr>
    <w:rPr>
      <w:rFonts w:ascii="Calibri" w:hAnsi="Calibri" w:cs="宋体"/>
      <w:kern w:val="0"/>
    </w:rPr>
  </w:style>
  <w:style w:type="paragraph" w:customStyle="1" w:styleId="863">
    <w:name w:val="图表标题"/>
    <w:qFormat/>
    <w:uiPriority w:val="0"/>
    <w:pPr>
      <w:widowControl w:val="0"/>
      <w:adjustRightInd w:val="0"/>
      <w:snapToGrid w:val="0"/>
      <w:spacing w:before="120" w:after="120" w:line="360" w:lineRule="auto"/>
      <w:ind w:firstLine="482"/>
      <w:jc w:val="center"/>
    </w:pPr>
    <w:rPr>
      <w:rFonts w:ascii="Arial" w:hAnsi="Arial" w:eastAsia="黑体" w:cs="Times New Roman"/>
      <w:sz w:val="18"/>
      <w:szCs w:val="22"/>
      <w:lang w:val="en-US" w:eastAsia="zh-CN" w:bidi="ar-SA"/>
    </w:rPr>
  </w:style>
  <w:style w:type="paragraph" w:customStyle="1" w:styleId="864">
    <w:name w:val="Default Paragraph Font Para Char Char Char Char Char Char"/>
    <w:basedOn w:val="1"/>
    <w:qFormat/>
    <w:uiPriority w:val="0"/>
    <w:pPr>
      <w:spacing w:before="0" w:after="0" w:line="240" w:lineRule="exact"/>
      <w:ind w:firstLine="0"/>
      <w:jc w:val="left"/>
    </w:pPr>
    <w:rPr>
      <w:rFonts w:ascii="Verdana" w:hAnsi="Verdana"/>
      <w:kern w:val="0"/>
      <w:sz w:val="20"/>
      <w:lang w:eastAsia="en-US"/>
    </w:rPr>
  </w:style>
  <w:style w:type="paragraph" w:customStyle="1" w:styleId="865">
    <w:name w:val="È±Ê¡ÎÄ±¾:1"/>
    <w:basedOn w:val="1"/>
    <w:qFormat/>
    <w:uiPriority w:val="0"/>
    <w:pPr>
      <w:overflowPunct w:val="0"/>
      <w:autoSpaceDE w:val="0"/>
      <w:autoSpaceDN w:val="0"/>
      <w:adjustRightInd w:val="0"/>
      <w:spacing w:before="0" w:after="0" w:line="400" w:lineRule="exact"/>
      <w:ind w:firstLine="539"/>
      <w:jc w:val="left"/>
      <w:textAlignment w:val="baseline"/>
    </w:pPr>
    <w:rPr>
      <w:rFonts w:ascii="Calibri" w:hAnsi="Calibri"/>
      <w:kern w:val="0"/>
    </w:rPr>
  </w:style>
  <w:style w:type="paragraph" w:customStyle="1" w:styleId="866">
    <w:name w:val="机房集中监控系统方案"/>
    <w:basedOn w:val="1"/>
    <w:qFormat/>
    <w:uiPriority w:val="0"/>
    <w:pPr>
      <w:spacing w:before="0" w:after="0" w:line="240" w:lineRule="auto"/>
      <w:ind w:firstLine="0"/>
      <w:jc w:val="left"/>
    </w:pPr>
    <w:rPr>
      <w:rFonts w:ascii="Calibri" w:hAnsi="Calibri"/>
      <w:kern w:val="0"/>
      <w:sz w:val="21"/>
      <w:szCs w:val="24"/>
    </w:rPr>
  </w:style>
  <w:style w:type="paragraph" w:customStyle="1" w:styleId="867">
    <w:name w:val="正文缩进4"/>
    <w:basedOn w:val="1"/>
    <w:qFormat/>
    <w:uiPriority w:val="0"/>
    <w:pPr>
      <w:overflowPunct w:val="0"/>
      <w:autoSpaceDE w:val="0"/>
      <w:autoSpaceDN w:val="0"/>
      <w:adjustRightInd w:val="0"/>
      <w:spacing w:before="0" w:after="0" w:line="400" w:lineRule="exact"/>
      <w:ind w:firstLine="420"/>
      <w:jc w:val="left"/>
      <w:textAlignment w:val="baseline"/>
    </w:pPr>
    <w:rPr>
      <w:rFonts w:ascii="Calibri" w:hAnsi="Calibri"/>
      <w:kern w:val="0"/>
    </w:rPr>
  </w:style>
  <w:style w:type="paragraph" w:customStyle="1" w:styleId="868">
    <w:name w:val="text1"/>
    <w:basedOn w:val="1"/>
    <w:qFormat/>
    <w:uiPriority w:val="0"/>
    <w:pPr>
      <w:spacing w:before="0" w:after="0" w:line="240" w:lineRule="auto"/>
      <w:ind w:firstLine="0"/>
      <w:jc w:val="left"/>
    </w:pPr>
    <w:rPr>
      <w:rFonts w:ascii="宋体" w:hAnsi="宋体"/>
      <w:kern w:val="0"/>
      <w:szCs w:val="24"/>
    </w:rPr>
  </w:style>
  <w:style w:type="paragraph" w:customStyle="1" w:styleId="869">
    <w:name w:val="样式 标题 3 + (中文) 华文细黑"/>
    <w:basedOn w:val="6"/>
    <w:qFormat/>
    <w:uiPriority w:val="0"/>
    <w:pPr>
      <w:keepNext w:val="0"/>
      <w:keepLines w:val="0"/>
      <w:numPr>
        <w:numId w:val="0"/>
      </w:numPr>
      <w:tabs>
        <w:tab w:val="left" w:pos="0"/>
        <w:tab w:val="left" w:pos="945"/>
        <w:tab w:val="left" w:pos="1740"/>
      </w:tabs>
      <w:adjustRightInd w:val="0"/>
      <w:spacing w:before="0" w:after="0"/>
      <w:ind w:left="945" w:hanging="420"/>
      <w:jc w:val="left"/>
    </w:pPr>
    <w:rPr>
      <w:rFonts w:eastAsia="华文细黑"/>
      <w:b w:val="0"/>
      <w:kern w:val="0"/>
      <w:sz w:val="24"/>
      <w:szCs w:val="28"/>
    </w:rPr>
  </w:style>
  <w:style w:type="paragraph" w:customStyle="1" w:styleId="870">
    <w:name w:val="正文样式小四首行缩进"/>
    <w:basedOn w:val="1"/>
    <w:qFormat/>
    <w:uiPriority w:val="0"/>
    <w:pPr>
      <w:spacing w:before="0" w:after="0"/>
      <w:ind w:firstLine="360"/>
      <w:jc w:val="left"/>
    </w:pPr>
    <w:rPr>
      <w:rFonts w:ascii="宋体" w:hAnsi="宋体"/>
      <w:kern w:val="0"/>
    </w:rPr>
  </w:style>
  <w:style w:type="paragraph" w:customStyle="1" w:styleId="871">
    <w:name w:val="MM Topic 1"/>
    <w:basedOn w:val="4"/>
    <w:qFormat/>
    <w:uiPriority w:val="0"/>
    <w:pPr>
      <w:keepLines w:val="0"/>
      <w:tabs>
        <w:tab w:val="left" w:pos="0"/>
      </w:tabs>
      <w:spacing w:before="0" w:after="0" w:line="578" w:lineRule="auto"/>
      <w:ind w:left="3240"/>
      <w:jc w:val="left"/>
    </w:pPr>
    <w:rPr>
      <w:rFonts w:ascii="Cambria" w:hAnsi="Cambria" w:eastAsia="仿宋_GB2312"/>
      <w:kern w:val="32"/>
      <w:sz w:val="44"/>
      <w:szCs w:val="32"/>
    </w:rPr>
  </w:style>
  <w:style w:type="paragraph" w:customStyle="1" w:styleId="872">
    <w:name w:val="MM Topic 2"/>
    <w:basedOn w:val="5"/>
    <w:qFormat/>
    <w:uiPriority w:val="0"/>
    <w:pPr>
      <w:keepLines w:val="0"/>
      <w:tabs>
        <w:tab w:val="left" w:pos="0"/>
        <w:tab w:val="clear" w:pos="720"/>
      </w:tabs>
      <w:spacing w:before="0" w:after="0" w:line="416" w:lineRule="auto"/>
      <w:jc w:val="left"/>
    </w:pPr>
    <w:rPr>
      <w:rFonts w:ascii="Times New Roman" w:hAnsi="Times New Roman" w:eastAsia="黑体"/>
      <w:iCs/>
      <w:sz w:val="32"/>
      <w:szCs w:val="32"/>
    </w:rPr>
  </w:style>
  <w:style w:type="paragraph" w:customStyle="1" w:styleId="873">
    <w:name w:val="MM Topic 3"/>
    <w:basedOn w:val="6"/>
    <w:qFormat/>
    <w:uiPriority w:val="0"/>
    <w:pPr>
      <w:keepLines w:val="0"/>
      <w:numPr>
        <w:ilvl w:val="0"/>
        <w:numId w:val="0"/>
      </w:numPr>
      <w:tabs>
        <w:tab w:val="left" w:pos="0"/>
      </w:tabs>
      <w:spacing w:before="0" w:after="0" w:line="416" w:lineRule="auto"/>
      <w:jc w:val="left"/>
    </w:pPr>
    <w:rPr>
      <w:rFonts w:eastAsia="仿宋_GB2312"/>
      <w:bCs/>
      <w:kern w:val="0"/>
      <w:sz w:val="32"/>
      <w:szCs w:val="24"/>
    </w:rPr>
  </w:style>
  <w:style w:type="paragraph" w:customStyle="1" w:styleId="874">
    <w:name w:val="MM Topic 4"/>
    <w:basedOn w:val="7"/>
    <w:qFormat/>
    <w:uiPriority w:val="0"/>
    <w:pPr>
      <w:keepNext w:val="0"/>
      <w:keepLines w:val="0"/>
      <w:numPr>
        <w:ilvl w:val="0"/>
        <w:numId w:val="0"/>
      </w:numPr>
      <w:tabs>
        <w:tab w:val="left" w:pos="0"/>
      </w:tabs>
      <w:spacing w:before="0" w:after="0" w:line="376" w:lineRule="auto"/>
      <w:jc w:val="left"/>
    </w:pPr>
    <w:rPr>
      <w:rFonts w:ascii="Times New Roman" w:hAnsi="Times New Roman" w:eastAsia="黑体"/>
      <w:bCs/>
      <w:color w:val="000000"/>
      <w:kern w:val="0"/>
      <w:sz w:val="24"/>
      <w:szCs w:val="24"/>
    </w:rPr>
  </w:style>
  <w:style w:type="paragraph" w:customStyle="1" w:styleId="875">
    <w:name w:val="正文 1"/>
    <w:basedOn w:val="1"/>
    <w:qFormat/>
    <w:uiPriority w:val="0"/>
    <w:pPr>
      <w:snapToGrid w:val="0"/>
      <w:spacing w:before="0" w:after="0"/>
      <w:ind w:left="1418" w:firstLine="0"/>
      <w:jc w:val="left"/>
    </w:pPr>
    <w:rPr>
      <w:rFonts w:ascii="Calibri" w:hAnsi="Calibri"/>
      <w:kern w:val="0"/>
      <w:sz w:val="21"/>
    </w:rPr>
  </w:style>
  <w:style w:type="paragraph" w:customStyle="1" w:styleId="876">
    <w:name w:val="表身（左）"/>
    <w:qFormat/>
    <w:uiPriority w:val="0"/>
    <w:pPr>
      <w:adjustRightInd w:val="0"/>
      <w:snapToGrid w:val="0"/>
      <w:spacing w:before="156" w:after="156" w:line="300" w:lineRule="auto"/>
      <w:ind w:firstLine="482"/>
      <w:jc w:val="both"/>
      <w:textAlignment w:val="center"/>
    </w:pPr>
    <w:rPr>
      <w:rFonts w:ascii="Calibri" w:hAnsi="Calibri" w:eastAsia="宋体" w:cs="Times New Roman"/>
      <w:sz w:val="16"/>
      <w:szCs w:val="22"/>
      <w:lang w:val="en-US" w:eastAsia="zh-CN" w:bidi="ar-SA"/>
    </w:rPr>
  </w:style>
  <w:style w:type="paragraph" w:customStyle="1" w:styleId="877">
    <w:name w:val="xl128"/>
    <w:basedOn w:val="1"/>
    <w:qFormat/>
    <w:uiPriority w:val="0"/>
    <w:pPr>
      <w:pBdr>
        <w:top w:val="single" w:color="auto" w:sz="4" w:space="0"/>
        <w:left w:val="single" w:color="auto" w:sz="4" w:space="0"/>
        <w:bottom w:val="single" w:color="auto" w:sz="4" w:space="0"/>
        <w:right w:val="single" w:color="auto" w:sz="4" w:space="0"/>
      </w:pBdr>
      <w:shd w:val="clear" w:color="auto" w:fill="FF0000"/>
      <w:spacing w:before="0" w:after="0" w:line="240" w:lineRule="auto"/>
      <w:ind w:firstLine="0"/>
      <w:jc w:val="right"/>
      <w:textAlignment w:val="center"/>
    </w:pPr>
    <w:rPr>
      <w:rFonts w:ascii="宋体" w:hAnsi="宋体" w:cs="宋体"/>
      <w:color w:val="000000"/>
      <w:kern w:val="0"/>
      <w:sz w:val="20"/>
    </w:rPr>
  </w:style>
  <w:style w:type="paragraph" w:customStyle="1" w:styleId="878">
    <w:name w:val="xl129"/>
    <w:basedOn w:val="1"/>
    <w:qFormat/>
    <w:uiPriority w:val="0"/>
    <w:pPr>
      <w:pBdr>
        <w:top w:val="single" w:color="auto" w:sz="4" w:space="0"/>
        <w:left w:val="single" w:color="auto" w:sz="4" w:space="0"/>
        <w:bottom w:val="single" w:color="auto" w:sz="4" w:space="0"/>
        <w:right w:val="single" w:color="auto" w:sz="4" w:space="0"/>
      </w:pBdr>
      <w:shd w:val="clear" w:color="auto" w:fill="FF0000"/>
      <w:spacing w:before="0" w:after="0" w:line="240" w:lineRule="auto"/>
      <w:ind w:firstLine="0"/>
      <w:jc w:val="center"/>
      <w:textAlignment w:val="center"/>
    </w:pPr>
    <w:rPr>
      <w:rFonts w:ascii="宋体" w:hAnsi="宋体" w:cs="宋体"/>
      <w:kern w:val="0"/>
      <w:sz w:val="20"/>
    </w:rPr>
  </w:style>
  <w:style w:type="paragraph" w:customStyle="1" w:styleId="879">
    <w:name w:val="表内容样式"/>
    <w:basedOn w:val="1"/>
    <w:qFormat/>
    <w:uiPriority w:val="0"/>
    <w:pPr>
      <w:spacing w:before="0" w:after="0"/>
      <w:ind w:firstLine="0"/>
      <w:jc w:val="center"/>
    </w:pPr>
    <w:rPr>
      <w:rFonts w:ascii="仿宋_GB2312" w:hAnsi="Calibri" w:eastAsia="仿宋_GB2312"/>
      <w:kern w:val="0"/>
      <w:sz w:val="21"/>
    </w:rPr>
  </w:style>
  <w:style w:type="paragraph" w:customStyle="1" w:styleId="880">
    <w:name w:val="摘要页眉"/>
    <w:basedOn w:val="33"/>
    <w:qFormat/>
    <w:uiPriority w:val="0"/>
    <w:pPr>
      <w:pBdr>
        <w:bottom w:val="none" w:color="auto" w:sz="0" w:space="0"/>
      </w:pBdr>
      <w:spacing w:before="0" w:after="0"/>
      <w:ind w:firstLine="246" w:firstLineChars="246"/>
    </w:pPr>
    <w:rPr>
      <w:rFonts w:ascii="Calibri" w:hAnsi="Calibri" w:eastAsia="黑体"/>
      <w:kern w:val="0"/>
      <w:sz w:val="28"/>
      <w:szCs w:val="28"/>
    </w:rPr>
  </w:style>
  <w:style w:type="paragraph" w:customStyle="1" w:styleId="881">
    <w:name w:val="Char5 Char Char Char Char Char Char"/>
    <w:basedOn w:val="1"/>
    <w:qFormat/>
    <w:uiPriority w:val="0"/>
    <w:pPr>
      <w:spacing w:before="0" w:after="0"/>
      <w:ind w:firstLine="720" w:firstLineChars="300"/>
      <w:jc w:val="left"/>
    </w:pPr>
    <w:rPr>
      <w:rFonts w:ascii="Tahoma" w:hAnsi="Tahoma" w:cs="宋体"/>
      <w:kern w:val="0"/>
    </w:rPr>
  </w:style>
  <w:style w:type="paragraph" w:customStyle="1" w:styleId="882">
    <w:name w:val="p0"/>
    <w:basedOn w:val="1"/>
    <w:qFormat/>
    <w:uiPriority w:val="0"/>
    <w:pPr>
      <w:spacing w:before="0" w:after="0"/>
      <w:ind w:firstLine="0"/>
      <w:jc w:val="left"/>
    </w:pPr>
    <w:rPr>
      <w:rFonts w:ascii="Calibri" w:hAnsi="Calibri"/>
      <w:kern w:val="0"/>
      <w:sz w:val="21"/>
    </w:rPr>
  </w:style>
  <w:style w:type="paragraph" w:customStyle="1" w:styleId="883">
    <w:name w:val="样式 正文缩进正文（首行缩进两字）四号特点标题4表正文正文非缩进缩进ALT+Z段1正文不缩进特点 Char..."/>
    <w:basedOn w:val="713"/>
    <w:qFormat/>
    <w:uiPriority w:val="0"/>
    <w:pPr>
      <w:ind w:firstLine="480" w:firstLineChars="200"/>
    </w:pPr>
    <w:rPr>
      <w:rFonts w:ascii="宋体" w:hAnsi="宋体" w:cs="宋体"/>
      <w:sz w:val="24"/>
    </w:rPr>
  </w:style>
  <w:style w:type="paragraph" w:customStyle="1" w:styleId="884">
    <w:name w:val="样式 正文首行缩进 2 + 首行缩进:  2 字符1"/>
    <w:basedOn w:val="727"/>
    <w:qFormat/>
    <w:uiPriority w:val="0"/>
    <w:pPr>
      <w:ind w:left="0" w:leftChars="0" w:firstLine="200"/>
    </w:pPr>
    <w:rPr>
      <w:szCs w:val="20"/>
    </w:rPr>
  </w:style>
  <w:style w:type="paragraph" w:customStyle="1" w:styleId="885">
    <w:name w:val="条目正文"/>
    <w:basedOn w:val="1"/>
    <w:qFormat/>
    <w:uiPriority w:val="0"/>
    <w:pPr>
      <w:tabs>
        <w:tab w:val="left" w:pos="425"/>
      </w:tabs>
      <w:spacing w:before="0" w:after="0"/>
      <w:ind w:firstLine="0"/>
      <w:jc w:val="left"/>
    </w:pPr>
    <w:rPr>
      <w:rFonts w:ascii="Calibri" w:hAnsi="Calibri"/>
      <w:kern w:val="0"/>
    </w:rPr>
  </w:style>
  <w:style w:type="paragraph" w:customStyle="1" w:styleId="886">
    <w:name w:val="Char Char Char Char Char Char Char Char Char1 Char"/>
    <w:basedOn w:val="1"/>
    <w:qFormat/>
    <w:uiPriority w:val="0"/>
    <w:pPr>
      <w:spacing w:before="0" w:after="0" w:line="240" w:lineRule="auto"/>
      <w:ind w:firstLine="0"/>
      <w:jc w:val="left"/>
    </w:pPr>
    <w:rPr>
      <w:rFonts w:ascii="Calibri" w:hAnsi="Calibri"/>
      <w:kern w:val="0"/>
      <w:sz w:val="21"/>
      <w:szCs w:val="24"/>
    </w:rPr>
  </w:style>
  <w:style w:type="paragraph" w:customStyle="1" w:styleId="887">
    <w:name w:val="样式 标题 3二级节名标题1.13h33rd levelHead 3分支标题条 1分枝标题level_3P...3"/>
    <w:basedOn w:val="6"/>
    <w:qFormat/>
    <w:uiPriority w:val="0"/>
    <w:pPr>
      <w:keepLines w:val="0"/>
      <w:numPr>
        <w:numId w:val="0"/>
      </w:numPr>
      <w:tabs>
        <w:tab w:val="left" w:pos="0"/>
        <w:tab w:val="left" w:pos="709"/>
      </w:tabs>
      <w:spacing w:before="0" w:after="0"/>
      <w:ind w:left="709" w:hanging="709"/>
      <w:jc w:val="left"/>
    </w:pPr>
    <w:rPr>
      <w:rFonts w:ascii="Arial" w:hAnsi="Arial"/>
      <w:spacing w:val="20"/>
      <w:kern w:val="0"/>
      <w:sz w:val="24"/>
    </w:rPr>
  </w:style>
  <w:style w:type="paragraph" w:customStyle="1" w:styleId="888">
    <w:name w:val="样式 宋体 左"/>
    <w:basedOn w:val="1"/>
    <w:qFormat/>
    <w:uiPriority w:val="0"/>
    <w:pPr>
      <w:spacing w:before="0" w:after="0" w:line="640" w:lineRule="exact"/>
      <w:ind w:firstLine="560"/>
      <w:jc w:val="left"/>
    </w:pPr>
    <w:rPr>
      <w:rFonts w:ascii="宋体" w:hAnsi="宋体"/>
      <w:kern w:val="0"/>
      <w:sz w:val="28"/>
      <w:szCs w:val="24"/>
    </w:rPr>
  </w:style>
  <w:style w:type="paragraph" w:customStyle="1" w:styleId="889">
    <w:name w:val="样式 标题 2 + (中文) 华文细黑 加粗"/>
    <w:basedOn w:val="5"/>
    <w:qFormat/>
    <w:uiPriority w:val="0"/>
    <w:pPr>
      <w:keepNext w:val="0"/>
      <w:keepLines w:val="0"/>
      <w:tabs>
        <w:tab w:val="left" w:pos="1200"/>
        <w:tab w:val="clear" w:pos="720"/>
      </w:tabs>
      <w:adjustRightInd w:val="0"/>
      <w:spacing w:before="0" w:after="0"/>
      <w:ind w:left="1200" w:hanging="360"/>
      <w:jc w:val="left"/>
    </w:pPr>
    <w:rPr>
      <w:rFonts w:ascii="Times New Roman" w:hAnsi="Times New Roman" w:eastAsia="华文细黑"/>
      <w:iCs/>
      <w:sz w:val="30"/>
      <w:szCs w:val="30"/>
    </w:rPr>
  </w:style>
  <w:style w:type="paragraph" w:customStyle="1" w:styleId="890">
    <w:name w:val="Char3"/>
    <w:basedOn w:val="1"/>
    <w:qFormat/>
    <w:uiPriority w:val="0"/>
    <w:pPr>
      <w:spacing w:before="0" w:after="0" w:line="240" w:lineRule="auto"/>
      <w:ind w:firstLine="0"/>
      <w:jc w:val="left"/>
    </w:pPr>
    <w:rPr>
      <w:rFonts w:ascii="宋体" w:hAnsi="宋体"/>
      <w:b/>
      <w:color w:val="000000"/>
      <w:kern w:val="0"/>
      <w:szCs w:val="24"/>
    </w:rPr>
  </w:style>
  <w:style w:type="paragraph" w:customStyle="1" w:styleId="891">
    <w:name w:val="标书正文"/>
    <w:basedOn w:val="723"/>
    <w:qFormat/>
    <w:uiPriority w:val="0"/>
    <w:pPr>
      <w:adjustRightInd w:val="0"/>
      <w:snapToGrid w:val="0"/>
      <w:spacing w:line="300" w:lineRule="auto"/>
      <w:ind w:firstLine="454"/>
    </w:pPr>
    <w:rPr>
      <w:rFonts w:ascii="黑体" w:hAnsi="宋体"/>
      <w:snapToGrid w:val="0"/>
      <w:sz w:val="24"/>
    </w:rPr>
  </w:style>
  <w:style w:type="paragraph" w:customStyle="1" w:styleId="892">
    <w:name w:val="方式4－表"/>
    <w:basedOn w:val="1"/>
    <w:qFormat/>
    <w:uiPriority w:val="0"/>
    <w:pPr>
      <w:spacing w:before="0" w:after="0" w:line="240" w:lineRule="auto"/>
      <w:ind w:left="1050" w:firstLine="0"/>
      <w:jc w:val="center"/>
    </w:pPr>
    <w:rPr>
      <w:rFonts w:ascii="仿宋_GB2312" w:hAnsi="Calibri" w:eastAsia="仿宋_GB2312"/>
      <w:kern w:val="0"/>
      <w:sz w:val="28"/>
      <w:szCs w:val="28"/>
    </w:rPr>
  </w:style>
  <w:style w:type="paragraph" w:customStyle="1" w:styleId="893">
    <w:name w:val="zzzzz"/>
    <w:basedOn w:val="1"/>
    <w:qFormat/>
    <w:uiPriority w:val="0"/>
    <w:pPr>
      <w:snapToGrid w:val="0"/>
      <w:spacing w:before="0" w:after="0"/>
      <w:ind w:firstLine="0"/>
      <w:jc w:val="left"/>
      <w:outlineLvl w:val="2"/>
    </w:pPr>
    <w:rPr>
      <w:rFonts w:ascii="Calibri" w:hAnsi="Calibri" w:eastAsia="华文细黑"/>
      <w:b/>
      <w:spacing w:val="10"/>
      <w:kern w:val="0"/>
      <w:sz w:val="28"/>
      <w:szCs w:val="28"/>
    </w:rPr>
  </w:style>
  <w:style w:type="paragraph" w:customStyle="1" w:styleId="894">
    <w:name w:val="检索号"/>
    <w:basedOn w:val="1"/>
    <w:qFormat/>
    <w:uiPriority w:val="0"/>
    <w:pPr>
      <w:adjustRightInd w:val="0"/>
      <w:spacing w:before="0" w:after="0"/>
      <w:ind w:firstLine="0"/>
      <w:jc w:val="left"/>
      <w:textAlignment w:val="baseline"/>
    </w:pPr>
    <w:rPr>
      <w:rFonts w:ascii="Calibri" w:hAnsi="Calibri" w:eastAsia="华文细黑"/>
      <w:kern w:val="0"/>
      <w:szCs w:val="21"/>
    </w:rPr>
  </w:style>
  <w:style w:type="paragraph" w:customStyle="1" w:styleId="895">
    <w:name w:val="带（1）的正文"/>
    <w:basedOn w:val="221"/>
    <w:qFormat/>
    <w:uiPriority w:val="0"/>
    <w:pPr>
      <w:spacing w:before="0" w:after="0"/>
      <w:ind w:firstLine="0"/>
    </w:pPr>
    <w:rPr>
      <w:rFonts w:ascii="宋体" w:hAnsi="宋体"/>
      <w:spacing w:val="0"/>
      <w:kern w:val="0"/>
      <w:sz w:val="21"/>
      <w:szCs w:val="21"/>
    </w:rPr>
  </w:style>
  <w:style w:type="paragraph" w:customStyle="1" w:styleId="896">
    <w:name w:val="纯文本2"/>
    <w:basedOn w:val="1"/>
    <w:qFormat/>
    <w:uiPriority w:val="0"/>
    <w:pPr>
      <w:spacing w:before="0" w:after="0" w:line="240" w:lineRule="auto"/>
      <w:ind w:firstLine="0"/>
    </w:pPr>
    <w:rPr>
      <w:rFonts w:ascii="宋体" w:hAnsi="Courier New"/>
      <w:sz w:val="21"/>
    </w:rPr>
  </w:style>
  <w:style w:type="paragraph" w:customStyle="1" w:styleId="897">
    <w:name w:val="font19"/>
    <w:basedOn w:val="1"/>
    <w:qFormat/>
    <w:uiPriority w:val="0"/>
    <w:pPr>
      <w:spacing w:before="0" w:after="0" w:line="240" w:lineRule="auto"/>
      <w:ind w:firstLine="0"/>
      <w:jc w:val="left"/>
    </w:pPr>
    <w:rPr>
      <w:rFonts w:ascii="宋体" w:hAnsi="宋体" w:cs="宋体"/>
      <w:color w:val="000000"/>
      <w:kern w:val="0"/>
      <w:sz w:val="20"/>
    </w:rPr>
  </w:style>
  <w:style w:type="paragraph" w:customStyle="1" w:styleId="898">
    <w:name w:val="font20"/>
    <w:basedOn w:val="1"/>
    <w:qFormat/>
    <w:uiPriority w:val="0"/>
    <w:pPr>
      <w:spacing w:before="0" w:after="0" w:line="240" w:lineRule="auto"/>
      <w:ind w:firstLine="0"/>
      <w:jc w:val="left"/>
    </w:pPr>
    <w:rPr>
      <w:rFonts w:ascii="宋体" w:hAnsi="宋体" w:cs="宋体"/>
      <w:color w:val="000000"/>
      <w:kern w:val="0"/>
      <w:sz w:val="20"/>
    </w:rPr>
  </w:style>
  <w:style w:type="paragraph" w:customStyle="1" w:styleId="899">
    <w:name w:val="font21"/>
    <w:basedOn w:val="1"/>
    <w:qFormat/>
    <w:uiPriority w:val="0"/>
    <w:pPr>
      <w:spacing w:before="0" w:after="0" w:line="240" w:lineRule="auto"/>
      <w:ind w:firstLine="0"/>
      <w:jc w:val="left"/>
    </w:pPr>
    <w:rPr>
      <w:rFonts w:ascii="宋体" w:hAnsi="宋体" w:cs="宋体"/>
      <w:color w:val="000000"/>
      <w:kern w:val="0"/>
      <w:sz w:val="20"/>
    </w:rPr>
  </w:style>
  <w:style w:type="paragraph" w:customStyle="1" w:styleId="900">
    <w:name w:val="普通(网站)2"/>
    <w:basedOn w:val="1"/>
    <w:qFormat/>
    <w:uiPriority w:val="0"/>
    <w:pPr>
      <w:spacing w:before="0" w:after="0" w:line="240" w:lineRule="auto"/>
      <w:ind w:firstLine="0"/>
    </w:pPr>
    <w:rPr>
      <w:kern w:val="0"/>
    </w:rPr>
  </w:style>
  <w:style w:type="paragraph" w:customStyle="1" w:styleId="901">
    <w:name w:val="正文首行缩进3"/>
    <w:basedOn w:val="2"/>
    <w:qFormat/>
    <w:uiPriority w:val="0"/>
    <w:pPr>
      <w:spacing w:before="0" w:after="0"/>
      <w:ind w:firstLine="420"/>
    </w:pPr>
    <w:rPr>
      <w:sz w:val="21"/>
    </w:rPr>
  </w:style>
  <w:style w:type="paragraph" w:customStyle="1" w:styleId="902">
    <w:name w:val="正文缩进5"/>
    <w:basedOn w:val="1"/>
    <w:qFormat/>
    <w:uiPriority w:val="0"/>
    <w:pPr>
      <w:spacing w:before="0" w:after="0"/>
      <w:ind w:firstLine="420"/>
    </w:pPr>
    <w:rPr>
      <w:sz w:val="21"/>
    </w:rPr>
  </w:style>
  <w:style w:type="paragraph" w:customStyle="1" w:styleId="903">
    <w:name w:val="正文文本 221"/>
    <w:basedOn w:val="1"/>
    <w:qFormat/>
    <w:uiPriority w:val="0"/>
    <w:pPr>
      <w:spacing w:before="0" w:after="0" w:line="480" w:lineRule="auto"/>
      <w:ind w:firstLine="0"/>
    </w:pPr>
    <w:rPr>
      <w:sz w:val="21"/>
    </w:rPr>
  </w:style>
  <w:style w:type="paragraph" w:customStyle="1" w:styleId="904">
    <w:name w:val="无间隔2"/>
    <w:qFormat/>
    <w:uiPriority w:val="0"/>
    <w:pPr>
      <w:widowControl w:val="0"/>
      <w:spacing w:beforeLines="50" w:afterLines="50" w:line="360" w:lineRule="auto"/>
      <w:ind w:firstLine="200" w:firstLineChars="200"/>
      <w:jc w:val="both"/>
    </w:pPr>
    <w:rPr>
      <w:rFonts w:ascii="Times New Roman" w:hAnsi="Times New Roman" w:eastAsia="宋体" w:cs="Times New Roman"/>
      <w:kern w:val="2"/>
      <w:sz w:val="24"/>
      <w:lang w:val="en-US" w:eastAsia="zh-CN" w:bidi="ar-SA"/>
    </w:rPr>
  </w:style>
  <w:style w:type="paragraph" w:customStyle="1" w:styleId="905">
    <w:name w:val="列出段落3"/>
    <w:basedOn w:val="1"/>
    <w:qFormat/>
    <w:uiPriority w:val="0"/>
    <w:pPr>
      <w:spacing w:before="0" w:after="0" w:line="240" w:lineRule="auto"/>
      <w:ind w:firstLine="420"/>
    </w:pPr>
    <w:rPr>
      <w:sz w:val="21"/>
    </w:rPr>
  </w:style>
  <w:style w:type="paragraph" w:customStyle="1" w:styleId="906">
    <w:name w:val="列出段落4"/>
    <w:basedOn w:val="1"/>
    <w:link w:val="928"/>
    <w:qFormat/>
    <w:uiPriority w:val="34"/>
    <w:pPr>
      <w:spacing w:before="0" w:after="0"/>
      <w:ind w:firstLine="420"/>
    </w:pPr>
    <w:rPr>
      <w:szCs w:val="24"/>
    </w:rPr>
  </w:style>
  <w:style w:type="paragraph" w:customStyle="1" w:styleId="907">
    <w:name w:val="et3"/>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08">
    <w:name w:val="et4"/>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09">
    <w:name w:val="et5"/>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0">
    <w:name w:val="et6"/>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1">
    <w:name w:val="et7"/>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2">
    <w:name w:val="et8"/>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3">
    <w:name w:val="et9"/>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4">
    <w:name w:val="et11"/>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5">
    <w:name w:val="et12"/>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6">
    <w:name w:val="et13"/>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7">
    <w:name w:val="et2"/>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8">
    <w:name w:val="et10"/>
    <w:basedOn w:val="1"/>
    <w:qFormat/>
    <w:uiPriority w:val="0"/>
    <w:pPr>
      <w:spacing w:before="0" w:beforeAutospacing="1" w:after="0" w:afterAutospacing="1" w:line="240" w:lineRule="auto"/>
      <w:ind w:firstLine="0"/>
      <w:jc w:val="left"/>
      <w:textAlignment w:val="center"/>
    </w:pPr>
    <w:rPr>
      <w:rFonts w:ascii="宋体" w:hAnsi="宋体" w:cs="宋体"/>
      <w:color w:val="000000"/>
      <w:kern w:val="0"/>
      <w:sz w:val="22"/>
      <w:szCs w:val="22"/>
    </w:rPr>
  </w:style>
  <w:style w:type="paragraph" w:customStyle="1" w:styleId="919">
    <w:name w:val="p15"/>
    <w:basedOn w:val="1"/>
    <w:qFormat/>
    <w:uiPriority w:val="0"/>
    <w:pPr>
      <w:spacing w:before="0" w:after="0"/>
      <w:ind w:firstLine="0"/>
      <w:jc w:val="left"/>
    </w:pPr>
    <w:rPr>
      <w:rFonts w:ascii="宋体" w:hAnsi="宋体" w:cs="宋体"/>
      <w:kern w:val="0"/>
      <w:sz w:val="21"/>
      <w:szCs w:val="21"/>
    </w:rPr>
  </w:style>
  <w:style w:type="paragraph" w:customStyle="1" w:styleId="920">
    <w:name w:val="纯文本3"/>
    <w:basedOn w:val="1"/>
    <w:qFormat/>
    <w:uiPriority w:val="0"/>
    <w:pPr>
      <w:spacing w:line="240" w:lineRule="auto"/>
      <w:ind w:firstLine="0"/>
    </w:pPr>
    <w:rPr>
      <w:rFonts w:ascii="宋体" w:hAnsi="Courier New"/>
      <w:sz w:val="21"/>
    </w:rPr>
  </w:style>
  <w:style w:type="paragraph" w:customStyle="1" w:styleId="921">
    <w:name w:val="列出段落21"/>
    <w:basedOn w:val="1"/>
    <w:qFormat/>
    <w:uiPriority w:val="0"/>
    <w:pPr>
      <w:spacing w:line="240" w:lineRule="auto"/>
      <w:ind w:firstLine="420"/>
    </w:pPr>
    <w:rPr>
      <w:sz w:val="21"/>
    </w:rPr>
  </w:style>
  <w:style w:type="character" w:customStyle="1" w:styleId="922">
    <w:name w:val="HTML 预设格式 字符"/>
    <w:link w:val="41"/>
    <w:qFormat/>
    <w:uiPriority w:val="99"/>
    <w:rPr>
      <w:rFonts w:ascii="宋体" w:hAnsi="宋体"/>
      <w:sz w:val="24"/>
      <w:szCs w:val="24"/>
    </w:rPr>
  </w:style>
  <w:style w:type="paragraph" w:customStyle="1" w:styleId="923">
    <w:name w:val="列出段落41"/>
    <w:basedOn w:val="1"/>
    <w:qFormat/>
    <w:uiPriority w:val="0"/>
    <w:pPr>
      <w:spacing w:line="240" w:lineRule="auto"/>
      <w:ind w:firstLine="420"/>
    </w:pPr>
    <w:rPr>
      <w:sz w:val="21"/>
    </w:rPr>
  </w:style>
  <w:style w:type="paragraph" w:customStyle="1" w:styleId="924">
    <w:name w:val="纯文本4"/>
    <w:basedOn w:val="1"/>
    <w:qFormat/>
    <w:uiPriority w:val="0"/>
    <w:pPr>
      <w:spacing w:line="240" w:lineRule="auto"/>
      <w:ind w:firstLine="0"/>
    </w:pPr>
    <w:rPr>
      <w:rFonts w:ascii="宋体" w:hAnsi="Courier New"/>
      <w:sz w:val="21"/>
    </w:rPr>
  </w:style>
  <w:style w:type="paragraph" w:customStyle="1" w:styleId="925">
    <w:name w:val="Char Char3 Char Char Char Char"/>
    <w:basedOn w:val="1"/>
    <w:qFormat/>
    <w:uiPriority w:val="0"/>
    <w:pPr>
      <w:adjustRightInd w:val="0"/>
      <w:snapToGrid w:val="0"/>
      <w:spacing w:before="0" w:after="0" w:line="324" w:lineRule="auto"/>
      <w:ind w:firstLine="539"/>
      <w:textAlignment w:val="baseline"/>
    </w:pPr>
    <w:rPr>
      <w:snapToGrid w:val="0"/>
      <w:spacing w:val="20"/>
      <w:kern w:val="0"/>
    </w:rPr>
  </w:style>
  <w:style w:type="paragraph" w:customStyle="1" w:styleId="926">
    <w:name w:val="文章文字"/>
    <w:basedOn w:val="1"/>
    <w:link w:val="927"/>
    <w:qFormat/>
    <w:uiPriority w:val="0"/>
    <w:pPr>
      <w:spacing w:before="0" w:after="0"/>
    </w:pPr>
    <w:rPr>
      <w:rFonts w:ascii="宋体" w:hAnsi="宋体"/>
      <w:bCs/>
      <w:sz w:val="21"/>
      <w:szCs w:val="21"/>
    </w:rPr>
  </w:style>
  <w:style w:type="character" w:customStyle="1" w:styleId="927">
    <w:name w:val="文章文字 Char"/>
    <w:link w:val="926"/>
    <w:qFormat/>
    <w:uiPriority w:val="0"/>
    <w:rPr>
      <w:rFonts w:ascii="宋体" w:hAnsi="宋体"/>
      <w:bCs/>
      <w:kern w:val="2"/>
      <w:sz w:val="21"/>
      <w:szCs w:val="21"/>
    </w:rPr>
  </w:style>
  <w:style w:type="character" w:customStyle="1" w:styleId="928">
    <w:name w:val="列出段落 Char"/>
    <w:link w:val="906"/>
    <w:qFormat/>
    <w:uiPriority w:val="34"/>
    <w:rPr>
      <w:kern w:val="2"/>
      <w:sz w:val="24"/>
      <w:szCs w:val="24"/>
    </w:rPr>
  </w:style>
  <w:style w:type="paragraph" w:customStyle="1" w:styleId="929">
    <w:name w:val="样式 文本 样例"/>
    <w:basedOn w:val="1"/>
    <w:qFormat/>
    <w:uiPriority w:val="0"/>
    <w:pPr>
      <w:spacing w:before="240" w:after="120" w:line="240" w:lineRule="auto"/>
      <w:ind w:firstLine="420"/>
    </w:pPr>
    <w:rPr>
      <w:rFonts w:ascii="宋体" w:hAnsi="宋体"/>
      <w:i/>
      <w:iCs/>
      <w:color w:val="C00000"/>
      <w:szCs w:val="24"/>
    </w:rPr>
  </w:style>
  <w:style w:type="character" w:customStyle="1" w:styleId="930">
    <w:name w:val="正文文本缩进 字符"/>
    <w:link w:val="22"/>
    <w:qFormat/>
    <w:uiPriority w:val="0"/>
    <w:rPr>
      <w:kern w:val="2"/>
      <w:sz w:val="24"/>
    </w:rPr>
  </w:style>
  <w:style w:type="character" w:customStyle="1" w:styleId="931">
    <w:name w:val="正文文本首行缩进 2 字符"/>
    <w:link w:val="45"/>
    <w:semiHidden/>
    <w:qFormat/>
    <w:uiPriority w:val="99"/>
    <w:rPr>
      <w:kern w:val="2"/>
      <w:sz w:val="24"/>
    </w:rPr>
  </w:style>
  <w:style w:type="paragraph" w:customStyle="1" w:styleId="932">
    <w:name w:val="a) style"/>
    <w:basedOn w:val="1"/>
    <w:link w:val="934"/>
    <w:qFormat/>
    <w:uiPriority w:val="0"/>
    <w:pPr>
      <w:widowControl w:val="0"/>
      <w:numPr>
        <w:ilvl w:val="1"/>
        <w:numId w:val="2"/>
      </w:numPr>
      <w:tabs>
        <w:tab w:val="left" w:pos="900"/>
      </w:tabs>
      <w:adjustRightInd w:val="0"/>
      <w:snapToGrid w:val="0"/>
      <w:spacing w:before="120" w:after="120"/>
      <w:ind w:left="910"/>
    </w:pPr>
    <w:rPr>
      <w:kern w:val="0"/>
      <w:szCs w:val="24"/>
    </w:rPr>
  </w:style>
  <w:style w:type="paragraph" w:customStyle="1" w:styleId="933">
    <w:name w:val="1) style"/>
    <w:basedOn w:val="1"/>
    <w:link w:val="935"/>
    <w:qFormat/>
    <w:uiPriority w:val="0"/>
    <w:pPr>
      <w:widowControl w:val="0"/>
      <w:adjustRightInd w:val="0"/>
      <w:snapToGrid w:val="0"/>
      <w:spacing w:before="120" w:after="120"/>
      <w:ind w:firstLine="0"/>
    </w:pPr>
    <w:rPr>
      <w:kern w:val="0"/>
      <w:szCs w:val="24"/>
    </w:rPr>
  </w:style>
  <w:style w:type="character" w:customStyle="1" w:styleId="934">
    <w:name w:val="a) style Char"/>
    <w:link w:val="932"/>
    <w:qFormat/>
    <w:uiPriority w:val="0"/>
    <w:rPr>
      <w:sz w:val="24"/>
      <w:szCs w:val="24"/>
    </w:rPr>
  </w:style>
  <w:style w:type="character" w:customStyle="1" w:styleId="935">
    <w:name w:val="1) style Char"/>
    <w:link w:val="933"/>
    <w:qFormat/>
    <w:uiPriority w:val="0"/>
    <w:rPr>
      <w:sz w:val="24"/>
      <w:szCs w:val="24"/>
    </w:rPr>
  </w:style>
  <w:style w:type="character" w:customStyle="1" w:styleId="936">
    <w:name w:val="标题 Char1"/>
    <w:qFormat/>
    <w:uiPriority w:val="10"/>
    <w:rPr>
      <w:rFonts w:ascii="Cambria" w:hAnsi="Cambria" w:eastAsia="宋体" w:cs="Times New Roman"/>
      <w:b/>
      <w:bCs/>
      <w:sz w:val="32"/>
      <w:szCs w:val="32"/>
    </w:rPr>
  </w:style>
  <w:style w:type="character" w:customStyle="1" w:styleId="937">
    <w:name w:val="正文文本 Char2"/>
    <w:semiHidden/>
    <w:qFormat/>
    <w:uiPriority w:val="99"/>
    <w:rPr>
      <w:rFonts w:ascii="Times New Roman" w:hAnsi="Times New Roman" w:eastAsia="宋体" w:cs="Times New Roman"/>
      <w:sz w:val="24"/>
      <w:szCs w:val="20"/>
    </w:rPr>
  </w:style>
  <w:style w:type="character" w:customStyle="1" w:styleId="938">
    <w:name w:val="批注框文本 Char1"/>
    <w:semiHidden/>
    <w:qFormat/>
    <w:uiPriority w:val="99"/>
    <w:rPr>
      <w:rFonts w:ascii="Times New Roman" w:hAnsi="Times New Roman" w:eastAsia="宋体" w:cs="Times New Roman"/>
      <w:sz w:val="18"/>
      <w:szCs w:val="18"/>
    </w:rPr>
  </w:style>
  <w:style w:type="character" w:customStyle="1" w:styleId="939">
    <w:name w:val="副标题 Char1"/>
    <w:qFormat/>
    <w:uiPriority w:val="11"/>
    <w:rPr>
      <w:rFonts w:ascii="Cambria" w:hAnsi="Cambria" w:eastAsia="宋体" w:cs="Times New Roman"/>
      <w:b/>
      <w:bCs/>
      <w:kern w:val="28"/>
      <w:sz w:val="32"/>
      <w:szCs w:val="32"/>
    </w:rPr>
  </w:style>
  <w:style w:type="character" w:customStyle="1" w:styleId="940">
    <w:name w:val="批注文字 Char2"/>
    <w:semiHidden/>
    <w:qFormat/>
    <w:uiPriority w:val="99"/>
    <w:rPr>
      <w:rFonts w:ascii="Times New Roman" w:hAnsi="Times New Roman" w:eastAsia="宋体" w:cs="Times New Roman"/>
      <w:sz w:val="24"/>
      <w:szCs w:val="20"/>
    </w:rPr>
  </w:style>
  <w:style w:type="character" w:customStyle="1" w:styleId="941">
    <w:name w:val="尾注文本 Char1"/>
    <w:semiHidden/>
    <w:qFormat/>
    <w:uiPriority w:val="99"/>
    <w:rPr>
      <w:rFonts w:ascii="Times New Roman" w:hAnsi="Times New Roman" w:eastAsia="宋体" w:cs="Times New Roman"/>
      <w:sz w:val="24"/>
      <w:szCs w:val="20"/>
    </w:rPr>
  </w:style>
  <w:style w:type="character" w:customStyle="1" w:styleId="942">
    <w:name w:val="脚注文本 Char1"/>
    <w:semiHidden/>
    <w:qFormat/>
    <w:uiPriority w:val="99"/>
    <w:rPr>
      <w:rFonts w:ascii="Times New Roman" w:hAnsi="Times New Roman" w:eastAsia="宋体" w:cs="Times New Roman"/>
      <w:sz w:val="18"/>
      <w:szCs w:val="18"/>
    </w:rPr>
  </w:style>
  <w:style w:type="paragraph" w:customStyle="1" w:styleId="943">
    <w:name w:val="无间隔12"/>
    <w:qFormat/>
    <w:uiPriority w:val="0"/>
    <w:pPr>
      <w:widowControl w:val="0"/>
      <w:spacing w:before="156" w:after="200" w:line="276" w:lineRule="auto"/>
      <w:ind w:firstLine="482"/>
      <w:jc w:val="both"/>
    </w:pPr>
    <w:rPr>
      <w:rFonts w:ascii="Times New Roman" w:hAnsi="Times New Roman" w:eastAsia="宋体" w:cs="Times New Roman"/>
      <w:kern w:val="2"/>
      <w:sz w:val="24"/>
      <w:lang w:val="en-US" w:eastAsia="zh-CN" w:bidi="ar-SA"/>
    </w:rPr>
  </w:style>
  <w:style w:type="paragraph" w:customStyle="1" w:styleId="944">
    <w:name w:val="修订12"/>
    <w:qFormat/>
    <w:uiPriority w:val="0"/>
    <w:pPr>
      <w:spacing w:before="156" w:after="200" w:line="276" w:lineRule="auto"/>
      <w:ind w:firstLine="482"/>
      <w:jc w:val="both"/>
    </w:pPr>
    <w:rPr>
      <w:rFonts w:ascii="Times New Roman" w:hAnsi="Times New Roman" w:eastAsia="宋体" w:cs="Times New Roman"/>
      <w:kern w:val="2"/>
      <w:sz w:val="24"/>
      <w:lang w:val="en-US" w:eastAsia="zh-CN" w:bidi="ar-SA"/>
    </w:rPr>
  </w:style>
  <w:style w:type="paragraph" w:customStyle="1" w:styleId="945">
    <w:name w:val="9"/>
    <w:qFormat/>
    <w:uiPriority w:val="99"/>
    <w:pPr>
      <w:widowControl w:val="0"/>
      <w:spacing w:beforeLines="50" w:afterLines="50" w:line="48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946">
    <w:name w:val="正文缩进12"/>
    <w:basedOn w:val="1"/>
    <w:qFormat/>
    <w:uiPriority w:val="0"/>
    <w:pPr>
      <w:spacing w:before="0" w:after="0"/>
      <w:ind w:firstLine="420"/>
    </w:pPr>
    <w:rPr>
      <w:sz w:val="21"/>
      <w:szCs w:val="24"/>
    </w:rPr>
  </w:style>
  <w:style w:type="paragraph" w:customStyle="1" w:styleId="947">
    <w:name w:val="批注主题12"/>
    <w:basedOn w:val="20"/>
    <w:next w:val="20"/>
    <w:qFormat/>
    <w:uiPriority w:val="0"/>
    <w:pPr>
      <w:spacing w:before="0" w:after="0"/>
      <w:jc w:val="left"/>
    </w:pPr>
    <w:rPr>
      <w:b/>
      <w:bCs/>
      <w:szCs w:val="24"/>
    </w:rPr>
  </w:style>
  <w:style w:type="paragraph" w:customStyle="1" w:styleId="948">
    <w:name w:val="日期12"/>
    <w:basedOn w:val="1"/>
    <w:next w:val="1"/>
    <w:qFormat/>
    <w:uiPriority w:val="0"/>
    <w:pPr>
      <w:spacing w:before="0" w:after="0"/>
      <w:ind w:left="100" w:leftChars="2500"/>
    </w:pPr>
    <w:rPr>
      <w:szCs w:val="24"/>
    </w:rPr>
  </w:style>
  <w:style w:type="paragraph" w:customStyle="1" w:styleId="949">
    <w:name w:val="文本块12"/>
    <w:basedOn w:val="1"/>
    <w:qFormat/>
    <w:uiPriority w:val="0"/>
    <w:pPr>
      <w:spacing w:before="0" w:after="0" w:line="240" w:lineRule="auto"/>
      <w:ind w:left="1440" w:leftChars="700" w:right="1440" w:rightChars="700" w:firstLine="0"/>
    </w:pPr>
    <w:rPr>
      <w:rFonts w:ascii="Calibri" w:hAnsi="Calibri"/>
      <w:sz w:val="21"/>
      <w:szCs w:val="21"/>
    </w:rPr>
  </w:style>
  <w:style w:type="paragraph" w:customStyle="1" w:styleId="950">
    <w:name w:val="纯文本12"/>
    <w:basedOn w:val="1"/>
    <w:qFormat/>
    <w:uiPriority w:val="0"/>
    <w:pPr>
      <w:spacing w:before="0" w:after="0" w:line="240" w:lineRule="auto"/>
      <w:ind w:firstLine="0"/>
    </w:pPr>
    <w:rPr>
      <w:rFonts w:ascii="宋体" w:hAnsi="Courier New"/>
      <w:sz w:val="21"/>
      <w:szCs w:val="21"/>
    </w:rPr>
  </w:style>
  <w:style w:type="paragraph" w:customStyle="1" w:styleId="951">
    <w:name w:val="正文文本缩进12"/>
    <w:basedOn w:val="1"/>
    <w:qFormat/>
    <w:uiPriority w:val="0"/>
    <w:pPr>
      <w:spacing w:before="0" w:after="0"/>
      <w:ind w:left="420" w:leftChars="200" w:firstLine="0"/>
    </w:pPr>
    <w:rPr>
      <w:sz w:val="21"/>
      <w:szCs w:val="24"/>
    </w:rPr>
  </w:style>
  <w:style w:type="paragraph" w:customStyle="1" w:styleId="952">
    <w:name w:val="文档结构图12"/>
    <w:basedOn w:val="1"/>
    <w:qFormat/>
    <w:uiPriority w:val="0"/>
    <w:pPr>
      <w:shd w:val="clear" w:color="auto" w:fill="000080"/>
      <w:spacing w:before="0" w:after="0"/>
    </w:pPr>
    <w:rPr>
      <w:szCs w:val="24"/>
    </w:rPr>
  </w:style>
  <w:style w:type="paragraph" w:customStyle="1" w:styleId="953">
    <w:name w:val="正文文本缩进 212"/>
    <w:basedOn w:val="1"/>
    <w:qFormat/>
    <w:uiPriority w:val="0"/>
    <w:pPr>
      <w:spacing w:before="0" w:after="0" w:line="480" w:lineRule="auto"/>
      <w:ind w:left="420" w:leftChars="200" w:firstLine="0"/>
    </w:pPr>
    <w:rPr>
      <w:sz w:val="21"/>
      <w:szCs w:val="24"/>
    </w:rPr>
  </w:style>
  <w:style w:type="paragraph" w:customStyle="1" w:styleId="954">
    <w:name w:val="正文首行缩进12"/>
    <w:basedOn w:val="2"/>
    <w:qFormat/>
    <w:uiPriority w:val="0"/>
    <w:pPr>
      <w:spacing w:before="0" w:after="0"/>
      <w:ind w:firstLine="420"/>
    </w:pPr>
    <w:rPr>
      <w:sz w:val="21"/>
      <w:szCs w:val="24"/>
    </w:rPr>
  </w:style>
  <w:style w:type="paragraph" w:customStyle="1" w:styleId="955">
    <w:name w:val="正文文本 312"/>
    <w:basedOn w:val="1"/>
    <w:qFormat/>
    <w:uiPriority w:val="0"/>
    <w:pPr>
      <w:spacing w:before="0" w:after="0" w:line="240" w:lineRule="auto"/>
      <w:ind w:firstLine="0"/>
    </w:pPr>
    <w:rPr>
      <w:sz w:val="16"/>
      <w:szCs w:val="16"/>
    </w:rPr>
  </w:style>
  <w:style w:type="paragraph" w:customStyle="1" w:styleId="956">
    <w:name w:val="HTML 地址12"/>
    <w:basedOn w:val="1"/>
    <w:qFormat/>
    <w:uiPriority w:val="0"/>
    <w:pPr>
      <w:spacing w:before="0" w:after="0" w:line="240" w:lineRule="auto"/>
      <w:ind w:firstLine="0"/>
    </w:pPr>
    <w:rPr>
      <w:i/>
      <w:iCs/>
      <w:sz w:val="21"/>
      <w:szCs w:val="24"/>
    </w:rPr>
  </w:style>
  <w:style w:type="paragraph" w:customStyle="1" w:styleId="957">
    <w:name w:val="正文首行缩进 212"/>
    <w:basedOn w:val="951"/>
    <w:qFormat/>
    <w:uiPriority w:val="0"/>
    <w:pPr>
      <w:ind w:firstLine="420" w:firstLineChars="200"/>
    </w:pPr>
    <w:rPr>
      <w:sz w:val="24"/>
    </w:rPr>
  </w:style>
  <w:style w:type="character" w:customStyle="1" w:styleId="958">
    <w:name w:val="明显参考12"/>
    <w:qFormat/>
    <w:uiPriority w:val="0"/>
    <w:rPr>
      <w:b/>
      <w:smallCaps/>
    </w:rPr>
  </w:style>
  <w:style w:type="paragraph" w:customStyle="1" w:styleId="959">
    <w:name w:val="正文文本缩进 312"/>
    <w:basedOn w:val="1"/>
    <w:qFormat/>
    <w:uiPriority w:val="0"/>
    <w:pPr>
      <w:adjustRightInd w:val="0"/>
      <w:spacing w:before="0" w:after="0" w:line="360" w:lineRule="atLeast"/>
      <w:ind w:left="420" w:leftChars="200" w:firstLine="0"/>
      <w:jc w:val="left"/>
      <w:textAlignment w:val="baseline"/>
    </w:pPr>
    <w:rPr>
      <w:sz w:val="16"/>
      <w:szCs w:val="16"/>
    </w:rPr>
  </w:style>
  <w:style w:type="paragraph" w:customStyle="1" w:styleId="960">
    <w:name w:val="HTML 预设格式12"/>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0" w:lineRule="atLeast"/>
      <w:ind w:firstLine="0"/>
      <w:jc w:val="left"/>
    </w:pPr>
    <w:rPr>
      <w:rFonts w:ascii="Arial" w:hAnsi="Arial"/>
      <w:sz w:val="21"/>
      <w:szCs w:val="21"/>
    </w:rPr>
  </w:style>
  <w:style w:type="character" w:customStyle="1" w:styleId="961">
    <w:name w:val="HTML 打字机12"/>
    <w:qFormat/>
    <w:uiPriority w:val="0"/>
    <w:rPr>
      <w:rFonts w:ascii="Courier New" w:hAnsi="Courier New"/>
      <w:sz w:val="20"/>
      <w:szCs w:val="20"/>
    </w:rPr>
  </w:style>
  <w:style w:type="character" w:customStyle="1" w:styleId="962">
    <w:name w:val="不明显参考12"/>
    <w:qFormat/>
    <w:uiPriority w:val="0"/>
    <w:rPr>
      <w:smallCaps/>
    </w:rPr>
  </w:style>
  <w:style w:type="character" w:customStyle="1" w:styleId="963">
    <w:name w:val="明显强调12"/>
    <w:qFormat/>
    <w:uiPriority w:val="0"/>
    <w:rPr>
      <w:b/>
      <w:bCs/>
      <w:i/>
      <w:iCs/>
    </w:rPr>
  </w:style>
  <w:style w:type="character" w:customStyle="1" w:styleId="964">
    <w:name w:val="不明显强调12"/>
    <w:qFormat/>
    <w:uiPriority w:val="0"/>
    <w:rPr>
      <w:i/>
      <w:iCs/>
    </w:rPr>
  </w:style>
  <w:style w:type="character" w:customStyle="1" w:styleId="965">
    <w:name w:val="HTML 缩写12"/>
    <w:qFormat/>
    <w:uiPriority w:val="0"/>
  </w:style>
  <w:style w:type="character" w:customStyle="1" w:styleId="966">
    <w:name w:val="HTML 变量12"/>
    <w:qFormat/>
    <w:uiPriority w:val="0"/>
    <w:rPr>
      <w:i/>
      <w:iCs/>
    </w:rPr>
  </w:style>
  <w:style w:type="character" w:customStyle="1" w:styleId="967">
    <w:name w:val="HTML 引文12"/>
    <w:qFormat/>
    <w:uiPriority w:val="0"/>
    <w:rPr>
      <w:i/>
      <w:iCs/>
    </w:rPr>
  </w:style>
  <w:style w:type="paragraph" w:customStyle="1" w:styleId="968">
    <w:name w:val="明显引用12"/>
    <w:basedOn w:val="1"/>
    <w:next w:val="1"/>
    <w:qFormat/>
    <w:uiPriority w:val="0"/>
    <w:pPr>
      <w:pBdr>
        <w:top w:val="single" w:color="auto" w:sz="4" w:space="10"/>
        <w:bottom w:val="single" w:color="auto" w:sz="4" w:space="10"/>
      </w:pBdr>
      <w:spacing w:before="0" w:after="0" w:line="300" w:lineRule="auto"/>
      <w:ind w:left="1152" w:right="1152" w:firstLine="0"/>
    </w:pPr>
    <w:rPr>
      <w:rFonts w:ascii="Cambria" w:hAnsi="Cambria"/>
      <w:i/>
      <w:iCs/>
      <w:sz w:val="22"/>
      <w:szCs w:val="24"/>
      <w:lang w:eastAsia="en-US"/>
    </w:rPr>
  </w:style>
  <w:style w:type="character" w:customStyle="1" w:styleId="969">
    <w:name w:val="页码12"/>
    <w:qFormat/>
    <w:uiPriority w:val="0"/>
  </w:style>
  <w:style w:type="character" w:customStyle="1" w:styleId="970">
    <w:name w:val="批注引用12"/>
    <w:qFormat/>
    <w:uiPriority w:val="0"/>
    <w:rPr>
      <w:sz w:val="21"/>
      <w:szCs w:val="21"/>
    </w:rPr>
  </w:style>
  <w:style w:type="character" w:customStyle="1" w:styleId="971">
    <w:name w:val="HTML 代码12"/>
    <w:qFormat/>
    <w:uiPriority w:val="0"/>
    <w:rPr>
      <w:rFonts w:ascii="Courier New" w:hAnsi="Courier New"/>
      <w:sz w:val="20"/>
      <w:szCs w:val="20"/>
    </w:rPr>
  </w:style>
  <w:style w:type="character" w:customStyle="1" w:styleId="972">
    <w:name w:val="HTML 定义12"/>
    <w:qFormat/>
    <w:uiPriority w:val="0"/>
    <w:rPr>
      <w:i/>
      <w:iCs/>
    </w:rPr>
  </w:style>
  <w:style w:type="character" w:customStyle="1" w:styleId="973">
    <w:name w:val="HTML 键盘12"/>
    <w:qFormat/>
    <w:uiPriority w:val="0"/>
    <w:rPr>
      <w:rFonts w:ascii="Courier New" w:hAnsi="Courier New"/>
      <w:sz w:val="20"/>
      <w:szCs w:val="20"/>
    </w:rPr>
  </w:style>
  <w:style w:type="character" w:customStyle="1" w:styleId="974">
    <w:name w:val="HTML 样本12"/>
    <w:qFormat/>
    <w:uiPriority w:val="0"/>
    <w:rPr>
      <w:rFonts w:ascii="Courier New" w:hAnsi="Courier New"/>
    </w:rPr>
  </w:style>
  <w:style w:type="character" w:customStyle="1" w:styleId="975">
    <w:name w:val="书籍标题12"/>
    <w:qFormat/>
    <w:uiPriority w:val="0"/>
    <w:rPr>
      <w:i/>
      <w:iCs/>
      <w:smallCaps/>
      <w:spacing w:val="5"/>
    </w:rPr>
  </w:style>
  <w:style w:type="paragraph" w:customStyle="1" w:styleId="976">
    <w:name w:val="索引 712"/>
    <w:basedOn w:val="1"/>
    <w:next w:val="1"/>
    <w:qFormat/>
    <w:uiPriority w:val="0"/>
    <w:pPr>
      <w:spacing w:before="0" w:after="0" w:line="240" w:lineRule="auto"/>
      <w:ind w:left="1200" w:leftChars="1200" w:firstLine="0"/>
    </w:pPr>
    <w:rPr>
      <w:sz w:val="21"/>
      <w:szCs w:val="24"/>
    </w:rPr>
  </w:style>
  <w:style w:type="paragraph" w:customStyle="1" w:styleId="977">
    <w:name w:val="索引 612"/>
    <w:basedOn w:val="1"/>
    <w:next w:val="1"/>
    <w:qFormat/>
    <w:uiPriority w:val="0"/>
    <w:pPr>
      <w:spacing w:before="0" w:after="0" w:line="240" w:lineRule="auto"/>
      <w:ind w:left="1000" w:leftChars="1000" w:firstLine="0"/>
    </w:pPr>
    <w:rPr>
      <w:sz w:val="21"/>
      <w:szCs w:val="24"/>
    </w:rPr>
  </w:style>
  <w:style w:type="paragraph" w:customStyle="1" w:styleId="978">
    <w:name w:val="索引 312"/>
    <w:basedOn w:val="1"/>
    <w:next w:val="1"/>
    <w:qFormat/>
    <w:uiPriority w:val="0"/>
    <w:pPr>
      <w:spacing w:before="0" w:after="0" w:line="240" w:lineRule="auto"/>
      <w:ind w:left="400" w:leftChars="400" w:firstLine="0"/>
    </w:pPr>
    <w:rPr>
      <w:sz w:val="21"/>
      <w:szCs w:val="24"/>
    </w:rPr>
  </w:style>
  <w:style w:type="paragraph" w:customStyle="1" w:styleId="979">
    <w:name w:val="普通(网站)12"/>
    <w:basedOn w:val="1"/>
    <w:qFormat/>
    <w:uiPriority w:val="0"/>
    <w:pPr>
      <w:spacing w:before="0" w:after="0" w:line="240" w:lineRule="auto"/>
      <w:ind w:firstLine="0"/>
      <w:jc w:val="left"/>
    </w:pPr>
    <w:rPr>
      <w:kern w:val="0"/>
      <w:szCs w:val="24"/>
    </w:rPr>
  </w:style>
  <w:style w:type="paragraph" w:customStyle="1" w:styleId="980">
    <w:name w:val="列表 212"/>
    <w:basedOn w:val="1"/>
    <w:qFormat/>
    <w:uiPriority w:val="0"/>
    <w:pPr>
      <w:spacing w:before="0" w:after="0"/>
      <w:ind w:left="100" w:leftChars="200" w:hanging="200" w:hangingChars="200"/>
    </w:pPr>
    <w:rPr>
      <w:szCs w:val="24"/>
    </w:rPr>
  </w:style>
  <w:style w:type="paragraph" w:customStyle="1" w:styleId="981">
    <w:name w:val="列表12"/>
    <w:basedOn w:val="1"/>
    <w:qFormat/>
    <w:uiPriority w:val="0"/>
    <w:pPr>
      <w:spacing w:before="0" w:after="0"/>
      <w:ind w:left="200" w:hanging="200" w:hangingChars="200"/>
    </w:pPr>
    <w:rPr>
      <w:szCs w:val="24"/>
    </w:rPr>
  </w:style>
  <w:style w:type="paragraph" w:customStyle="1" w:styleId="982">
    <w:name w:val="索引 512"/>
    <w:basedOn w:val="1"/>
    <w:next w:val="1"/>
    <w:qFormat/>
    <w:uiPriority w:val="0"/>
    <w:pPr>
      <w:spacing w:before="0" w:after="0" w:line="240" w:lineRule="auto"/>
      <w:ind w:left="800" w:leftChars="800" w:firstLine="0"/>
    </w:pPr>
    <w:rPr>
      <w:sz w:val="21"/>
      <w:szCs w:val="24"/>
    </w:rPr>
  </w:style>
  <w:style w:type="paragraph" w:customStyle="1" w:styleId="983">
    <w:name w:val="索引 412"/>
    <w:basedOn w:val="1"/>
    <w:next w:val="1"/>
    <w:qFormat/>
    <w:uiPriority w:val="0"/>
    <w:pPr>
      <w:spacing w:before="0" w:after="0" w:line="240" w:lineRule="auto"/>
      <w:ind w:left="600" w:leftChars="600" w:firstLine="0"/>
    </w:pPr>
    <w:rPr>
      <w:sz w:val="21"/>
      <w:szCs w:val="24"/>
    </w:rPr>
  </w:style>
  <w:style w:type="paragraph" w:customStyle="1" w:styleId="984">
    <w:name w:val="TOC 标题12"/>
    <w:basedOn w:val="4"/>
    <w:next w:val="1"/>
    <w:qFormat/>
    <w:uiPriority w:val="0"/>
    <w:pPr>
      <w:tabs>
        <w:tab w:val="left" w:pos="0"/>
      </w:tabs>
      <w:spacing w:before="0" w:after="0" w:line="276" w:lineRule="auto"/>
      <w:jc w:val="left"/>
      <w:outlineLvl w:val="9"/>
    </w:pPr>
    <w:rPr>
      <w:rFonts w:ascii="Cambria" w:hAnsi="Cambria"/>
      <w:color w:val="365F91"/>
      <w:kern w:val="0"/>
      <w:szCs w:val="28"/>
    </w:rPr>
  </w:style>
  <w:style w:type="paragraph" w:customStyle="1" w:styleId="985">
    <w:name w:val="图表目录12"/>
    <w:basedOn w:val="1"/>
    <w:next w:val="1"/>
    <w:qFormat/>
    <w:uiPriority w:val="0"/>
    <w:pPr>
      <w:adjustRightInd w:val="0"/>
      <w:spacing w:before="0" w:after="0" w:line="360" w:lineRule="atLeast"/>
      <w:ind w:left="200" w:leftChars="200" w:hanging="200" w:hangingChars="200"/>
      <w:jc w:val="left"/>
      <w:textAlignment w:val="baseline"/>
    </w:pPr>
    <w:rPr>
      <w:kern w:val="0"/>
      <w:sz w:val="32"/>
    </w:rPr>
  </w:style>
  <w:style w:type="paragraph" w:customStyle="1" w:styleId="986">
    <w:name w:val="索引 112"/>
    <w:basedOn w:val="1"/>
    <w:next w:val="1"/>
    <w:qFormat/>
    <w:uiPriority w:val="0"/>
    <w:pPr>
      <w:spacing w:before="0" w:after="0" w:line="240" w:lineRule="auto"/>
      <w:ind w:firstLine="0"/>
    </w:pPr>
    <w:rPr>
      <w:sz w:val="21"/>
      <w:szCs w:val="24"/>
    </w:rPr>
  </w:style>
  <w:style w:type="paragraph" w:customStyle="1" w:styleId="987">
    <w:name w:val="列表编号 212"/>
    <w:basedOn w:val="1"/>
    <w:qFormat/>
    <w:uiPriority w:val="0"/>
    <w:pPr>
      <w:tabs>
        <w:tab w:val="left" w:pos="780"/>
      </w:tabs>
      <w:spacing w:before="0" w:after="0"/>
      <w:ind w:left="780" w:leftChars="200" w:hanging="360" w:hangingChars="200"/>
    </w:pPr>
    <w:rPr>
      <w:rFonts w:ascii="宋体" w:hAnsi="宋体"/>
      <w:szCs w:val="24"/>
    </w:rPr>
  </w:style>
  <w:style w:type="paragraph" w:customStyle="1" w:styleId="988">
    <w:name w:val="索引 212"/>
    <w:basedOn w:val="1"/>
    <w:next w:val="1"/>
    <w:qFormat/>
    <w:uiPriority w:val="0"/>
    <w:pPr>
      <w:spacing w:before="0" w:after="0" w:line="240" w:lineRule="auto"/>
      <w:ind w:left="200" w:leftChars="200" w:firstLine="0"/>
    </w:pPr>
    <w:rPr>
      <w:sz w:val="21"/>
      <w:szCs w:val="24"/>
    </w:rPr>
  </w:style>
  <w:style w:type="paragraph" w:customStyle="1" w:styleId="989">
    <w:name w:val="引文目录标题12"/>
    <w:basedOn w:val="1"/>
    <w:next w:val="1"/>
    <w:qFormat/>
    <w:uiPriority w:val="0"/>
    <w:pPr>
      <w:spacing w:before="0" w:after="0"/>
      <w:ind w:firstLine="0"/>
      <w:jc w:val="left"/>
    </w:pPr>
    <w:rPr>
      <w:rFonts w:ascii="Arial" w:hAnsi="Arial" w:cs="Arial"/>
      <w:szCs w:val="24"/>
    </w:rPr>
  </w:style>
  <w:style w:type="paragraph" w:customStyle="1" w:styleId="990">
    <w:name w:val="索引 812"/>
    <w:basedOn w:val="1"/>
    <w:next w:val="1"/>
    <w:qFormat/>
    <w:uiPriority w:val="0"/>
    <w:pPr>
      <w:spacing w:before="0" w:after="0" w:line="240" w:lineRule="auto"/>
      <w:ind w:left="1400" w:leftChars="1400" w:firstLine="0"/>
    </w:pPr>
    <w:rPr>
      <w:sz w:val="21"/>
      <w:szCs w:val="24"/>
    </w:rPr>
  </w:style>
  <w:style w:type="paragraph" w:customStyle="1" w:styleId="991">
    <w:name w:val="索引 912"/>
    <w:basedOn w:val="1"/>
    <w:next w:val="1"/>
    <w:qFormat/>
    <w:uiPriority w:val="0"/>
    <w:pPr>
      <w:spacing w:before="0" w:after="0" w:line="240" w:lineRule="auto"/>
      <w:ind w:left="1600" w:leftChars="1600" w:firstLine="0"/>
    </w:pPr>
    <w:rPr>
      <w:sz w:val="21"/>
      <w:szCs w:val="24"/>
    </w:rPr>
  </w:style>
  <w:style w:type="paragraph" w:customStyle="1" w:styleId="992">
    <w:name w:val="索引标题12"/>
    <w:basedOn w:val="1"/>
    <w:next w:val="986"/>
    <w:qFormat/>
    <w:uiPriority w:val="0"/>
    <w:pPr>
      <w:spacing w:before="0" w:after="0" w:line="240" w:lineRule="auto"/>
      <w:ind w:firstLine="0"/>
    </w:pPr>
    <w:rPr>
      <w:sz w:val="21"/>
      <w:szCs w:val="24"/>
    </w:rPr>
  </w:style>
  <w:style w:type="paragraph" w:customStyle="1" w:styleId="993">
    <w:name w:val="列表编号 412"/>
    <w:basedOn w:val="15"/>
    <w:qFormat/>
    <w:uiPriority w:val="0"/>
    <w:pPr>
      <w:tabs>
        <w:tab w:val="clear" w:pos="360"/>
      </w:tabs>
      <w:spacing w:before="0" w:after="0" w:line="240" w:lineRule="atLeast"/>
      <w:ind w:left="720" w:right="720"/>
    </w:pPr>
    <w:rPr>
      <w:rFonts w:ascii="Garamond" w:hAnsi="Garamond"/>
      <w:color w:val="auto"/>
      <w:sz w:val="21"/>
      <w:lang w:eastAsia="zh-CN"/>
    </w:rPr>
  </w:style>
  <w:style w:type="paragraph" w:customStyle="1" w:styleId="994">
    <w:name w:val="列表编号 312"/>
    <w:basedOn w:val="1"/>
    <w:qFormat/>
    <w:uiPriority w:val="0"/>
    <w:pPr>
      <w:tabs>
        <w:tab w:val="left" w:pos="1200"/>
      </w:tabs>
      <w:spacing w:before="0" w:after="0"/>
      <w:ind w:left="1200" w:hanging="360"/>
      <w:contextualSpacing/>
    </w:pPr>
    <w:rPr>
      <w:sz w:val="21"/>
      <w:szCs w:val="24"/>
    </w:rPr>
  </w:style>
  <w:style w:type="paragraph" w:customStyle="1" w:styleId="995">
    <w:name w:val="正文文本 222"/>
    <w:basedOn w:val="1"/>
    <w:qFormat/>
    <w:uiPriority w:val="0"/>
    <w:pPr>
      <w:spacing w:before="0" w:after="0" w:line="480" w:lineRule="auto"/>
      <w:ind w:firstLine="0"/>
    </w:pPr>
    <w:rPr>
      <w:sz w:val="21"/>
    </w:rPr>
  </w:style>
  <w:style w:type="paragraph" w:customStyle="1" w:styleId="996">
    <w:name w:val="列出段落22"/>
    <w:basedOn w:val="1"/>
    <w:qFormat/>
    <w:uiPriority w:val="0"/>
    <w:pPr>
      <w:spacing w:line="240" w:lineRule="auto"/>
      <w:ind w:firstLine="420"/>
    </w:pPr>
    <w:rPr>
      <w:sz w:val="21"/>
    </w:rPr>
  </w:style>
  <w:style w:type="paragraph" w:customStyle="1" w:styleId="997">
    <w:name w:val="正文文本缩进 32"/>
    <w:basedOn w:val="1"/>
    <w:qFormat/>
    <w:uiPriority w:val="0"/>
    <w:pPr>
      <w:widowControl w:val="0"/>
      <w:adjustRightInd w:val="0"/>
      <w:spacing w:beforeLines="50" w:afterLines="50" w:line="360" w:lineRule="atLeast"/>
      <w:ind w:left="420" w:leftChars="200" w:firstLine="0"/>
      <w:textAlignment w:val="baseline"/>
    </w:pPr>
    <w:rPr>
      <w:kern w:val="0"/>
      <w:sz w:val="16"/>
    </w:rPr>
  </w:style>
  <w:style w:type="paragraph" w:customStyle="1" w:styleId="998">
    <w:name w:val="正文文本缩进2"/>
    <w:basedOn w:val="1"/>
    <w:qFormat/>
    <w:uiPriority w:val="0"/>
    <w:pPr>
      <w:widowControl w:val="0"/>
      <w:spacing w:beforeLines="50" w:after="120" w:line="480" w:lineRule="exact"/>
      <w:ind w:left="420" w:leftChars="200" w:firstLine="0"/>
    </w:pPr>
    <w:rPr>
      <w:sz w:val="21"/>
    </w:rPr>
  </w:style>
  <w:style w:type="character" w:customStyle="1" w:styleId="999">
    <w:name w:val="HTML 样本2"/>
    <w:qFormat/>
    <w:uiPriority w:val="0"/>
    <w:rPr>
      <w:rFonts w:ascii="Courier New" w:hAnsi="Courier New"/>
    </w:rPr>
  </w:style>
  <w:style w:type="paragraph" w:customStyle="1" w:styleId="1000">
    <w:name w:val="正文首行缩进4"/>
    <w:basedOn w:val="2"/>
    <w:qFormat/>
    <w:uiPriority w:val="0"/>
    <w:pPr>
      <w:widowControl w:val="0"/>
      <w:spacing w:beforeLines="50" w:line="480" w:lineRule="exact"/>
      <w:ind w:firstLine="420"/>
    </w:pPr>
    <w:rPr>
      <w:rFonts w:ascii="Calibri" w:hAnsi="Calibri"/>
      <w:sz w:val="21"/>
      <w:szCs w:val="22"/>
    </w:rPr>
  </w:style>
  <w:style w:type="paragraph" w:customStyle="1" w:styleId="1001">
    <w:name w:val="HTML 预设格式2"/>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afterLines="50" w:line="330" w:lineRule="atLeast"/>
      <w:ind w:firstLine="0"/>
    </w:pPr>
    <w:rPr>
      <w:rFonts w:ascii="Arial" w:hAnsi="Arial"/>
      <w:kern w:val="0"/>
      <w:sz w:val="21"/>
    </w:rPr>
  </w:style>
  <w:style w:type="paragraph" w:customStyle="1" w:styleId="1002">
    <w:name w:val="正文首行缩进 22"/>
    <w:basedOn w:val="998"/>
    <w:qFormat/>
    <w:uiPriority w:val="0"/>
    <w:pPr>
      <w:ind w:firstLine="420" w:firstLineChars="200"/>
    </w:pPr>
    <w:rPr>
      <w:sz w:val="24"/>
    </w:rPr>
  </w:style>
  <w:style w:type="paragraph" w:customStyle="1" w:styleId="1003">
    <w:name w:val="正文缩进6"/>
    <w:basedOn w:val="1"/>
    <w:qFormat/>
    <w:uiPriority w:val="0"/>
    <w:pPr>
      <w:widowControl w:val="0"/>
      <w:spacing w:beforeLines="50" w:afterLines="50" w:line="480" w:lineRule="exact"/>
      <w:ind w:firstLine="420"/>
    </w:pPr>
    <w:rPr>
      <w:sz w:val="21"/>
    </w:rPr>
  </w:style>
  <w:style w:type="paragraph" w:customStyle="1" w:styleId="1004">
    <w:name w:val="文档结构图2"/>
    <w:basedOn w:val="1"/>
    <w:qFormat/>
    <w:uiPriority w:val="99"/>
    <w:pPr>
      <w:widowControl w:val="0"/>
      <w:shd w:val="clear" w:color="auto" w:fill="000080"/>
      <w:spacing w:beforeLines="50" w:afterLines="50" w:line="480" w:lineRule="exact"/>
      <w:ind w:firstLine="200" w:firstLineChars="200"/>
    </w:pPr>
  </w:style>
  <w:style w:type="paragraph" w:customStyle="1" w:styleId="1005">
    <w:name w:val="日期2"/>
    <w:basedOn w:val="1"/>
    <w:next w:val="1"/>
    <w:qFormat/>
    <w:uiPriority w:val="0"/>
    <w:pPr>
      <w:widowControl w:val="0"/>
      <w:spacing w:beforeLines="50" w:afterLines="50" w:line="480" w:lineRule="exact"/>
      <w:ind w:left="100" w:leftChars="2500" w:firstLine="200" w:firstLineChars="200"/>
    </w:pPr>
  </w:style>
  <w:style w:type="paragraph" w:customStyle="1" w:styleId="1006">
    <w:name w:val="正文文本 23"/>
    <w:basedOn w:val="1"/>
    <w:qFormat/>
    <w:uiPriority w:val="0"/>
    <w:pPr>
      <w:widowControl w:val="0"/>
      <w:spacing w:beforeLines="50" w:afterLines="50" w:line="480" w:lineRule="auto"/>
      <w:ind w:firstLine="0"/>
    </w:pPr>
    <w:rPr>
      <w:sz w:val="21"/>
    </w:rPr>
  </w:style>
  <w:style w:type="paragraph" w:customStyle="1" w:styleId="1007">
    <w:name w:val="批注主题2"/>
    <w:basedOn w:val="20"/>
    <w:next w:val="20"/>
    <w:qFormat/>
    <w:uiPriority w:val="0"/>
    <w:pPr>
      <w:widowControl w:val="0"/>
      <w:spacing w:beforeLines="50" w:afterLines="50" w:line="480" w:lineRule="exact"/>
      <w:ind w:firstLine="200" w:firstLineChars="200"/>
    </w:pPr>
    <w:rPr>
      <w:rFonts w:ascii="Calibri" w:hAnsi="Calibri"/>
      <w:b/>
      <w:szCs w:val="22"/>
    </w:rPr>
  </w:style>
  <w:style w:type="paragraph" w:customStyle="1" w:styleId="1008">
    <w:name w:val="纯文本5"/>
    <w:basedOn w:val="1"/>
    <w:qFormat/>
    <w:uiPriority w:val="0"/>
    <w:pPr>
      <w:widowControl w:val="0"/>
      <w:spacing w:beforeLines="50" w:afterLines="50" w:line="240" w:lineRule="auto"/>
      <w:ind w:firstLine="0"/>
    </w:pPr>
    <w:rPr>
      <w:rFonts w:ascii="宋体" w:hAnsi="Courier New"/>
      <w:sz w:val="21"/>
    </w:rPr>
  </w:style>
  <w:style w:type="paragraph" w:customStyle="1" w:styleId="1009">
    <w:name w:val="HTML 地址2"/>
    <w:basedOn w:val="1"/>
    <w:qFormat/>
    <w:uiPriority w:val="0"/>
    <w:pPr>
      <w:widowControl w:val="0"/>
      <w:spacing w:beforeLines="50" w:afterLines="50" w:line="240" w:lineRule="auto"/>
      <w:ind w:firstLine="0"/>
    </w:pPr>
    <w:rPr>
      <w:i/>
      <w:sz w:val="21"/>
    </w:rPr>
  </w:style>
  <w:style w:type="paragraph" w:customStyle="1" w:styleId="1010">
    <w:name w:val="正文文本 32"/>
    <w:basedOn w:val="1"/>
    <w:qFormat/>
    <w:uiPriority w:val="0"/>
    <w:pPr>
      <w:widowControl w:val="0"/>
      <w:spacing w:beforeLines="50" w:afterLines="50" w:line="240" w:lineRule="auto"/>
      <w:ind w:firstLine="0"/>
    </w:pPr>
    <w:rPr>
      <w:sz w:val="16"/>
    </w:rPr>
  </w:style>
  <w:style w:type="paragraph" w:customStyle="1" w:styleId="1011">
    <w:name w:val="正文文本缩进 22"/>
    <w:basedOn w:val="1"/>
    <w:qFormat/>
    <w:uiPriority w:val="0"/>
    <w:pPr>
      <w:widowControl w:val="0"/>
      <w:spacing w:beforeLines="50" w:afterLines="50" w:line="480" w:lineRule="auto"/>
      <w:ind w:left="420" w:leftChars="200" w:firstLine="0"/>
    </w:pPr>
    <w:rPr>
      <w:sz w:val="21"/>
    </w:rPr>
  </w:style>
  <w:style w:type="character" w:customStyle="1" w:styleId="1012">
    <w:name w:val="HTML 缩写3"/>
    <w:qFormat/>
    <w:uiPriority w:val="0"/>
  </w:style>
  <w:style w:type="character" w:customStyle="1" w:styleId="1013">
    <w:name w:val="不明显参考3"/>
    <w:qFormat/>
    <w:uiPriority w:val="0"/>
    <w:rPr>
      <w:smallCaps/>
    </w:rPr>
  </w:style>
  <w:style w:type="character" w:customStyle="1" w:styleId="1014">
    <w:name w:val="不明显强调2"/>
    <w:qFormat/>
    <w:uiPriority w:val="0"/>
    <w:rPr>
      <w:i/>
    </w:rPr>
  </w:style>
  <w:style w:type="character" w:customStyle="1" w:styleId="1015">
    <w:name w:val="HTML 代码2"/>
    <w:qFormat/>
    <w:uiPriority w:val="0"/>
    <w:rPr>
      <w:rFonts w:ascii="Courier New" w:hAnsi="Courier New"/>
      <w:sz w:val="20"/>
    </w:rPr>
  </w:style>
  <w:style w:type="character" w:customStyle="1" w:styleId="1016">
    <w:name w:val="HTML 打字机2"/>
    <w:qFormat/>
    <w:uiPriority w:val="0"/>
    <w:rPr>
      <w:rFonts w:ascii="Courier New" w:hAnsi="Courier New"/>
      <w:sz w:val="20"/>
    </w:rPr>
  </w:style>
  <w:style w:type="character" w:customStyle="1" w:styleId="1017">
    <w:name w:val="页码3"/>
    <w:basedOn w:val="48"/>
    <w:qFormat/>
    <w:uiPriority w:val="0"/>
  </w:style>
  <w:style w:type="character" w:customStyle="1" w:styleId="1018">
    <w:name w:val="HTML 变量2"/>
    <w:qFormat/>
    <w:uiPriority w:val="0"/>
    <w:rPr>
      <w:i/>
    </w:rPr>
  </w:style>
  <w:style w:type="character" w:customStyle="1" w:styleId="1019">
    <w:name w:val="批注引用2"/>
    <w:qFormat/>
    <w:uiPriority w:val="0"/>
    <w:rPr>
      <w:sz w:val="21"/>
    </w:rPr>
  </w:style>
  <w:style w:type="character" w:customStyle="1" w:styleId="1020">
    <w:name w:val="明显强调2"/>
    <w:qFormat/>
    <w:uiPriority w:val="0"/>
    <w:rPr>
      <w:b/>
      <w:i/>
    </w:rPr>
  </w:style>
  <w:style w:type="character" w:customStyle="1" w:styleId="1021">
    <w:name w:val="HTML 引文2"/>
    <w:qFormat/>
    <w:uiPriority w:val="0"/>
    <w:rPr>
      <w:i/>
    </w:rPr>
  </w:style>
  <w:style w:type="character" w:customStyle="1" w:styleId="1022">
    <w:name w:val="明显参考3"/>
    <w:qFormat/>
    <w:uiPriority w:val="0"/>
    <w:rPr>
      <w:b/>
      <w:smallCaps/>
    </w:rPr>
  </w:style>
  <w:style w:type="paragraph" w:customStyle="1" w:styleId="1023">
    <w:name w:val="明显引用2"/>
    <w:basedOn w:val="1"/>
    <w:next w:val="1"/>
    <w:qFormat/>
    <w:uiPriority w:val="0"/>
    <w:pPr>
      <w:pBdr>
        <w:top w:val="single" w:color="auto" w:sz="4" w:space="10"/>
        <w:bottom w:val="single" w:color="auto" w:sz="4" w:space="10"/>
      </w:pBdr>
      <w:spacing w:beforeLines="50" w:afterLines="50" w:line="300" w:lineRule="auto"/>
      <w:ind w:left="1152" w:firstLine="0"/>
    </w:pPr>
    <w:rPr>
      <w:rFonts w:ascii="Cambria" w:hAnsi="Cambria"/>
      <w:i/>
      <w:kern w:val="0"/>
      <w:sz w:val="22"/>
      <w:lang w:eastAsia="en-US"/>
    </w:rPr>
  </w:style>
  <w:style w:type="character" w:customStyle="1" w:styleId="1024">
    <w:name w:val="HTML 定义2"/>
    <w:qFormat/>
    <w:uiPriority w:val="0"/>
    <w:rPr>
      <w:i/>
    </w:rPr>
  </w:style>
  <w:style w:type="character" w:customStyle="1" w:styleId="1025">
    <w:name w:val="书籍标题2"/>
    <w:qFormat/>
    <w:uiPriority w:val="0"/>
    <w:rPr>
      <w:i/>
      <w:smallCaps/>
      <w:spacing w:val="5"/>
    </w:rPr>
  </w:style>
  <w:style w:type="character" w:customStyle="1" w:styleId="1026">
    <w:name w:val="HTML 键盘2"/>
    <w:qFormat/>
    <w:uiPriority w:val="0"/>
    <w:rPr>
      <w:rFonts w:ascii="Courier New" w:hAnsi="Courier New"/>
      <w:sz w:val="20"/>
    </w:rPr>
  </w:style>
  <w:style w:type="paragraph" w:customStyle="1" w:styleId="1027">
    <w:name w:val="普通(网站)3"/>
    <w:basedOn w:val="1"/>
    <w:qFormat/>
    <w:uiPriority w:val="0"/>
    <w:pPr>
      <w:spacing w:before="100" w:beforeAutospacing="1" w:after="100" w:afterAutospacing="1" w:line="240" w:lineRule="auto"/>
      <w:ind w:firstLine="0"/>
    </w:pPr>
    <w:rPr>
      <w:kern w:val="0"/>
    </w:rPr>
  </w:style>
  <w:style w:type="paragraph" w:customStyle="1" w:styleId="1028">
    <w:name w:val="索引 62"/>
    <w:basedOn w:val="1"/>
    <w:next w:val="1"/>
    <w:qFormat/>
    <w:uiPriority w:val="0"/>
    <w:pPr>
      <w:widowControl w:val="0"/>
      <w:spacing w:beforeLines="50" w:afterLines="50" w:line="240" w:lineRule="auto"/>
      <w:ind w:left="1000" w:leftChars="1000" w:firstLine="0"/>
    </w:pPr>
    <w:rPr>
      <w:sz w:val="21"/>
    </w:rPr>
  </w:style>
  <w:style w:type="paragraph" w:customStyle="1" w:styleId="1029">
    <w:name w:val="列表 22"/>
    <w:basedOn w:val="1"/>
    <w:qFormat/>
    <w:uiPriority w:val="0"/>
    <w:pPr>
      <w:widowControl w:val="0"/>
      <w:spacing w:beforeLines="50" w:afterLines="50" w:line="480" w:lineRule="exact"/>
      <w:ind w:left="100" w:leftChars="200" w:hanging="200" w:hangingChars="200"/>
    </w:pPr>
  </w:style>
  <w:style w:type="paragraph" w:customStyle="1" w:styleId="1030">
    <w:name w:val="列表编号 32"/>
    <w:basedOn w:val="1"/>
    <w:qFormat/>
    <w:uiPriority w:val="0"/>
    <w:pPr>
      <w:tabs>
        <w:tab w:val="left" w:pos="1200"/>
      </w:tabs>
      <w:spacing w:beforeLines="50" w:afterLines="50" w:line="480" w:lineRule="exact"/>
      <w:ind w:left="1200" w:hanging="360" w:firstLineChars="200"/>
    </w:pPr>
    <w:rPr>
      <w:sz w:val="21"/>
    </w:rPr>
  </w:style>
  <w:style w:type="paragraph" w:customStyle="1" w:styleId="1031">
    <w:name w:val="列表2"/>
    <w:basedOn w:val="1"/>
    <w:qFormat/>
    <w:uiPriority w:val="0"/>
    <w:pPr>
      <w:widowControl w:val="0"/>
      <w:spacing w:beforeLines="50" w:afterLines="50" w:line="480" w:lineRule="exact"/>
      <w:ind w:left="200" w:hanging="200" w:hangingChars="200"/>
    </w:pPr>
  </w:style>
  <w:style w:type="paragraph" w:customStyle="1" w:styleId="1032">
    <w:name w:val="无间隔3"/>
    <w:qFormat/>
    <w:uiPriority w:val="0"/>
    <w:pPr>
      <w:widowControl w:val="0"/>
      <w:spacing w:beforeLines="50" w:afterLines="50"/>
      <w:ind w:firstLine="200" w:firstLineChars="200"/>
      <w:jc w:val="both"/>
    </w:pPr>
    <w:rPr>
      <w:rFonts w:ascii="Times New Roman" w:hAnsi="Times New Roman" w:eastAsia="宋体" w:cs="Times New Roman"/>
      <w:kern w:val="2"/>
      <w:sz w:val="24"/>
      <w:lang w:val="en-US" w:eastAsia="zh-CN" w:bidi="ar-SA"/>
    </w:rPr>
  </w:style>
  <w:style w:type="paragraph" w:customStyle="1" w:styleId="1033">
    <w:name w:val="修订3"/>
    <w:qFormat/>
    <w:uiPriority w:val="0"/>
    <w:rPr>
      <w:rFonts w:ascii="Times New Roman" w:hAnsi="Times New Roman" w:eastAsia="宋体" w:cs="Times New Roman"/>
      <w:kern w:val="2"/>
      <w:sz w:val="24"/>
      <w:lang w:val="en-US" w:eastAsia="zh-CN" w:bidi="ar-SA"/>
    </w:rPr>
  </w:style>
  <w:style w:type="paragraph" w:customStyle="1" w:styleId="1034">
    <w:name w:val="索引标题2"/>
    <w:basedOn w:val="1"/>
    <w:next w:val="1035"/>
    <w:qFormat/>
    <w:uiPriority w:val="0"/>
    <w:pPr>
      <w:widowControl w:val="0"/>
      <w:spacing w:beforeLines="50" w:afterLines="50" w:line="240" w:lineRule="auto"/>
      <w:ind w:firstLine="0"/>
    </w:pPr>
    <w:rPr>
      <w:sz w:val="21"/>
    </w:rPr>
  </w:style>
  <w:style w:type="paragraph" w:customStyle="1" w:styleId="1035">
    <w:name w:val="索引 12"/>
    <w:basedOn w:val="1"/>
    <w:next w:val="1"/>
    <w:qFormat/>
    <w:uiPriority w:val="0"/>
    <w:pPr>
      <w:widowControl w:val="0"/>
      <w:spacing w:beforeLines="50" w:afterLines="50" w:line="240" w:lineRule="auto"/>
      <w:ind w:firstLine="0"/>
    </w:pPr>
    <w:rPr>
      <w:sz w:val="21"/>
    </w:rPr>
  </w:style>
  <w:style w:type="paragraph" w:customStyle="1" w:styleId="1036">
    <w:name w:val="索引 52"/>
    <w:basedOn w:val="1"/>
    <w:next w:val="1"/>
    <w:qFormat/>
    <w:uiPriority w:val="0"/>
    <w:pPr>
      <w:widowControl w:val="0"/>
      <w:spacing w:beforeLines="50" w:afterLines="50" w:line="240" w:lineRule="auto"/>
      <w:ind w:left="800" w:leftChars="800" w:firstLine="0"/>
    </w:pPr>
    <w:rPr>
      <w:sz w:val="21"/>
    </w:rPr>
  </w:style>
  <w:style w:type="paragraph" w:customStyle="1" w:styleId="1037">
    <w:name w:val="索引 32"/>
    <w:basedOn w:val="1"/>
    <w:next w:val="1"/>
    <w:qFormat/>
    <w:uiPriority w:val="0"/>
    <w:pPr>
      <w:widowControl w:val="0"/>
      <w:spacing w:beforeLines="50" w:afterLines="50" w:line="240" w:lineRule="auto"/>
      <w:ind w:left="400" w:leftChars="400" w:firstLine="0"/>
    </w:pPr>
    <w:rPr>
      <w:sz w:val="21"/>
    </w:rPr>
  </w:style>
  <w:style w:type="paragraph" w:customStyle="1" w:styleId="1038">
    <w:name w:val="文本块2"/>
    <w:basedOn w:val="1"/>
    <w:qFormat/>
    <w:uiPriority w:val="0"/>
    <w:pPr>
      <w:widowControl w:val="0"/>
      <w:spacing w:beforeLines="50" w:afterLines="50" w:line="240" w:lineRule="auto"/>
      <w:ind w:left="1440" w:leftChars="700" w:right="700" w:rightChars="700" w:firstLine="0"/>
    </w:pPr>
    <w:rPr>
      <w:rFonts w:ascii="Calibri" w:hAnsi="Calibri"/>
      <w:sz w:val="21"/>
    </w:rPr>
  </w:style>
  <w:style w:type="paragraph" w:customStyle="1" w:styleId="1039">
    <w:name w:val="图表目录2"/>
    <w:basedOn w:val="1"/>
    <w:next w:val="1"/>
    <w:qFormat/>
    <w:uiPriority w:val="0"/>
    <w:pPr>
      <w:widowControl w:val="0"/>
      <w:adjustRightInd w:val="0"/>
      <w:spacing w:beforeLines="50" w:afterLines="50" w:line="360" w:lineRule="atLeast"/>
      <w:ind w:left="200" w:leftChars="200" w:hanging="200" w:hangingChars="200"/>
      <w:textAlignment w:val="baseline"/>
    </w:pPr>
    <w:rPr>
      <w:kern w:val="0"/>
      <w:sz w:val="32"/>
    </w:rPr>
  </w:style>
  <w:style w:type="paragraph" w:customStyle="1" w:styleId="1040">
    <w:name w:val="索引 82"/>
    <w:basedOn w:val="1"/>
    <w:next w:val="1"/>
    <w:qFormat/>
    <w:uiPriority w:val="0"/>
    <w:pPr>
      <w:widowControl w:val="0"/>
      <w:spacing w:beforeLines="50" w:afterLines="50" w:line="240" w:lineRule="auto"/>
      <w:ind w:left="1400" w:leftChars="1400" w:firstLine="0"/>
    </w:pPr>
    <w:rPr>
      <w:sz w:val="21"/>
    </w:rPr>
  </w:style>
  <w:style w:type="paragraph" w:customStyle="1" w:styleId="1041">
    <w:name w:val="索引 92"/>
    <w:basedOn w:val="1"/>
    <w:next w:val="1"/>
    <w:qFormat/>
    <w:uiPriority w:val="0"/>
    <w:pPr>
      <w:widowControl w:val="0"/>
      <w:spacing w:beforeLines="50" w:afterLines="50" w:line="240" w:lineRule="auto"/>
      <w:ind w:left="1600" w:leftChars="1600" w:firstLine="0"/>
    </w:pPr>
    <w:rPr>
      <w:sz w:val="21"/>
    </w:rPr>
  </w:style>
  <w:style w:type="paragraph" w:customStyle="1" w:styleId="1042">
    <w:name w:val="引文目录标题2"/>
    <w:basedOn w:val="1"/>
    <w:next w:val="1"/>
    <w:qFormat/>
    <w:uiPriority w:val="0"/>
    <w:pPr>
      <w:widowControl w:val="0"/>
      <w:spacing w:beforeLines="50" w:afterLines="50"/>
      <w:ind w:firstLine="0"/>
    </w:pPr>
    <w:rPr>
      <w:rFonts w:ascii="Arial" w:hAnsi="Arial"/>
    </w:rPr>
  </w:style>
  <w:style w:type="paragraph" w:customStyle="1" w:styleId="1043">
    <w:name w:val="列表编号 42"/>
    <w:basedOn w:val="15"/>
    <w:qFormat/>
    <w:uiPriority w:val="0"/>
    <w:pPr>
      <w:spacing w:beforeLines="50" w:after="240" w:line="240" w:lineRule="atLeast"/>
      <w:ind w:left="720"/>
    </w:pPr>
    <w:rPr>
      <w:rFonts w:ascii="Garamond" w:hAnsi="Garamond"/>
      <w:color w:val="auto"/>
      <w:sz w:val="21"/>
      <w:lang w:eastAsia="zh-CN"/>
    </w:rPr>
  </w:style>
  <w:style w:type="paragraph" w:customStyle="1" w:styleId="1044">
    <w:name w:val="索引 42"/>
    <w:basedOn w:val="1"/>
    <w:next w:val="1"/>
    <w:qFormat/>
    <w:uiPriority w:val="0"/>
    <w:pPr>
      <w:widowControl w:val="0"/>
      <w:spacing w:beforeLines="50" w:afterLines="50" w:line="240" w:lineRule="auto"/>
      <w:ind w:left="600" w:leftChars="600" w:firstLine="0"/>
    </w:pPr>
    <w:rPr>
      <w:sz w:val="21"/>
    </w:rPr>
  </w:style>
  <w:style w:type="paragraph" w:customStyle="1" w:styleId="1045">
    <w:name w:val="索引 22"/>
    <w:basedOn w:val="1"/>
    <w:next w:val="1"/>
    <w:qFormat/>
    <w:uiPriority w:val="0"/>
    <w:pPr>
      <w:widowControl w:val="0"/>
      <w:spacing w:beforeLines="50" w:afterLines="50" w:line="240" w:lineRule="auto"/>
      <w:ind w:left="200" w:leftChars="200" w:firstLine="0"/>
    </w:pPr>
    <w:rPr>
      <w:sz w:val="21"/>
    </w:rPr>
  </w:style>
  <w:style w:type="paragraph" w:customStyle="1" w:styleId="1046">
    <w:name w:val="列表编号 22"/>
    <w:basedOn w:val="1"/>
    <w:qFormat/>
    <w:uiPriority w:val="0"/>
    <w:pPr>
      <w:widowControl w:val="0"/>
      <w:tabs>
        <w:tab w:val="left" w:pos="780"/>
      </w:tabs>
      <w:spacing w:beforeLines="50" w:afterLines="50"/>
      <w:ind w:left="780" w:leftChars="200" w:hanging="360" w:hangingChars="200"/>
    </w:pPr>
    <w:rPr>
      <w:rFonts w:ascii="宋体" w:hAnsi="宋体"/>
    </w:rPr>
  </w:style>
  <w:style w:type="paragraph" w:customStyle="1" w:styleId="1047">
    <w:name w:val="列出段落5"/>
    <w:basedOn w:val="1"/>
    <w:qFormat/>
    <w:uiPriority w:val="0"/>
    <w:pPr>
      <w:widowControl w:val="0"/>
      <w:spacing w:beforeLines="50" w:afterLines="50" w:line="240" w:lineRule="auto"/>
      <w:ind w:firstLine="420" w:firstLineChars="200"/>
    </w:pPr>
    <w:rPr>
      <w:sz w:val="21"/>
    </w:rPr>
  </w:style>
  <w:style w:type="paragraph" w:customStyle="1" w:styleId="1048">
    <w:name w:val="索引 72"/>
    <w:basedOn w:val="1"/>
    <w:next w:val="1"/>
    <w:qFormat/>
    <w:uiPriority w:val="0"/>
    <w:pPr>
      <w:widowControl w:val="0"/>
      <w:spacing w:beforeLines="50" w:afterLines="50" w:line="240" w:lineRule="auto"/>
      <w:ind w:left="1200" w:leftChars="1200" w:firstLine="0"/>
    </w:pPr>
    <w:rPr>
      <w:sz w:val="21"/>
    </w:rPr>
  </w:style>
  <w:style w:type="paragraph" w:customStyle="1" w:styleId="1049">
    <w:name w:val="TOC 标题2"/>
    <w:basedOn w:val="4"/>
    <w:next w:val="1"/>
    <w:qFormat/>
    <w:uiPriority w:val="0"/>
    <w:pPr>
      <w:spacing w:line="276" w:lineRule="auto"/>
      <w:outlineLvl w:val="9"/>
    </w:pPr>
    <w:rPr>
      <w:rFonts w:ascii="Cambria" w:hAnsi="Cambria"/>
      <w:color w:val="365F91"/>
      <w:kern w:val="0"/>
    </w:rPr>
  </w:style>
  <w:style w:type="character" w:customStyle="1" w:styleId="1050">
    <w:name w:val="页眉 Char2"/>
    <w:basedOn w:val="48"/>
    <w:semiHidden/>
    <w:qFormat/>
    <w:uiPriority w:val="0"/>
    <w:rPr>
      <w:kern w:val="2"/>
      <w:sz w:val="18"/>
      <w:szCs w:val="18"/>
    </w:rPr>
  </w:style>
  <w:style w:type="character" w:customStyle="1" w:styleId="1051">
    <w:name w:val="页脚 Char1"/>
    <w:basedOn w:val="48"/>
    <w:semiHidden/>
    <w:qFormat/>
    <w:uiPriority w:val="99"/>
    <w:rPr>
      <w:kern w:val="2"/>
      <w:sz w:val="18"/>
      <w:szCs w:val="18"/>
    </w:rPr>
  </w:style>
  <w:style w:type="character" w:customStyle="1" w:styleId="1052">
    <w:name w:val="strong_type"/>
    <w:basedOn w:val="48"/>
    <w:qFormat/>
    <w:uiPriority w:val="0"/>
  </w:style>
  <w:style w:type="character" w:customStyle="1" w:styleId="1053">
    <w:name w:val="纯文本 字符"/>
    <w:basedOn w:val="48"/>
    <w:link w:val="27"/>
    <w:qFormat/>
    <w:uiPriority w:val="0"/>
    <w:rPr>
      <w:rFonts w:ascii="宋体" w:hAnsi="Courier New" w:cs="Courier New"/>
      <w:kern w:val="2"/>
      <w:sz w:val="21"/>
      <w:szCs w:val="21"/>
    </w:rPr>
  </w:style>
  <w:style w:type="paragraph" w:styleId="1054">
    <w:name w:val="List Paragraph"/>
    <w:basedOn w:val="1"/>
    <w:unhideWhenUsed/>
    <w:qFormat/>
    <w:uiPriority w:val="99"/>
    <w:pPr>
      <w:ind w:firstLine="420" w:firstLineChars="200"/>
    </w:pPr>
  </w:style>
  <w:style w:type="paragraph" w:customStyle="1" w:styleId="1055">
    <w:name w:val="修订4"/>
    <w:hidden/>
    <w:unhideWhenUsed/>
    <w:qFormat/>
    <w:uiPriority w:val="99"/>
    <w:rPr>
      <w:rFonts w:ascii="Times New Roman" w:hAnsi="Times New Roman" w:eastAsia="宋体" w:cs="Times New Roman"/>
      <w:kern w:val="2"/>
      <w:sz w:val="24"/>
      <w:lang w:val="en-US" w:eastAsia="zh-CN" w:bidi="ar-SA"/>
    </w:rPr>
  </w:style>
  <w:style w:type="paragraph" w:customStyle="1" w:styleId="1056">
    <w:name w:val="修订5"/>
    <w:hidden/>
    <w:unhideWhenUsed/>
    <w:qFormat/>
    <w:uiPriority w:val="99"/>
    <w:rPr>
      <w:rFonts w:ascii="Times New Roman" w:hAnsi="Times New Roman" w:eastAsia="宋体" w:cs="Times New Roman"/>
      <w:kern w:val="2"/>
      <w:sz w:val="24"/>
      <w:lang w:val="en-US" w:eastAsia="zh-CN" w:bidi="ar-SA"/>
    </w:rPr>
  </w:style>
  <w:style w:type="paragraph" w:customStyle="1" w:styleId="1057">
    <w:name w:val="修订6"/>
    <w:hidden/>
    <w:unhideWhenUsed/>
    <w:qFormat/>
    <w:uiPriority w:val="99"/>
    <w:rPr>
      <w:rFonts w:ascii="Times New Roman" w:hAnsi="Times New Roman" w:eastAsia="宋体" w:cs="Times New Roman"/>
      <w:kern w:val="2"/>
      <w:sz w:val="24"/>
      <w:lang w:val="en-US" w:eastAsia="zh-CN" w:bidi="ar-SA"/>
    </w:rPr>
  </w:style>
  <w:style w:type="paragraph" w:customStyle="1" w:styleId="1058">
    <w:name w:val="列表段落1"/>
    <w:basedOn w:val="1"/>
    <w:unhideWhenUsed/>
    <w:qFormat/>
    <w:uiPriority w:val="99"/>
    <w:pPr>
      <w:ind w:firstLine="420" w:firstLineChars="200"/>
    </w:pPr>
  </w:style>
  <w:style w:type="paragraph" w:customStyle="1" w:styleId="1059">
    <w:name w:val="列出段落8"/>
    <w:basedOn w:val="1"/>
    <w:qFormat/>
    <w:uiPriority w:val="34"/>
    <w:pPr>
      <w:widowControl w:val="0"/>
      <w:spacing w:before="0" w:after="0" w:line="240" w:lineRule="auto"/>
      <w:ind w:firstLine="420" w:firstLineChars="200"/>
    </w:pPr>
    <w:rPr>
      <w:rFonts w:ascii="Calibri" w:hAnsi="Calibri"/>
      <w:sz w:val="21"/>
      <w:szCs w:val="22"/>
    </w:rPr>
  </w:style>
  <w:style w:type="paragraph" w:customStyle="1" w:styleId="1060">
    <w:name w:val="首行缩进"/>
    <w:basedOn w:val="1"/>
    <w:qFormat/>
    <w:uiPriority w:val="0"/>
    <w:pPr>
      <w:spacing w:line="300" w:lineRule="auto"/>
      <w:ind w:firstLine="420" w:firstLineChars="200"/>
    </w:pPr>
    <w:rPr>
      <w:rFonts w:eastAsia="方正书宋简体"/>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header" Target="header1.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14.png"/><Relationship Id="rId46" Type="http://schemas.openxmlformats.org/officeDocument/2006/relationships/image" Target="media/image13.png"/><Relationship Id="rId45" Type="http://schemas.openxmlformats.org/officeDocument/2006/relationships/image" Target="media/image12.png"/><Relationship Id="rId44" Type="http://schemas.openxmlformats.org/officeDocument/2006/relationships/image" Target="media/image11.png"/><Relationship Id="rId43" Type="http://schemas.openxmlformats.org/officeDocument/2006/relationships/image" Target="media/image10.png"/><Relationship Id="rId42" Type="http://schemas.openxmlformats.org/officeDocument/2006/relationships/image" Target="media/image9.png"/><Relationship Id="rId41" Type="http://schemas.openxmlformats.org/officeDocument/2006/relationships/image" Target="media/image8.png"/><Relationship Id="rId40" Type="http://schemas.openxmlformats.org/officeDocument/2006/relationships/image" Target="media/image7.png"/><Relationship Id="rId4" Type="http://schemas.openxmlformats.org/officeDocument/2006/relationships/endnotes" Target="endnotes.xml"/><Relationship Id="rId39" Type="http://schemas.openxmlformats.org/officeDocument/2006/relationships/image" Target="media/image6.png"/><Relationship Id="rId38" Type="http://schemas.openxmlformats.org/officeDocument/2006/relationships/image" Target="media/image5.emf"/><Relationship Id="rId37" Type="http://schemas.openxmlformats.org/officeDocument/2006/relationships/oleObject" Target="embeddings/Microsoft_Visio_2003-2010___2.vsd"/><Relationship Id="rId36" Type="http://schemas.openxmlformats.org/officeDocument/2006/relationships/image" Target="media/image4.emf"/><Relationship Id="rId35" Type="http://schemas.openxmlformats.org/officeDocument/2006/relationships/oleObject" Target="embeddings/Microsoft_Visio_2003-2010___1.vsd"/><Relationship Id="rId34" Type="http://schemas.openxmlformats.org/officeDocument/2006/relationships/image" Target="media/image3.png"/><Relationship Id="rId33" Type="http://schemas.openxmlformats.org/officeDocument/2006/relationships/image" Target="media/image2.jpeg"/><Relationship Id="rId32" Type="http://schemas.openxmlformats.org/officeDocument/2006/relationships/image" Target="media/image1.jpeg"/><Relationship Id="rId31" Type="http://schemas.openxmlformats.org/officeDocument/2006/relationships/theme" Target="theme/theme1.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1F18AF-B82A-4698-B84F-E239E61ABDD1}">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107</Pages>
  <Words>10815</Words>
  <Characters>12500</Characters>
  <Lines>530</Lines>
  <Paragraphs>149</Paragraphs>
  <TotalTime>3</TotalTime>
  <ScaleCrop>false</ScaleCrop>
  <LinksUpToDate>false</LinksUpToDate>
  <CharactersWithSpaces>12593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2026-04-20T02:04:00Z</dcterms:created>
  <dc:creator>系统运行部</dc:creator>
  <cp:lastModifiedBy>武天龙</cp:lastModifiedBy>
  <cp:lastPrinted>2020-10-22T08:45:00Z</cp:lastPrinted>
  <dcterms:modified xsi:type="dcterms:W3CDTF">2026-08-14T07:47:48Z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E7CFE4EBB3284B84915573BD86559AB4_13</vt:lpwstr>
  </property>
  <property fmtid="{D5CDD505-2E9C-101B-9397-08002B2CF9AE}" pid="4" name="KSOTemplateDocerSaveRecord">
    <vt:lpwstr>eyJoZGlkIjoiZmY1OWZiNmJiNWQ4NDZlZjgxY2JiOWYwMTQyYWUwZjkiLCJ1c2VySWQiOiIzNzI3MDgxNDgifQ==</vt:lpwstr>
  </property>
</Properties>
</file>