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南方电网产融控股集团有限公司及所属相关单位2026-2027年员工健康管理服务零星采购项目技术规范书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1.项目目的：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为落实“健康南网”行动要求，完善职工健康保障体系，解决员工日常健康管理需求，现为南网产融集团本部及所属相关单位采购员工健康管理服务。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2.服务对象：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南网产融集团本部及所属相关单位（南网私募基金管理公司、建鑫基金管理公司、南网融资租赁公司、瑞恒保险经纪公司）全体在岗正式员工。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3.采购模式：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采取统一采购、分单位签约、分单位结算模式，由集团本部统一开展服务商遴选、统一确定服务标准与价格，各所属相关单位分别与中选服务商签订服务合同、分别结算费用。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4.支付规则：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基础服务由各单位支付，覆盖全体在岗员工；超出基础服务范围的额外服务，由员工个人按服务商协议价自愿付费，单位不承担相关费用。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5.服务商核心服务要求：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（1）服务能力要求：供应商需100%响应采购方提出的服务需求，严格按约定时效提供服务，配备专属人工客服团队，建立快速响应机制；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（2）系统对接要求：需提供成熟的线上服务平台，按采购方要求将服务入口对接至采购方指定的平台，实现员工实名认证、服务线上申请、进度查询全流程打通；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（3）信息安全要求：严格遵守个人信息保护相关规定，对员工健康信息、就医信息严格保密，不得泄露、出售或违规向第三方提供员工个人信息。</w:t>
      </w:r>
    </w:p>
    <w:p>
      <w:pPr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（4）提供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增值税专票，开票项目为健康管理服务。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6.违约处理规则：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/>
          <w:lang w:val="en-US" w:eastAsia="zh-CN"/>
        </w:rPr>
        <w:t>服务期内，若服务商发生经核实的有效服务投诉、未按约定时效提供服务累计2次及以上的，采购方有权提前终止合作，服务商需按剩余服务时长比例退还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/>
          <w:lang w:val="en-US" w:eastAsia="zh-CN"/>
        </w:rPr>
        <w:t>对应已付服务费；若发生泄露员工隐私、虚假承诺医疗服务资源造成严重不良影响等恶劣履约行为的，采购方将按照《中国南方电网有限责任公司供应商不良行为处理管理细则》相关规定处理。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二、项目概算金额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本项目总体概算为48500元，具体各单位按照成交单价，根据实际服务量据实结算。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三、服务期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自合同签订之日起满1年终止。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四、供应商资格条件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（1）有为企业或个人提供健康管理服务的业绩，提供发票作为支撑材料。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（2）满足采购方所需健康管理服务并确保履约质量：</w:t>
      </w:r>
    </w:p>
    <w:tbl>
      <w:tblPr>
        <w:tblStyle w:val="4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2517"/>
        <w:gridCol w:w="2177"/>
        <w:gridCol w:w="25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72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1"/>
                <w:szCs w:val="21"/>
                <w:u w:val="none"/>
              </w:rPr>
            </w:pPr>
            <w:bookmarkStart w:id="0" w:name="bookmark22"/>
            <w:bookmarkEnd w:id="0"/>
            <w:bookmarkStart w:id="1" w:name="bookmark16"/>
            <w:bookmarkEnd w:id="1"/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147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1"/>
                <w:szCs w:val="21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27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1"/>
                <w:szCs w:val="21"/>
                <w:u w:val="none"/>
                <w:lang w:val="en-US" w:eastAsia="zh-CN" w:bidi="ar"/>
              </w:rPr>
              <w:t>分类</w:t>
            </w:r>
          </w:p>
        </w:tc>
        <w:tc>
          <w:tcPr>
            <w:tcW w:w="152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1"/>
                <w:szCs w:val="21"/>
                <w:u w:val="none"/>
                <w:lang w:val="en-US" w:eastAsia="zh-CN" w:bidi="ar"/>
              </w:rPr>
              <w:t>服务时效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72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健康咨询</w:t>
            </w:r>
          </w:p>
        </w:tc>
        <w:tc>
          <w:tcPr>
            <w:tcW w:w="147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根据客户个体情况和过往就医情况，提供诊前健康咨询、体检报告解读，以及专家排班咨询、医院交通路线查询，该服务全年有效。</w:t>
            </w: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22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工作日30分钟内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2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分诊服务</w:t>
            </w:r>
          </w:p>
        </w:tc>
        <w:tc>
          <w:tcPr>
            <w:tcW w:w="147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基于客户提供的症状描述、历史病历、检查报告等资料，由专业医学支持团队进行初步评估，推荐合适的就诊途径、就诊科室以及对应科室2-3 名专家，并提供就诊前注意事项及建议。</w:t>
            </w: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2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2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专家预约</w:t>
            </w:r>
          </w:p>
        </w:tc>
        <w:tc>
          <w:tcPr>
            <w:tcW w:w="1477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疑似或经医院确诊疾病时，在医疗机构服务网络范围（需重点覆盖广州市三甲医院）内，提供三甲医院副主任或以上级别普诊或特诊预约服务。根据医院规定，特诊仅支持自费或商保，不可用公医或医保。</w:t>
            </w: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不指定医院不指定医生</w:t>
            </w:r>
          </w:p>
        </w:tc>
        <w:tc>
          <w:tcPr>
            <w:tcW w:w="1522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门诊类：专家预约2个工作日反馈结果，指定专家3个工作日反馈结果。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2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7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指定医院不指定医生</w:t>
            </w:r>
          </w:p>
        </w:tc>
        <w:tc>
          <w:tcPr>
            <w:tcW w:w="152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22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7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指定医院指定医生</w:t>
            </w:r>
          </w:p>
        </w:tc>
        <w:tc>
          <w:tcPr>
            <w:tcW w:w="152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2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7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指定医院指定科室（热门科室）</w:t>
            </w:r>
          </w:p>
        </w:tc>
        <w:tc>
          <w:tcPr>
            <w:tcW w:w="152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2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加急专家预约</w:t>
            </w:r>
          </w:p>
        </w:tc>
        <w:tc>
          <w:tcPr>
            <w:tcW w:w="1477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在专家预约的基础上，根据需求医院的预约周期，已过医院预约周期均属于加急服务（如a医院预约周期是7天内，那么7天内的安排都属于加急服务。以此类推b医院预约周期是14天内，那么14内的安排都属于加急）</w:t>
            </w: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不指定医院不指定医生</w:t>
            </w:r>
          </w:p>
        </w:tc>
        <w:tc>
          <w:tcPr>
            <w:tcW w:w="152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2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7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指定医院不指定医生</w:t>
            </w:r>
          </w:p>
        </w:tc>
        <w:tc>
          <w:tcPr>
            <w:tcW w:w="152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22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7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指定医院指定医生</w:t>
            </w:r>
          </w:p>
        </w:tc>
        <w:tc>
          <w:tcPr>
            <w:tcW w:w="152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2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7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指定医院指定科室（热门科室）</w:t>
            </w:r>
          </w:p>
        </w:tc>
        <w:tc>
          <w:tcPr>
            <w:tcW w:w="152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22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住院协调</w:t>
            </w:r>
          </w:p>
        </w:tc>
        <w:tc>
          <w:tcPr>
            <w:tcW w:w="1477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当员工确诊或疑似患有重疾就医时，需协调医院进行住院治疗（需重点覆盖广州市三甲医院）。客户提供住院单,根据住院单联系对口医院医生收治；若无住院单，可协助安排一次门诊，经医生诊断，根据客户情况开具住院单，然后安排入院治疗。</w:t>
            </w:r>
          </w:p>
        </w:tc>
        <w:tc>
          <w:tcPr>
            <w:tcW w:w="127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22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住院类：3 个工作日反馈结果，7 个工作日内安排入院；如指定医院，3 个工作日反馈结果，10 个工作日内安排入院。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722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7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22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</w:trPr>
        <w:tc>
          <w:tcPr>
            <w:tcW w:w="5000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门科室包括有：中山大学附属第一医院甲乳外科/乳腺外科/耳鼻喉科/儿童内分泌科/肾内科；广州医科大学附属第一医院呼吸内科/胸外科；中山大学附属第三医院儿童行为发育科/皮肤科/风湿免疫科；中山大学附属肿瘤医院头颈外科/肿瘤内科；广东省人民医院心内科/肺科；中山大学附属第六医院肿瘤内科；南方医科大学南方医院肾内科/血液科；广州市妇女儿童医疗中心儿童内分泌科/耳鼻喉科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（3）有完善成熟的线上服务平台及人工客服团队。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（4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）定期提供服务报告。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五、所需证明文件</w:t>
      </w:r>
      <w:bookmarkStart w:id="2" w:name="OLE_LINK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供应商提供的所有资料均需加盖单位公章: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bookmarkEnd w:id="2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营业执照》；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服务方案及承诺（1.服务流程安排；2.过往3个真实服务案例；3.服务系统展示；4.服务承诺）；（3）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为企业或个人提供健康管理服务对应的发票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报价表。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0"/>
          <w:szCs w:val="40"/>
          <w:lang w:val="en-US" w:eastAsia="zh-CN"/>
        </w:rPr>
        <w:t>报价表</w:t>
      </w:r>
    </w:p>
    <w:tbl>
      <w:tblPr>
        <w:tblStyle w:val="4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1204"/>
        <w:gridCol w:w="3645"/>
        <w:gridCol w:w="2156"/>
        <w:gridCol w:w="1425"/>
        <w:gridCol w:w="1969"/>
        <w:gridCol w:w="1247"/>
        <w:gridCol w:w="14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类型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1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分类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次数限制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服务时效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报价限价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供应商报价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8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基础服务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健康咨询</w:t>
            </w:r>
          </w:p>
        </w:tc>
        <w:tc>
          <w:tcPr>
            <w:tcW w:w="1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根据客户个体情况和过往就医情况，提供诊前健康咨询、体检报告解读，以及专家排班咨询、医院交通路线查询，该服务全年有效。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不限次/人/年</w:t>
            </w:r>
          </w:p>
        </w:tc>
        <w:tc>
          <w:tcPr>
            <w:tcW w:w="6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工作日30分钟内</w:t>
            </w: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170元/人/年</w:t>
            </w:r>
          </w:p>
        </w:tc>
        <w:tc>
          <w:tcPr>
            <w:tcW w:w="50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分诊服务</w:t>
            </w:r>
          </w:p>
        </w:tc>
        <w:tc>
          <w:tcPr>
            <w:tcW w:w="1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基于客户提供的症状描述、历史病历、检查报告等资料，由专业医学支持团队进行初步评估，推荐合适的就诊途径、就诊科室以及对应科室2-3 名专家，并提供就诊前注意事项及建议。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不限次/人/年</w:t>
            </w:r>
          </w:p>
        </w:tc>
        <w:tc>
          <w:tcPr>
            <w:tcW w:w="6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专家预约</w:t>
            </w:r>
          </w:p>
        </w:tc>
        <w:tc>
          <w:tcPr>
            <w:tcW w:w="1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疑似或经医院确诊疾病时，在医疗机构服务网络范围内，提供三甲医院副主任或以上级别普诊或特诊预约服务。根据医院规定，特诊仅支持自费或商保，不可用公医或医保。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指定医院不指定医生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指定医院指定医生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1次/人/年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门诊类：2个工作日反馈结果。</w:t>
            </w: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额外服务</w:t>
            </w:r>
          </w:p>
        </w:tc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专家预约</w:t>
            </w:r>
          </w:p>
        </w:tc>
        <w:tc>
          <w:tcPr>
            <w:tcW w:w="128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疑似或经医院确诊疾病时，在医疗机构服务网络范围内，提供三甲医院副主任或以上级别普诊或特诊预约服务。根据医院规定，特诊仅支持自费或商保，不可用公医或医保。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不指定医院不指定医生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门诊类：专家预约2个工作日反馈结果，指定专家3个工作日反馈结果。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指定医院不指定医生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指定医院指定医生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指定医院指定科室（热门科室）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加急专家预约</w:t>
            </w:r>
          </w:p>
        </w:tc>
        <w:tc>
          <w:tcPr>
            <w:tcW w:w="128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在专家预约的基础上，根据需求医院的预约周期，已过医院预约周期均属于加急服务（如a医院预约周期是7天内，那么7天内的安排都属于加急服务。以此类推b医院预约周期是14天内，那么14内的安排都属于加急）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不指定医院不指定医生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指定医院不指定医生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指定医院指定医生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指定医院指定科室（热门科室）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3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住院协调</w:t>
            </w:r>
          </w:p>
        </w:tc>
        <w:tc>
          <w:tcPr>
            <w:tcW w:w="1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当员工确诊或疑似患有重疾就医时，需协调广东省内医院进行住院治疗。客户提供住院单,根据住院单联系对口医院医生收治；若无住院单，可协助安排一次门诊，经医生诊断，根据客户情况开具住院单，然后安排入院治疗。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5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按次收费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住院类：3 个工作日反馈结果，7 个工作日内安排入院；如指定医院，3 个工作日反馈结果，10 个工作日内安排入院。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12000元/次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1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最终报价</w:t>
            </w:r>
          </w:p>
        </w:tc>
        <w:tc>
          <w:tcPr>
            <w:tcW w:w="368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最终报价=基础服务*280+每项额外服务单价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FF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81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报价说明</w:t>
            </w:r>
          </w:p>
        </w:tc>
        <w:tc>
          <w:tcPr>
            <w:tcW w:w="41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上述最终报价仅作为采购比价使用，非实际结算金额，具体各单位以成交单价，按实际发生的服务需求据实结算。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2、基础服务费用按合同签订时符合条件的在岗职工人数*服务单价计算，服务期内人员增减变动10%以内基础服务费不变，超出10%的，增加人员按单价收取，减少人员不予退费。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3、额外服务按需按次收费，由员工个人付费。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4、报价应包含国家规定的增值税税金及服务运营所有成本，采购方不额外承担其他费用。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FF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5、因系统设置问题，在采购系统上填写的报价与本报价表不一致的，以加盖单位公章的本报价表为准。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门科室包括有：中山大学附属第一医院甲乳外科/乳腺外科/耳鼻喉科/儿童内分泌科/肾内科；广州医科大学附属第一医院呼吸内科/胸外科；中山大学附属第三医院儿童行为发育科/皮肤科/风湿免疫科；中山大学附属肿瘤医院头颈外科/肿瘤内科；广东省人民医院心内科/肺科；中山大学附属第六医院肿瘤内科；南方医科大学南方医院肾内科/血液科；广州市妇女儿童医疗中心儿童内分泌科/耳鼻喉科</w:t>
            </w:r>
          </w:p>
        </w:tc>
      </w:tr>
    </w:tbl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6838" w:h="11906" w:orient="landscape"/>
      <w:pgMar w:top="1803" w:right="1440" w:bottom="1803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B1CD396-A3B1-4E86-81BF-5448229BEF1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E9CE2518-3184-477E-A1C3-67BDA11E7F9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5592510-D9AD-44D4-BEDC-FC2A87EA690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DB25B036-2037-4C93-8265-315F3EDE544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877567"/>
    <w:multiLevelType w:val="singleLevel"/>
    <w:tmpl w:val="6C87756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A91030"/>
    <w:rsid w:val="04271F08"/>
    <w:rsid w:val="04463EBC"/>
    <w:rsid w:val="058D2DE8"/>
    <w:rsid w:val="05B82AAB"/>
    <w:rsid w:val="05E73C3B"/>
    <w:rsid w:val="067054D6"/>
    <w:rsid w:val="08226DE9"/>
    <w:rsid w:val="09657E30"/>
    <w:rsid w:val="0A5921EB"/>
    <w:rsid w:val="0A752C10"/>
    <w:rsid w:val="0D0420AD"/>
    <w:rsid w:val="0D23491D"/>
    <w:rsid w:val="0DEA4C66"/>
    <w:rsid w:val="0ED46862"/>
    <w:rsid w:val="10BD18C0"/>
    <w:rsid w:val="10F26BDC"/>
    <w:rsid w:val="12CD4333"/>
    <w:rsid w:val="13522EC3"/>
    <w:rsid w:val="14DF6889"/>
    <w:rsid w:val="154722D7"/>
    <w:rsid w:val="15FB2086"/>
    <w:rsid w:val="163F3798"/>
    <w:rsid w:val="16D40309"/>
    <w:rsid w:val="179C6CCA"/>
    <w:rsid w:val="182D4B9C"/>
    <w:rsid w:val="19315D11"/>
    <w:rsid w:val="1AA25CBE"/>
    <w:rsid w:val="1B4D3806"/>
    <w:rsid w:val="1BBE5218"/>
    <w:rsid w:val="1CE77765"/>
    <w:rsid w:val="1E89094F"/>
    <w:rsid w:val="1F6B3698"/>
    <w:rsid w:val="1FB50614"/>
    <w:rsid w:val="21841136"/>
    <w:rsid w:val="22E329CA"/>
    <w:rsid w:val="25B4606C"/>
    <w:rsid w:val="26B70D75"/>
    <w:rsid w:val="27C1151B"/>
    <w:rsid w:val="27C9064C"/>
    <w:rsid w:val="285C0C13"/>
    <w:rsid w:val="291C5DC8"/>
    <w:rsid w:val="29A66B76"/>
    <w:rsid w:val="2AE546EF"/>
    <w:rsid w:val="2B00454B"/>
    <w:rsid w:val="2BC86EE0"/>
    <w:rsid w:val="302208F9"/>
    <w:rsid w:val="303F136D"/>
    <w:rsid w:val="30A24AA8"/>
    <w:rsid w:val="3207424B"/>
    <w:rsid w:val="32CD1C66"/>
    <w:rsid w:val="3300065F"/>
    <w:rsid w:val="34E54854"/>
    <w:rsid w:val="36A93BCE"/>
    <w:rsid w:val="3BE86656"/>
    <w:rsid w:val="3C227735"/>
    <w:rsid w:val="3CAB4528"/>
    <w:rsid w:val="3CF53123"/>
    <w:rsid w:val="3D392828"/>
    <w:rsid w:val="3D9C772D"/>
    <w:rsid w:val="3DAE2B13"/>
    <w:rsid w:val="3FC613D9"/>
    <w:rsid w:val="3FCF7C90"/>
    <w:rsid w:val="448C1C04"/>
    <w:rsid w:val="461547B7"/>
    <w:rsid w:val="463D5A33"/>
    <w:rsid w:val="47A63299"/>
    <w:rsid w:val="4CB81334"/>
    <w:rsid w:val="589E4C71"/>
    <w:rsid w:val="58FA1B64"/>
    <w:rsid w:val="5B7C3DA5"/>
    <w:rsid w:val="5E3D13AA"/>
    <w:rsid w:val="62922F64"/>
    <w:rsid w:val="64A04927"/>
    <w:rsid w:val="651D7774"/>
    <w:rsid w:val="66505185"/>
    <w:rsid w:val="6651686C"/>
    <w:rsid w:val="672D2D27"/>
    <w:rsid w:val="67C4094C"/>
    <w:rsid w:val="6842701C"/>
    <w:rsid w:val="68F25B3B"/>
    <w:rsid w:val="69520950"/>
    <w:rsid w:val="69BD3987"/>
    <w:rsid w:val="6E814011"/>
    <w:rsid w:val="6FF03B37"/>
    <w:rsid w:val="703D7D31"/>
    <w:rsid w:val="71001AE7"/>
    <w:rsid w:val="72AE7B36"/>
    <w:rsid w:val="733F0D04"/>
    <w:rsid w:val="7370757E"/>
    <w:rsid w:val="75823A92"/>
    <w:rsid w:val="76F35607"/>
    <w:rsid w:val="79605EC2"/>
    <w:rsid w:val="7ADF30B5"/>
    <w:rsid w:val="7B261499"/>
    <w:rsid w:val="7BD87828"/>
    <w:rsid w:val="7CA91030"/>
    <w:rsid w:val="7D9649EE"/>
    <w:rsid w:val="7FFE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paragraph" w:styleId="3">
    <w:name w:val="Normal (Web)"/>
    <w:basedOn w:val="1"/>
    <w:qFormat/>
    <w:uiPriority w:val="0"/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2240</Words>
  <Characters>2277</Characters>
  <Lines>0</Lines>
  <Paragraphs>0</Paragraphs>
  <TotalTime>356</TotalTime>
  <ScaleCrop>false</ScaleCrop>
  <LinksUpToDate>false</LinksUpToDate>
  <CharactersWithSpaces>2283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2025-03-14T06:25:00Z</dcterms:created>
  <dc:creator>chenmj</dc:creator>
  <cp:lastModifiedBy>刘璐</cp:lastModifiedBy>
  <dcterms:modified xsi:type="dcterms:W3CDTF">2026-08-18T04:13:24Z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417E73717F1A480C99936FCF75133C9D</vt:lpwstr>
  </property>
  <property fmtid="{D5CDD505-2E9C-101B-9397-08002B2CF9AE}" pid="4" name="KSOTemplateDocerSaveRecord">
    <vt:lpwstr>eyJoZGlkIjoiYmQwZDMxMTQ1MzFlMTFmNzg3OTgxY2U5MTY2Y2ZlZTgiLCJ1c2VySWQiOiIyMTA2ODU3NzEifQ==</vt:lpwstr>
  </property>
</Properties>
</file>