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0" w:name="OLE_LINK1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南方电网产融控股集团有限公司及所属单位2026-2028年项目尽职调查</w:t>
      </w:r>
      <w:bookmarkEnd w:id="0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、资产评估与估值服务框架采购项目报价表</w:t>
      </w: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tbl>
      <w:tblPr>
        <w:tblStyle w:val="2"/>
        <w:tblW w:w="842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2000"/>
        <w:gridCol w:w="1413"/>
        <w:gridCol w:w="929"/>
        <w:gridCol w:w="1937"/>
        <w:gridCol w:w="143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7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0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14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单次最高限价</w:t>
            </w:r>
          </w:p>
        </w:tc>
        <w:tc>
          <w:tcPr>
            <w:tcW w:w="92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权重</w:t>
            </w:r>
          </w:p>
        </w:tc>
        <w:tc>
          <w:tcPr>
            <w:tcW w:w="193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投标报价（元）</w:t>
            </w:r>
          </w:p>
        </w:tc>
        <w:tc>
          <w:tcPr>
            <w:tcW w:w="14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1" w:name="OLE_LINK12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权重后报价（元）</w:t>
            </w:r>
            <w:bookmarkEnd w:id="1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16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标包1：</w:t>
            </w:r>
            <w:bookmarkStart w:id="2" w:name="OLE_LINK5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南方电网产融控股集团有限公司及所属单位2026-2028年项目尽职调查服务框架采购项目</w:t>
            </w:r>
            <w:bookmarkEnd w:id="2"/>
          </w:p>
        </w:tc>
        <w:tc>
          <w:tcPr>
            <w:tcW w:w="141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3" w:name="OLE_LINK6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融资租赁项目：7万元</w:t>
            </w:r>
            <w:bookmarkEnd w:id="3"/>
          </w:p>
        </w:tc>
        <w:tc>
          <w:tcPr>
            <w:tcW w:w="92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60%</w:t>
            </w:r>
          </w:p>
        </w:tc>
        <w:tc>
          <w:tcPr>
            <w:tcW w:w="19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1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4" w:name="OLE_LINK7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投资项目</w:t>
            </w:r>
            <w:bookmarkEnd w:id="4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：18万元</w:t>
            </w:r>
          </w:p>
        </w:tc>
        <w:tc>
          <w:tcPr>
            <w:tcW w:w="92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40%</w:t>
            </w:r>
          </w:p>
        </w:tc>
        <w:tc>
          <w:tcPr>
            <w:tcW w:w="19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79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4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报价说明：</w:t>
      </w:r>
    </w:p>
    <w:p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1.本项目报价为单次服务含税价，融资租赁项目和投资项目分别报单价。</w:t>
      </w:r>
      <w:bookmarkStart w:id="5" w:name="OLE_LINK9"/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权重后报价合计用于价格分计算</w:t>
      </w:r>
      <w:bookmarkEnd w:id="5"/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 xml:space="preserve">。报价需涵盖财务尽调服务过程的所有费用，包括但不限于差旅费、资料费、打印费、取证费、行政机关收取的查询费等。若报价超过最高限价为无效报价。 </w:t>
      </w:r>
    </w:p>
    <w:p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2.根据项目实际需要，尽调可能延伸至股东单位、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所属企业或运营实体，该等延伸视为同一项目。 </w:t>
      </w:r>
    </w:p>
    <w:p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3.框架协议执行规则如下：（1）约定的协议期届满，项目实际采购金额在采购预计金额的80%-120%之间的，按期终止框架协议；（2）协议期未届满，实际采购金额达到采购预计金额的120%时，应提前终止框架协议，招标方重新启动采购；（3）约定的协议期届满，实际采购金额未达到采购预计金额的80%时，应延长框架协议1年。若延长期内，实际采购金额达到采购预计金额的120%时，应即时终止框架协议，招标方重新启动采购。若延长期届满，实际采购金额仍未达到采购预计金额的100%，则按期终止框架协议。 </w:t>
      </w:r>
    </w:p>
    <w:p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4.最终结算金额根据上述计算方式并结合实际项目情况据实结算。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5.单个项目按一个主体+2个成员单位计算。实际结算单个项目超过2个成员单位时，每三个成员单位，结算金额在单价基础上提高20%。成员单位定义：潜在标的公司主要下属分子公司/机构，项目具体单位成员个数会在订单中根据项目实际情况予以明确。</w:t>
      </w:r>
    </w:p>
    <w:p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6.投标（响应）报价低于采购项目最高限价45％的，应当要求该投标人作出书面说明并提供相应的证明材料。投标人不能合理说明或者不能提供相应证明材料的，评标委员会应当认定该投标人以低于成本报价竞标，并否决其投标。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南方电网产融控股集团有限公司及所属单位2026-2028年项目尽职调查、资产评估与估值服务框架采购项目报价表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tbl>
      <w:tblPr>
        <w:tblStyle w:val="2"/>
        <w:tblW w:w="842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2000"/>
        <w:gridCol w:w="1413"/>
        <w:gridCol w:w="1433"/>
        <w:gridCol w:w="1433"/>
        <w:gridCol w:w="143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7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6" w:name="OLE_LINK2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0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141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单次最高限价</w:t>
            </w:r>
          </w:p>
        </w:tc>
        <w:tc>
          <w:tcPr>
            <w:tcW w:w="14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权重</w:t>
            </w:r>
          </w:p>
        </w:tc>
        <w:tc>
          <w:tcPr>
            <w:tcW w:w="14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投标报价（元）</w:t>
            </w:r>
          </w:p>
        </w:tc>
        <w:tc>
          <w:tcPr>
            <w:tcW w:w="14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权重后报价（元）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16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标包2：</w:t>
            </w:r>
            <w:bookmarkStart w:id="7" w:name="OLE_LINK8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南方电网产融控股集团有限公司及所属单位2026-2028年资产评估与估值服务框架采购</w:t>
            </w:r>
            <w:bookmarkEnd w:id="7"/>
          </w:p>
        </w:tc>
        <w:tc>
          <w:tcPr>
            <w:tcW w:w="141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8" w:name="OLE_LINK1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评估报告</w:t>
            </w:r>
            <w:bookmarkEnd w:id="8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：7万元</w:t>
            </w:r>
          </w:p>
        </w:tc>
        <w:tc>
          <w:tcPr>
            <w:tcW w:w="14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20%</w:t>
            </w:r>
          </w:p>
        </w:tc>
        <w:tc>
          <w:tcPr>
            <w:tcW w:w="14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1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9" w:name="OLE_LINK1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估值报告</w:t>
            </w:r>
            <w:bookmarkEnd w:id="9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：5万元</w:t>
            </w:r>
          </w:p>
        </w:tc>
        <w:tc>
          <w:tcPr>
            <w:tcW w:w="14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80%</w:t>
            </w:r>
          </w:p>
        </w:tc>
        <w:tc>
          <w:tcPr>
            <w:tcW w:w="14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1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79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43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bookmarkEnd w:id="6"/>
    </w:tbl>
    <w:p>
      <w:pP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报价说明：</w:t>
      </w:r>
    </w:p>
    <w:p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1.本项目报价为单次服务含税价，</w:t>
      </w:r>
      <w:bookmarkStart w:id="10" w:name="OLE_LINK3"/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评估报告和估值报告分别报单价，权重后报价合计用于价格分计算。报价需</w:t>
      </w:r>
      <w:bookmarkEnd w:id="10"/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涵盖单次资产评估（估值）服务的所有费用，包括但不限于差旅费、资料费、打印费、取证费、行政机关收取的查询费等。</w:t>
      </w:r>
    </w:p>
    <w:p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 xml:space="preserve">2.结算方式：据实结算，根据投标人的投标报价单价×实际工作量进行结算，按照合同条款进行结算。 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3.大写与小写不一致，以大写为准。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4.单个项目按一个主体+2个成员单位计算。实际结算单个项目超过2个主体成员单位每增加一至三个成员单位，结算金额在单价基础上提高20%；每增加四到六个成员单位，结算金额在单价基础上提高50%；每增加七到九个成员单位，结算金额在单价基础上提高70%；每增加十个及以上成员单位结算金额在单价基础上提高100%。成员单位定义：潜在标的公司主要下属分子公司/机构。</w:t>
      </w:r>
    </w:p>
    <w:p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5.投标（响应）报价低于采购项目最高限价45％的，应当要求该投标人作出书面说明并提供相应的证明材料。投标人不能合理说明或者不能提供相应证明材料的，评标委员会应当认定该投标人以低于成本报价竞标，并否决其投标。</w:t>
      </w:r>
      <w:bookmarkStart w:id="11" w:name="_GoBack"/>
      <w:bookmarkEnd w:id="1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8D71FC"/>
    <w:rsid w:val="02A25E39"/>
    <w:rsid w:val="02AA0C56"/>
    <w:rsid w:val="035E20C2"/>
    <w:rsid w:val="0EED33E3"/>
    <w:rsid w:val="178D71FC"/>
    <w:rsid w:val="1A424582"/>
    <w:rsid w:val="210E27AF"/>
    <w:rsid w:val="22CA1F8B"/>
    <w:rsid w:val="31147B68"/>
    <w:rsid w:val="37253E2A"/>
    <w:rsid w:val="3AB939E6"/>
    <w:rsid w:val="418C22B5"/>
    <w:rsid w:val="42F7270F"/>
    <w:rsid w:val="49156D83"/>
    <w:rsid w:val="5251404B"/>
    <w:rsid w:val="57E532C4"/>
    <w:rsid w:val="580D3184"/>
    <w:rsid w:val="668F4651"/>
    <w:rsid w:val="737871FE"/>
    <w:rsid w:val="76432578"/>
    <w:rsid w:val="77DA7633"/>
    <w:rsid w:val="7E1C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2026-07-15T07:06:00Z</dcterms:created>
  <dc:creator>杨慧琳</dc:creator>
  <cp:lastModifiedBy>杨慧琳</cp:lastModifiedBy>
  <dcterms:modified xsi:type="dcterms:W3CDTF">2026-08-17T09:04:30Z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495E1871A5F548E3AD2A717F4664AB37</vt:lpwstr>
  </property>
</Properties>
</file>