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903B5">
      <w:pPr>
        <w:keepNext w:val="0"/>
        <w:keepLines w:val="0"/>
        <w:pageBreakBefore/>
        <w:widowControl w:val="0"/>
        <w:tabs>
          <w:tab w:val="left" w:pos="0"/>
        </w:tabs>
        <w:kinsoku/>
        <w:wordWrap/>
        <w:overflowPunct/>
        <w:topLinePunct w:val="0"/>
        <w:autoSpaceDE/>
        <w:autoSpaceDN/>
        <w:bidi w:val="0"/>
        <w:adjustRightInd/>
        <w:snapToGrid/>
        <w:ind w:firstLine="480"/>
        <w:jc w:val="center"/>
        <w:textAlignment w:val="auto"/>
        <w:outlineLvl w:val="9"/>
        <w:rPr>
          <w:rFonts w:ascii="仿宋_GB2312"/>
          <w:color w:val="000000" w:themeColor="text1"/>
          <w:highlight w:val="none"/>
          <w14:textFill>
            <w14:solidFill>
              <w14:schemeClr w14:val="tx1"/>
            </w14:solidFill>
          </w14:textFill>
        </w:rPr>
      </w:pPr>
      <w:bookmarkStart w:id="0" w:name="_Toc309593186"/>
      <w:bookmarkStart w:id="1" w:name="_Toc309593257"/>
      <w:bookmarkStart w:id="2" w:name="_Toc307577976"/>
      <w:bookmarkStart w:id="3" w:name="_Toc309805581"/>
      <w:r>
        <w:rPr>
          <w:rFonts w:hint="eastAsia"/>
          <w:highlight w:val="none"/>
          <w:lang w:val="en-US" w:eastAsia="zh-CN"/>
        </w:rPr>
        <w:drawing>
          <wp:anchor distT="0" distB="0" distL="114300" distR="114300" simplePos="0" relativeHeight="251659264" behindDoc="1" locked="0" layoutInCell="1" allowOverlap="1">
            <wp:simplePos x="0" y="0"/>
            <wp:positionH relativeFrom="column">
              <wp:posOffset>-1301750</wp:posOffset>
            </wp:positionH>
            <wp:positionV relativeFrom="paragraph">
              <wp:posOffset>-898525</wp:posOffset>
            </wp:positionV>
            <wp:extent cx="8160385" cy="10992485"/>
            <wp:effectExtent l="0" t="0" r="31115" b="0"/>
            <wp:wrapNone/>
            <wp:docPr id="2"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2021文件夹\南方电网\20210531——南网VI完稿修改\中国南方电网2021版交接设计稿\应用文件AI\B办公事务系统\未标题-2_画板 1.png未标题-2_画板 1"/>
                    <pic:cNvPicPr>
                      <a:picLocks noChangeAspect="1"/>
                    </pic:cNvPicPr>
                  </pic:nvPicPr>
                  <pic:blipFill>
                    <a:blip r:embed="rId13"/>
                    <a:stretch>
                      <a:fillRect/>
                    </a:stretch>
                  </pic:blipFill>
                  <pic:spPr>
                    <a:xfrm>
                      <a:off x="0" y="0"/>
                      <a:ext cx="8160385" cy="10992485"/>
                    </a:xfrm>
                    <a:prstGeom prst="rect">
                      <a:avLst/>
                    </a:prstGeom>
                    <a:noFill/>
                    <a:ln>
                      <a:noFill/>
                    </a:ln>
                    <a:effectLst>
                      <a:outerShdw dist="35921" dir="2699999" algn="ctr" rotWithShape="0">
                        <a:srgbClr val="FFFFFF"/>
                      </a:outerShdw>
                    </a:effectLst>
                  </pic:spPr>
                </pic:pic>
              </a:graphicData>
            </a:graphic>
          </wp:anchor>
        </w:drawing>
      </w:r>
    </w:p>
    <w:p w14:paraId="6252C298">
      <w:pPr>
        <w:tabs>
          <w:tab w:val="left" w:pos="0"/>
        </w:tabs>
        <w:ind w:firstLine="480"/>
        <w:jc w:val="center"/>
        <w:rPr>
          <w:rFonts w:ascii="仿宋_GB2312"/>
          <w:color w:val="000000" w:themeColor="text1"/>
          <w:sz w:val="44"/>
          <w:highlight w:val="none"/>
          <w14:textFill>
            <w14:solidFill>
              <w14:schemeClr w14:val="tx1"/>
            </w14:solidFill>
          </w14:textFill>
        </w:rPr>
      </w:pPr>
    </w:p>
    <w:p w14:paraId="7BB7A9F6">
      <w:pPr>
        <w:tabs>
          <w:tab w:val="left" w:pos="0"/>
        </w:tabs>
        <w:ind w:firstLine="964"/>
        <w:jc w:val="center"/>
        <w:rPr>
          <w:rFonts w:ascii="宋体" w:hAnsi="宋体"/>
          <w:b/>
          <w:color w:val="000000" w:themeColor="text1"/>
          <w:sz w:val="48"/>
          <w:szCs w:val="48"/>
          <w:highlight w:val="none"/>
          <w14:textFill>
            <w14:solidFill>
              <w14:schemeClr w14:val="tx1"/>
            </w14:solidFill>
          </w14:textFill>
        </w:rPr>
      </w:pPr>
    </w:p>
    <w:p w14:paraId="29C9F998">
      <w:pPr>
        <w:tabs>
          <w:tab w:val="left" w:pos="0"/>
        </w:tabs>
        <w:spacing w:line="720" w:lineRule="auto"/>
        <w:ind w:left="0" w:leftChars="0" w:firstLine="0" w:firstLineChars="0"/>
        <w:jc w:val="both"/>
        <w:rPr>
          <w:rFonts w:hint="eastAsia" w:ascii="宋体" w:hAnsi="宋体"/>
          <w:b/>
          <w:bCs/>
          <w:color w:val="auto"/>
          <w:sz w:val="48"/>
          <w:szCs w:val="48"/>
          <w:highlight w:val="none"/>
          <w:u w:color="000000"/>
          <w:shd w:val="clear" w:color="auto" w:fill="auto"/>
          <w:lang w:val="en-US" w:eastAsia="zh-CN"/>
        </w:rPr>
      </w:pPr>
    </w:p>
    <w:p w14:paraId="254C8EE4">
      <w:pPr>
        <w:tabs>
          <w:tab w:val="left" w:pos="0"/>
        </w:tabs>
        <w:spacing w:line="720" w:lineRule="auto"/>
        <w:ind w:left="960" w:leftChars="400" w:firstLine="0" w:firstLineChars="0"/>
        <w:jc w:val="center"/>
        <w:rPr>
          <w:rFonts w:ascii="宋体" w:hAnsi="宋体"/>
          <w:b/>
          <w:color w:val="auto"/>
          <w:sz w:val="48"/>
          <w:szCs w:val="48"/>
          <w:highlight w:val="none"/>
          <w:shd w:val="clear" w:color="auto" w:fill="auto"/>
        </w:rPr>
      </w:pPr>
      <w:r>
        <w:rPr>
          <w:rFonts w:hint="eastAsia" w:ascii="宋体" w:hAnsi="宋体"/>
          <w:b/>
          <w:bCs/>
          <w:color w:val="auto"/>
          <w:sz w:val="48"/>
          <w:szCs w:val="48"/>
          <w:highlight w:val="none"/>
          <w:u w:color="000000"/>
          <w:shd w:val="clear" w:color="auto" w:fill="auto"/>
          <w:lang w:val="en-US" w:eastAsia="zh-CN"/>
        </w:rPr>
        <w:t>基于数字化通道的输电防灾减灾大数据算法研究项目技术服务规范书</w:t>
      </w:r>
    </w:p>
    <w:p w14:paraId="40A824F4">
      <w:pPr>
        <w:ind w:firstLine="600"/>
        <w:rPr>
          <w:color w:val="000000" w:themeColor="text1"/>
          <w:sz w:val="30"/>
          <w:szCs w:val="30"/>
          <w:highlight w:val="none"/>
          <w14:textFill>
            <w14:solidFill>
              <w14:schemeClr w14:val="tx1"/>
            </w14:solidFill>
          </w14:textFill>
        </w:rPr>
      </w:pPr>
    </w:p>
    <w:p w14:paraId="18AC574C">
      <w:pPr>
        <w:tabs>
          <w:tab w:val="left" w:pos="0"/>
        </w:tabs>
        <w:ind w:firstLine="720"/>
        <w:jc w:val="center"/>
        <w:rPr>
          <w:rFonts w:ascii="仿宋_GB2312"/>
          <w:color w:val="000000" w:themeColor="text1"/>
          <w:sz w:val="36"/>
          <w:highlight w:val="none"/>
          <w14:textFill>
            <w14:solidFill>
              <w14:schemeClr w14:val="tx1"/>
            </w14:solidFill>
          </w14:textFill>
        </w:rPr>
      </w:pPr>
    </w:p>
    <w:p w14:paraId="48D27B73">
      <w:pPr>
        <w:tabs>
          <w:tab w:val="left" w:pos="0"/>
        </w:tabs>
        <w:ind w:firstLine="720"/>
        <w:jc w:val="center"/>
        <w:rPr>
          <w:rFonts w:ascii="仿宋_GB2312"/>
          <w:color w:val="000000" w:themeColor="text1"/>
          <w:sz w:val="36"/>
          <w:highlight w:val="none"/>
          <w14:textFill>
            <w14:solidFill>
              <w14:schemeClr w14:val="tx1"/>
            </w14:solidFill>
          </w14:textFill>
        </w:rPr>
      </w:pPr>
    </w:p>
    <w:p w14:paraId="62A9D35B">
      <w:pPr>
        <w:tabs>
          <w:tab w:val="left" w:pos="0"/>
        </w:tabs>
        <w:ind w:firstLine="720"/>
        <w:jc w:val="center"/>
        <w:rPr>
          <w:rFonts w:ascii="仿宋_GB2312"/>
          <w:color w:val="000000" w:themeColor="text1"/>
          <w:sz w:val="36"/>
          <w:highlight w:val="none"/>
          <w14:textFill>
            <w14:solidFill>
              <w14:schemeClr w14:val="tx1"/>
            </w14:solidFill>
          </w14:textFill>
        </w:rPr>
      </w:pPr>
    </w:p>
    <w:p w14:paraId="55AEA011">
      <w:pPr>
        <w:tabs>
          <w:tab w:val="left" w:pos="0"/>
        </w:tabs>
        <w:ind w:firstLine="720"/>
        <w:jc w:val="center"/>
        <w:rPr>
          <w:rFonts w:ascii="仿宋_GB2312"/>
          <w:color w:val="000000" w:themeColor="text1"/>
          <w:sz w:val="36"/>
          <w:highlight w:val="none"/>
          <w14:textFill>
            <w14:solidFill>
              <w14:schemeClr w14:val="tx1"/>
            </w14:solidFill>
          </w14:textFill>
        </w:rPr>
      </w:pPr>
    </w:p>
    <w:p w14:paraId="1E6098EB">
      <w:pPr>
        <w:tabs>
          <w:tab w:val="left" w:pos="0"/>
        </w:tabs>
        <w:ind w:firstLine="720"/>
        <w:jc w:val="center"/>
        <w:rPr>
          <w:rFonts w:ascii="仿宋_GB2312"/>
          <w:color w:val="000000" w:themeColor="text1"/>
          <w:sz w:val="36"/>
          <w:highlight w:val="none"/>
          <w14:textFill>
            <w14:solidFill>
              <w14:schemeClr w14:val="tx1"/>
            </w14:solidFill>
          </w14:textFill>
        </w:rPr>
      </w:pPr>
    </w:p>
    <w:p w14:paraId="0B332880">
      <w:pPr>
        <w:tabs>
          <w:tab w:val="left" w:pos="0"/>
        </w:tabs>
        <w:ind w:firstLine="720"/>
        <w:jc w:val="center"/>
        <w:rPr>
          <w:rFonts w:ascii="仿宋_GB2312"/>
          <w:color w:val="000000" w:themeColor="text1"/>
          <w:sz w:val="36"/>
          <w:highlight w:val="none"/>
          <w14:textFill>
            <w14:solidFill>
              <w14:schemeClr w14:val="tx1"/>
            </w14:solidFill>
          </w14:textFill>
        </w:rPr>
      </w:pPr>
    </w:p>
    <w:p w14:paraId="19F02818">
      <w:pPr>
        <w:ind w:left="0" w:leftChars="0" w:firstLine="0" w:firstLineChars="0"/>
        <w:jc w:val="both"/>
        <w:rPr>
          <w:rFonts w:hint="eastAsia" w:ascii="黑体" w:hAnsi="黑体" w:eastAsia="黑体" w:cs="黑体"/>
          <w:b w:val="0"/>
          <w:bCs/>
          <w:color w:val="000000" w:themeColor="text1"/>
          <w:sz w:val="36"/>
          <w:highlight w:val="none"/>
          <w14:textFill>
            <w14:solidFill>
              <w14:schemeClr w14:val="tx1"/>
            </w14:solidFill>
          </w14:textFill>
        </w:rPr>
      </w:pPr>
    </w:p>
    <w:p w14:paraId="1C4610A1">
      <w:pPr>
        <w:ind w:left="0" w:leftChars="0" w:firstLine="0" w:firstLineChars="0"/>
        <w:jc w:val="both"/>
        <w:rPr>
          <w:rFonts w:hint="eastAsia" w:ascii="黑体" w:hAnsi="黑体" w:eastAsia="黑体" w:cs="黑体"/>
          <w:b w:val="0"/>
          <w:bCs/>
          <w:color w:val="000000" w:themeColor="text1"/>
          <w:sz w:val="36"/>
          <w:highlight w:val="none"/>
          <w14:textFill>
            <w14:solidFill>
              <w14:schemeClr w14:val="tx1"/>
            </w14:solidFill>
          </w14:textFill>
        </w:rPr>
      </w:pPr>
    </w:p>
    <w:p w14:paraId="400ADD8D">
      <w:pPr>
        <w:ind w:left="0" w:leftChars="0" w:firstLine="0" w:firstLineChars="0"/>
        <w:jc w:val="both"/>
        <w:rPr>
          <w:rFonts w:hint="eastAsia" w:ascii="黑体" w:hAnsi="黑体" w:eastAsia="黑体" w:cs="黑体"/>
          <w:b w:val="0"/>
          <w:bCs/>
          <w:color w:val="000000" w:themeColor="text1"/>
          <w:sz w:val="36"/>
          <w:highlight w:val="none"/>
          <w14:textFill>
            <w14:solidFill>
              <w14:schemeClr w14:val="tx1"/>
            </w14:solidFill>
          </w14:textFill>
        </w:rPr>
      </w:pPr>
    </w:p>
    <w:p w14:paraId="28B58146">
      <w:pPr>
        <w:ind w:left="0" w:leftChars="0" w:firstLine="0" w:firstLineChars="0"/>
        <w:jc w:val="both"/>
        <w:rPr>
          <w:rFonts w:hint="eastAsia" w:ascii="黑体" w:hAnsi="黑体" w:eastAsia="黑体" w:cs="黑体"/>
          <w:b w:val="0"/>
          <w:bCs/>
          <w:color w:val="000000" w:themeColor="text1"/>
          <w:sz w:val="36"/>
          <w:highlight w:val="none"/>
          <w14:textFill>
            <w14:solidFill>
              <w14:schemeClr w14:val="tx1"/>
            </w14:solidFill>
          </w14:textFill>
        </w:rPr>
      </w:pPr>
    </w:p>
    <w:p w14:paraId="2D991B81">
      <w:pPr>
        <w:ind w:left="0" w:leftChars="0" w:firstLine="0" w:firstLineChars="0"/>
        <w:jc w:val="center"/>
        <w:rPr>
          <w:rFonts w:hint="eastAsia" w:ascii="黑体" w:hAnsi="黑体" w:eastAsia="黑体" w:cs="黑体"/>
          <w:b w:val="0"/>
          <w:bCs/>
          <w:color w:val="000000" w:themeColor="text1"/>
          <w:sz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highlight w:val="none"/>
          <w14:textFill>
            <w14:solidFill>
              <w14:schemeClr w14:val="tx1"/>
            </w14:solidFill>
          </w14:textFill>
        </w:rPr>
        <w:t>超高压输电公司</w:t>
      </w:r>
      <w:r>
        <w:rPr>
          <w:rFonts w:hint="eastAsia" w:ascii="黑体" w:hAnsi="黑体" w:eastAsia="黑体" w:cs="黑体"/>
          <w:b w:val="0"/>
          <w:bCs/>
          <w:color w:val="000000" w:themeColor="text1"/>
          <w:sz w:val="36"/>
          <w:highlight w:val="none"/>
          <w:lang w:val="en-US" w:eastAsia="zh-CN"/>
          <w14:textFill>
            <w14:solidFill>
              <w14:schemeClr w14:val="tx1"/>
            </w14:solidFill>
          </w14:textFill>
        </w:rPr>
        <w:t>广州局</w:t>
      </w:r>
    </w:p>
    <w:p w14:paraId="58A79978">
      <w:pPr>
        <w:ind w:firstLine="0" w:firstLineChars="0"/>
        <w:jc w:val="center"/>
        <w:rPr>
          <w:rFonts w:hAnsi="宋体"/>
          <w:b/>
          <w:color w:val="000000" w:themeColor="text1"/>
          <w:spacing w:val="100"/>
          <w:sz w:val="32"/>
          <w:szCs w:val="30"/>
          <w:highlight w:val="none"/>
          <w14:textFill>
            <w14:solidFill>
              <w14:schemeClr w14:val="tx1"/>
            </w14:solidFill>
          </w14:textFill>
        </w:rPr>
      </w:pPr>
      <w:r>
        <w:rPr>
          <w:rFonts w:hint="eastAsia" w:ascii="黑体" w:hAnsi="黑体" w:eastAsia="黑体" w:cs="黑体"/>
          <w:b w:val="0"/>
          <w:bCs/>
          <w:color w:val="auto"/>
          <w:sz w:val="36"/>
          <w:highlight w:val="none"/>
          <w:lang w:val="en-US" w:eastAsia="zh-CN"/>
        </w:rPr>
        <w:t>二〇二六年五月</w:t>
      </w:r>
      <w:r>
        <w:rPr>
          <w:rFonts w:eastAsia="黑体"/>
          <w:color w:val="000000" w:themeColor="text1"/>
          <w:sz w:val="48"/>
          <w:highlight w:val="none"/>
          <w:u w:color="000000"/>
          <w14:textFill>
            <w14:solidFill>
              <w14:schemeClr w14:val="tx1"/>
            </w14:solidFill>
          </w14:textFill>
        </w:rPr>
        <w:br w:type="page"/>
      </w:r>
      <w:r>
        <w:rPr>
          <w:rFonts w:hAnsi="宋体"/>
          <w:b/>
          <w:color w:val="000000" w:themeColor="text1"/>
          <w:spacing w:val="100"/>
          <w:sz w:val="32"/>
          <w:szCs w:val="30"/>
          <w:highlight w:val="none"/>
          <w14:textFill>
            <w14:solidFill>
              <w14:schemeClr w14:val="tx1"/>
            </w14:solidFill>
          </w14:textFill>
        </w:rPr>
        <w:t>目录</w:t>
      </w:r>
    </w:p>
    <w:p w14:paraId="0B631966">
      <w:pPr>
        <w:pStyle w:val="9"/>
        <w:tabs>
          <w:tab w:val="right" w:leader="dot" w:pos="8296"/>
        </w:tabs>
        <w:spacing w:line="360" w:lineRule="auto"/>
        <w:rPr>
          <w:rFonts w:asciiTheme="minorHAnsi" w:hAnsiTheme="minorHAnsi" w:eastAsiaTheme="minorEastAsia" w:cstheme="minorBidi"/>
          <w:b/>
          <w:bCs/>
          <w:color w:val="000000" w:themeColor="text1"/>
          <w:szCs w:val="22"/>
          <w:highlight w:val="none"/>
          <w14:textFill>
            <w14:solidFill>
              <w14:schemeClr w14:val="tx1"/>
            </w14:solidFill>
          </w14:textFill>
        </w:rPr>
      </w:pPr>
      <w:r>
        <w:rPr>
          <w:rFonts w:hAnsi="宋体"/>
          <w:b/>
          <w:bCs/>
          <w:color w:val="000000" w:themeColor="text1"/>
          <w:spacing w:val="100"/>
          <w:sz w:val="32"/>
          <w:szCs w:val="30"/>
          <w:highlight w:val="none"/>
          <w14:textFill>
            <w14:solidFill>
              <w14:schemeClr w14:val="tx1"/>
            </w14:solidFill>
          </w14:textFill>
        </w:rPr>
        <w:fldChar w:fldCharType="begin"/>
      </w:r>
      <w:r>
        <w:rPr>
          <w:rFonts w:hAnsi="宋体"/>
          <w:b/>
          <w:bCs/>
          <w:color w:val="000000" w:themeColor="text1"/>
          <w:spacing w:val="100"/>
          <w:sz w:val="32"/>
          <w:szCs w:val="30"/>
          <w:highlight w:val="none"/>
          <w14:textFill>
            <w14:solidFill>
              <w14:schemeClr w14:val="tx1"/>
            </w14:solidFill>
          </w14:textFill>
        </w:rPr>
        <w:instrText xml:space="preserve"> </w:instrText>
      </w:r>
      <w:r>
        <w:rPr>
          <w:rFonts w:hint="eastAsia" w:hAnsi="宋体"/>
          <w:b/>
          <w:bCs/>
          <w:color w:val="000000" w:themeColor="text1"/>
          <w:spacing w:val="100"/>
          <w:sz w:val="32"/>
          <w:szCs w:val="30"/>
          <w:highlight w:val="none"/>
          <w14:textFill>
            <w14:solidFill>
              <w14:schemeClr w14:val="tx1"/>
            </w14:solidFill>
          </w14:textFill>
        </w:rPr>
        <w:instrText xml:space="preserve">TOC \o "1-1" \h \z \u</w:instrText>
      </w:r>
      <w:r>
        <w:rPr>
          <w:rFonts w:hAnsi="宋体"/>
          <w:b/>
          <w:bCs/>
          <w:color w:val="000000" w:themeColor="text1"/>
          <w:spacing w:val="100"/>
          <w:sz w:val="32"/>
          <w:szCs w:val="30"/>
          <w:highlight w:val="none"/>
          <w14:textFill>
            <w14:solidFill>
              <w14:schemeClr w14:val="tx1"/>
            </w14:solidFill>
          </w14:textFill>
        </w:rPr>
        <w:instrText xml:space="preserve"> </w:instrText>
      </w:r>
      <w:r>
        <w:rPr>
          <w:rFonts w:hAnsi="宋体"/>
          <w:b/>
          <w:bCs/>
          <w:color w:val="000000" w:themeColor="text1"/>
          <w:spacing w:val="100"/>
          <w:sz w:val="32"/>
          <w:szCs w:val="30"/>
          <w:highlight w:val="none"/>
          <w14:textFill>
            <w14:solidFill>
              <w14:schemeClr w14:val="tx1"/>
            </w14:solidFill>
          </w14:textFill>
        </w:rPr>
        <w:fldChar w:fldCharType="separate"/>
      </w:r>
      <w:r>
        <w:rPr>
          <w:b/>
          <w:bCs/>
          <w:highlight w:val="none"/>
        </w:rPr>
        <w:fldChar w:fldCharType="begin"/>
      </w:r>
      <w:r>
        <w:rPr>
          <w:b/>
          <w:bCs/>
          <w:highlight w:val="none"/>
        </w:rPr>
        <w:instrText xml:space="preserve"> HYPERLINK \l "_Toc531004263" </w:instrText>
      </w:r>
      <w:r>
        <w:rPr>
          <w:b/>
          <w:bCs/>
          <w:highlight w:val="none"/>
        </w:rPr>
        <w:fldChar w:fldCharType="separate"/>
      </w:r>
      <w:r>
        <w:rPr>
          <w:rStyle w:val="14"/>
          <w:b/>
          <w:bCs/>
          <w:color w:val="000000" w:themeColor="text1"/>
          <w:highlight w:val="none"/>
          <w14:textFill>
            <w14:solidFill>
              <w14:schemeClr w14:val="tx1"/>
            </w14:solidFill>
          </w14:textFill>
        </w:rPr>
        <w:t>1.</w:t>
      </w:r>
      <w:r>
        <w:rPr>
          <w:rStyle w:val="14"/>
          <w:rFonts w:hint="eastAsia"/>
          <w:b/>
          <w:bCs/>
          <w:color w:val="000000" w:themeColor="text1"/>
          <w:highlight w:val="none"/>
          <w14:textFill>
            <w14:solidFill>
              <w14:schemeClr w14:val="tx1"/>
            </w14:solidFill>
          </w14:textFill>
        </w:rPr>
        <w:t xml:space="preserve"> 总则</w:t>
      </w:r>
      <w:r>
        <w:rPr>
          <w:b/>
          <w:bCs/>
          <w:color w:val="000000" w:themeColor="text1"/>
          <w:highlight w:val="none"/>
          <w14:textFill>
            <w14:solidFill>
              <w14:schemeClr w14:val="tx1"/>
            </w14:solidFill>
          </w14:textFill>
        </w:rPr>
        <w:tab/>
      </w:r>
      <w:r>
        <w:rPr>
          <w:b/>
          <w:bCs/>
          <w:color w:val="000000" w:themeColor="text1"/>
          <w:highlight w:val="none"/>
          <w14:textFill>
            <w14:solidFill>
              <w14:schemeClr w14:val="tx1"/>
            </w14:solidFill>
          </w14:textFill>
        </w:rPr>
        <w:fldChar w:fldCharType="begin"/>
      </w:r>
      <w:r>
        <w:rPr>
          <w:b/>
          <w:bCs/>
          <w:color w:val="000000" w:themeColor="text1"/>
          <w:highlight w:val="none"/>
          <w14:textFill>
            <w14:solidFill>
              <w14:schemeClr w14:val="tx1"/>
            </w14:solidFill>
          </w14:textFill>
        </w:rPr>
        <w:instrText xml:space="preserve"> PAGEREF _Toc531004263 \h </w:instrText>
      </w:r>
      <w:r>
        <w:rPr>
          <w:b/>
          <w:bCs/>
          <w:color w:val="000000" w:themeColor="text1"/>
          <w:highlight w:val="none"/>
          <w14:textFill>
            <w14:solidFill>
              <w14:schemeClr w14:val="tx1"/>
            </w14:solidFill>
          </w14:textFill>
        </w:rPr>
        <w:fldChar w:fldCharType="separate"/>
      </w:r>
      <w:r>
        <w:rPr>
          <w:b/>
          <w:bCs/>
          <w:color w:val="000000" w:themeColor="text1"/>
          <w:highlight w:val="none"/>
          <w14:textFill>
            <w14:solidFill>
              <w14:schemeClr w14:val="tx1"/>
            </w14:solidFill>
          </w14:textFill>
        </w:rPr>
        <w:t>1</w:t>
      </w:r>
      <w:r>
        <w:rPr>
          <w:b/>
          <w:bCs/>
          <w:color w:val="000000" w:themeColor="text1"/>
          <w:highlight w:val="none"/>
          <w14:textFill>
            <w14:solidFill>
              <w14:schemeClr w14:val="tx1"/>
            </w14:solidFill>
          </w14:textFill>
        </w:rPr>
        <w:fldChar w:fldCharType="end"/>
      </w:r>
      <w:r>
        <w:rPr>
          <w:b/>
          <w:bCs/>
          <w:color w:val="000000" w:themeColor="text1"/>
          <w:highlight w:val="none"/>
          <w14:textFill>
            <w14:solidFill>
              <w14:schemeClr w14:val="tx1"/>
            </w14:solidFill>
          </w14:textFill>
        </w:rPr>
        <w:fldChar w:fldCharType="end"/>
      </w:r>
    </w:p>
    <w:p w14:paraId="4D53CF74">
      <w:pPr>
        <w:pStyle w:val="9"/>
        <w:tabs>
          <w:tab w:val="right" w:leader="dot" w:pos="8296"/>
        </w:tabs>
        <w:spacing w:line="360" w:lineRule="auto"/>
        <w:rPr>
          <w:rFonts w:asciiTheme="minorHAnsi" w:hAnsiTheme="minorHAnsi" w:eastAsiaTheme="minorEastAsia" w:cstheme="minorBidi"/>
          <w:b/>
          <w:bCs/>
          <w:color w:val="000000" w:themeColor="text1"/>
          <w:szCs w:val="22"/>
          <w:highlight w:val="none"/>
          <w14:textFill>
            <w14:solidFill>
              <w14:schemeClr w14:val="tx1"/>
            </w14:solidFill>
          </w14:textFill>
        </w:rPr>
      </w:pPr>
      <w:r>
        <w:rPr>
          <w:b/>
          <w:bCs/>
          <w:highlight w:val="none"/>
        </w:rPr>
        <w:fldChar w:fldCharType="begin"/>
      </w:r>
      <w:r>
        <w:rPr>
          <w:b/>
          <w:bCs/>
          <w:highlight w:val="none"/>
        </w:rPr>
        <w:instrText xml:space="preserve"> HYPERLINK \l "_Toc531004264" </w:instrText>
      </w:r>
      <w:r>
        <w:rPr>
          <w:b/>
          <w:bCs/>
          <w:highlight w:val="none"/>
        </w:rPr>
        <w:fldChar w:fldCharType="separate"/>
      </w:r>
      <w:r>
        <w:rPr>
          <w:rStyle w:val="14"/>
          <w:b/>
          <w:bCs/>
          <w:color w:val="000000" w:themeColor="text1"/>
          <w:highlight w:val="none"/>
          <w14:textFill>
            <w14:solidFill>
              <w14:schemeClr w14:val="tx1"/>
            </w14:solidFill>
          </w14:textFill>
        </w:rPr>
        <w:t>2.</w:t>
      </w:r>
      <w:r>
        <w:rPr>
          <w:rStyle w:val="14"/>
          <w:rFonts w:hint="eastAsia"/>
          <w:b/>
          <w:bCs/>
          <w:color w:val="000000" w:themeColor="text1"/>
          <w:highlight w:val="none"/>
          <w14:textFill>
            <w14:solidFill>
              <w14:schemeClr w14:val="tx1"/>
            </w14:solidFill>
          </w14:textFill>
        </w:rPr>
        <w:t xml:space="preserve"> 项目有关内容</w:t>
      </w:r>
      <w:r>
        <w:rPr>
          <w:b/>
          <w:bCs/>
          <w:color w:val="000000" w:themeColor="text1"/>
          <w:highlight w:val="none"/>
          <w14:textFill>
            <w14:solidFill>
              <w14:schemeClr w14:val="tx1"/>
            </w14:solidFill>
          </w14:textFill>
        </w:rPr>
        <w:tab/>
      </w:r>
      <w:r>
        <w:rPr>
          <w:b/>
          <w:bCs/>
          <w:color w:val="000000" w:themeColor="text1"/>
          <w:highlight w:val="none"/>
          <w14:textFill>
            <w14:solidFill>
              <w14:schemeClr w14:val="tx1"/>
            </w14:solidFill>
          </w14:textFill>
        </w:rPr>
        <w:fldChar w:fldCharType="begin"/>
      </w:r>
      <w:r>
        <w:rPr>
          <w:b/>
          <w:bCs/>
          <w:color w:val="000000" w:themeColor="text1"/>
          <w:highlight w:val="none"/>
          <w14:textFill>
            <w14:solidFill>
              <w14:schemeClr w14:val="tx1"/>
            </w14:solidFill>
          </w14:textFill>
        </w:rPr>
        <w:instrText xml:space="preserve"> PAGEREF _Toc531004264 \h </w:instrText>
      </w:r>
      <w:r>
        <w:rPr>
          <w:b/>
          <w:bCs/>
          <w:color w:val="000000" w:themeColor="text1"/>
          <w:highlight w:val="none"/>
          <w14:textFill>
            <w14:solidFill>
              <w14:schemeClr w14:val="tx1"/>
            </w14:solidFill>
          </w14:textFill>
        </w:rPr>
        <w:fldChar w:fldCharType="separate"/>
      </w:r>
      <w:r>
        <w:rPr>
          <w:b/>
          <w:bCs/>
          <w:color w:val="000000" w:themeColor="text1"/>
          <w:highlight w:val="none"/>
          <w14:textFill>
            <w14:solidFill>
              <w14:schemeClr w14:val="tx1"/>
            </w14:solidFill>
          </w14:textFill>
        </w:rPr>
        <w:t>1</w:t>
      </w:r>
      <w:r>
        <w:rPr>
          <w:b/>
          <w:bCs/>
          <w:color w:val="000000" w:themeColor="text1"/>
          <w:highlight w:val="none"/>
          <w14:textFill>
            <w14:solidFill>
              <w14:schemeClr w14:val="tx1"/>
            </w14:solidFill>
          </w14:textFill>
        </w:rPr>
        <w:fldChar w:fldCharType="end"/>
      </w:r>
      <w:r>
        <w:rPr>
          <w:b/>
          <w:bCs/>
          <w:color w:val="000000" w:themeColor="text1"/>
          <w:highlight w:val="none"/>
          <w14:textFill>
            <w14:solidFill>
              <w14:schemeClr w14:val="tx1"/>
            </w14:solidFill>
          </w14:textFill>
        </w:rPr>
        <w:fldChar w:fldCharType="end"/>
      </w:r>
    </w:p>
    <w:p w14:paraId="590E78D9">
      <w:pPr>
        <w:pStyle w:val="9"/>
        <w:tabs>
          <w:tab w:val="right" w:leader="dot" w:pos="8296"/>
        </w:tabs>
        <w:spacing w:line="360" w:lineRule="auto"/>
        <w:rPr>
          <w:rFonts w:asciiTheme="minorHAnsi" w:hAnsiTheme="minorHAnsi" w:eastAsiaTheme="minorEastAsia" w:cstheme="minorBidi"/>
          <w:b/>
          <w:bCs/>
          <w:color w:val="000000" w:themeColor="text1"/>
          <w:szCs w:val="22"/>
          <w:highlight w:val="none"/>
          <w14:textFill>
            <w14:solidFill>
              <w14:schemeClr w14:val="tx1"/>
            </w14:solidFill>
          </w14:textFill>
        </w:rPr>
      </w:pPr>
      <w:r>
        <w:rPr>
          <w:b/>
          <w:bCs/>
          <w:highlight w:val="none"/>
        </w:rPr>
        <w:fldChar w:fldCharType="begin"/>
      </w:r>
      <w:r>
        <w:rPr>
          <w:b/>
          <w:bCs/>
          <w:highlight w:val="none"/>
        </w:rPr>
        <w:instrText xml:space="preserve"> HYPERLINK \l "_Toc531004265" </w:instrText>
      </w:r>
      <w:r>
        <w:rPr>
          <w:b/>
          <w:bCs/>
          <w:highlight w:val="none"/>
        </w:rPr>
        <w:fldChar w:fldCharType="separate"/>
      </w:r>
      <w:r>
        <w:rPr>
          <w:rStyle w:val="14"/>
          <w:b/>
          <w:bCs/>
          <w:color w:val="000000" w:themeColor="text1"/>
          <w:highlight w:val="none"/>
          <w14:textFill>
            <w14:solidFill>
              <w14:schemeClr w14:val="tx1"/>
            </w14:solidFill>
          </w14:textFill>
        </w:rPr>
        <w:t>3.</w:t>
      </w:r>
      <w:r>
        <w:rPr>
          <w:rStyle w:val="14"/>
          <w:rFonts w:hint="eastAsia"/>
          <w:b/>
          <w:bCs/>
          <w:color w:val="000000" w:themeColor="text1"/>
          <w:highlight w:val="none"/>
          <w14:textFill>
            <w14:solidFill>
              <w14:schemeClr w14:val="tx1"/>
            </w14:solidFill>
          </w14:textFill>
        </w:rPr>
        <w:t xml:space="preserve"> 总体要求</w:t>
      </w:r>
      <w:r>
        <w:rPr>
          <w:b/>
          <w:bCs/>
          <w:color w:val="000000" w:themeColor="text1"/>
          <w:highlight w:val="none"/>
          <w14:textFill>
            <w14:solidFill>
              <w14:schemeClr w14:val="tx1"/>
            </w14:solidFill>
          </w14:textFill>
        </w:rPr>
        <w:tab/>
      </w:r>
      <w:r>
        <w:rPr>
          <w:b/>
          <w:bCs/>
          <w:color w:val="000000" w:themeColor="text1"/>
          <w:highlight w:val="none"/>
          <w14:textFill>
            <w14:solidFill>
              <w14:schemeClr w14:val="tx1"/>
            </w14:solidFill>
          </w14:textFill>
        </w:rPr>
        <w:fldChar w:fldCharType="begin"/>
      </w:r>
      <w:r>
        <w:rPr>
          <w:b/>
          <w:bCs/>
          <w:color w:val="000000" w:themeColor="text1"/>
          <w:highlight w:val="none"/>
          <w14:textFill>
            <w14:solidFill>
              <w14:schemeClr w14:val="tx1"/>
            </w14:solidFill>
          </w14:textFill>
        </w:rPr>
        <w:instrText xml:space="preserve"> PAGEREF _Toc531004265 \h </w:instrText>
      </w:r>
      <w:r>
        <w:rPr>
          <w:b/>
          <w:bCs/>
          <w:color w:val="000000" w:themeColor="text1"/>
          <w:highlight w:val="none"/>
          <w14:textFill>
            <w14:solidFill>
              <w14:schemeClr w14:val="tx1"/>
            </w14:solidFill>
          </w14:textFill>
        </w:rPr>
        <w:fldChar w:fldCharType="separate"/>
      </w:r>
      <w:r>
        <w:rPr>
          <w:b/>
          <w:bCs/>
          <w:color w:val="000000" w:themeColor="text1"/>
          <w:highlight w:val="none"/>
          <w14:textFill>
            <w14:solidFill>
              <w14:schemeClr w14:val="tx1"/>
            </w14:solidFill>
          </w14:textFill>
        </w:rPr>
        <w:t>2</w:t>
      </w:r>
      <w:r>
        <w:rPr>
          <w:b/>
          <w:bCs/>
          <w:color w:val="000000" w:themeColor="text1"/>
          <w:highlight w:val="none"/>
          <w14:textFill>
            <w14:solidFill>
              <w14:schemeClr w14:val="tx1"/>
            </w14:solidFill>
          </w14:textFill>
        </w:rPr>
        <w:fldChar w:fldCharType="end"/>
      </w:r>
      <w:r>
        <w:rPr>
          <w:b/>
          <w:bCs/>
          <w:color w:val="000000" w:themeColor="text1"/>
          <w:highlight w:val="none"/>
          <w14:textFill>
            <w14:solidFill>
              <w14:schemeClr w14:val="tx1"/>
            </w14:solidFill>
          </w14:textFill>
        </w:rPr>
        <w:fldChar w:fldCharType="end"/>
      </w:r>
    </w:p>
    <w:p w14:paraId="5529F017">
      <w:pPr>
        <w:pStyle w:val="9"/>
        <w:tabs>
          <w:tab w:val="right" w:leader="dot" w:pos="8296"/>
        </w:tabs>
        <w:spacing w:line="360" w:lineRule="auto"/>
        <w:rPr>
          <w:rFonts w:asciiTheme="minorHAnsi" w:hAnsiTheme="minorHAnsi" w:eastAsiaTheme="minorEastAsia" w:cstheme="minorBidi"/>
          <w:b/>
          <w:bCs/>
          <w:color w:val="000000" w:themeColor="text1"/>
          <w:szCs w:val="22"/>
          <w:highlight w:val="none"/>
          <w14:textFill>
            <w14:solidFill>
              <w14:schemeClr w14:val="tx1"/>
            </w14:solidFill>
          </w14:textFill>
        </w:rPr>
      </w:pPr>
      <w:r>
        <w:rPr>
          <w:b/>
          <w:bCs/>
          <w:highlight w:val="none"/>
        </w:rPr>
        <w:fldChar w:fldCharType="begin"/>
      </w:r>
      <w:r>
        <w:rPr>
          <w:b/>
          <w:bCs/>
          <w:highlight w:val="none"/>
        </w:rPr>
        <w:instrText xml:space="preserve"> HYPERLINK \l "_Toc531004266" </w:instrText>
      </w:r>
      <w:r>
        <w:rPr>
          <w:b/>
          <w:bCs/>
          <w:highlight w:val="none"/>
        </w:rPr>
        <w:fldChar w:fldCharType="separate"/>
      </w:r>
      <w:r>
        <w:rPr>
          <w:rStyle w:val="14"/>
          <w:b/>
          <w:bCs/>
          <w:color w:val="000000" w:themeColor="text1"/>
          <w:highlight w:val="none"/>
          <w14:textFill>
            <w14:solidFill>
              <w14:schemeClr w14:val="tx1"/>
            </w14:solidFill>
          </w14:textFill>
        </w:rPr>
        <w:t>4.</w:t>
      </w:r>
      <w:r>
        <w:rPr>
          <w:rStyle w:val="14"/>
          <w:rFonts w:hint="eastAsia"/>
          <w:b/>
          <w:bCs/>
          <w:color w:val="000000" w:themeColor="text1"/>
          <w:highlight w:val="none"/>
          <w14:textFill>
            <w14:solidFill>
              <w14:schemeClr w14:val="tx1"/>
            </w14:solidFill>
          </w14:textFill>
        </w:rPr>
        <w:t xml:space="preserve"> 引用标准</w:t>
      </w:r>
      <w:r>
        <w:rPr>
          <w:b/>
          <w:bCs/>
          <w:color w:val="000000" w:themeColor="text1"/>
          <w:highlight w:val="none"/>
          <w14:textFill>
            <w14:solidFill>
              <w14:schemeClr w14:val="tx1"/>
            </w14:solidFill>
          </w14:textFill>
        </w:rPr>
        <w:tab/>
      </w:r>
      <w:r>
        <w:rPr>
          <w:b/>
          <w:bCs/>
          <w:color w:val="000000" w:themeColor="text1"/>
          <w:highlight w:val="none"/>
          <w14:textFill>
            <w14:solidFill>
              <w14:schemeClr w14:val="tx1"/>
            </w14:solidFill>
          </w14:textFill>
        </w:rPr>
        <w:fldChar w:fldCharType="begin"/>
      </w:r>
      <w:r>
        <w:rPr>
          <w:b/>
          <w:bCs/>
          <w:color w:val="000000" w:themeColor="text1"/>
          <w:highlight w:val="none"/>
          <w14:textFill>
            <w14:solidFill>
              <w14:schemeClr w14:val="tx1"/>
            </w14:solidFill>
          </w14:textFill>
        </w:rPr>
        <w:instrText xml:space="preserve"> PAGEREF _Toc531004266 \h </w:instrText>
      </w:r>
      <w:r>
        <w:rPr>
          <w:b/>
          <w:bCs/>
          <w:color w:val="000000" w:themeColor="text1"/>
          <w:highlight w:val="none"/>
          <w14:textFill>
            <w14:solidFill>
              <w14:schemeClr w14:val="tx1"/>
            </w14:solidFill>
          </w14:textFill>
        </w:rPr>
        <w:fldChar w:fldCharType="separate"/>
      </w:r>
      <w:r>
        <w:rPr>
          <w:b/>
          <w:bCs/>
          <w:color w:val="000000" w:themeColor="text1"/>
          <w:highlight w:val="none"/>
          <w14:textFill>
            <w14:solidFill>
              <w14:schemeClr w14:val="tx1"/>
            </w14:solidFill>
          </w14:textFill>
        </w:rPr>
        <w:t>3</w:t>
      </w:r>
      <w:r>
        <w:rPr>
          <w:b/>
          <w:bCs/>
          <w:color w:val="000000" w:themeColor="text1"/>
          <w:highlight w:val="none"/>
          <w14:textFill>
            <w14:solidFill>
              <w14:schemeClr w14:val="tx1"/>
            </w14:solidFill>
          </w14:textFill>
        </w:rPr>
        <w:fldChar w:fldCharType="end"/>
      </w:r>
      <w:r>
        <w:rPr>
          <w:b/>
          <w:bCs/>
          <w:color w:val="000000" w:themeColor="text1"/>
          <w:highlight w:val="none"/>
          <w14:textFill>
            <w14:solidFill>
              <w14:schemeClr w14:val="tx1"/>
            </w14:solidFill>
          </w14:textFill>
        </w:rPr>
        <w:fldChar w:fldCharType="end"/>
      </w:r>
    </w:p>
    <w:p w14:paraId="2B71E832">
      <w:pPr>
        <w:pStyle w:val="9"/>
        <w:tabs>
          <w:tab w:val="right" w:leader="dot" w:pos="8296"/>
        </w:tabs>
        <w:spacing w:line="360" w:lineRule="auto"/>
        <w:rPr>
          <w:rFonts w:asciiTheme="minorHAnsi" w:hAnsiTheme="minorHAnsi" w:eastAsiaTheme="minorEastAsia" w:cstheme="minorBidi"/>
          <w:b/>
          <w:bCs/>
          <w:color w:val="000000" w:themeColor="text1"/>
          <w:szCs w:val="22"/>
          <w:highlight w:val="none"/>
          <w14:textFill>
            <w14:solidFill>
              <w14:schemeClr w14:val="tx1"/>
            </w14:solidFill>
          </w14:textFill>
        </w:rPr>
      </w:pPr>
      <w:r>
        <w:rPr>
          <w:b/>
          <w:bCs/>
          <w:highlight w:val="none"/>
        </w:rPr>
        <w:fldChar w:fldCharType="begin"/>
      </w:r>
      <w:r>
        <w:rPr>
          <w:b/>
          <w:bCs/>
          <w:highlight w:val="none"/>
        </w:rPr>
        <w:instrText xml:space="preserve"> HYPERLINK \l "_Toc531004267" </w:instrText>
      </w:r>
      <w:r>
        <w:rPr>
          <w:b/>
          <w:bCs/>
          <w:highlight w:val="none"/>
        </w:rPr>
        <w:fldChar w:fldCharType="separate"/>
      </w:r>
      <w:r>
        <w:rPr>
          <w:rStyle w:val="14"/>
          <w:b/>
          <w:bCs/>
          <w:color w:val="000000" w:themeColor="text1"/>
          <w:highlight w:val="none"/>
          <w14:textFill>
            <w14:solidFill>
              <w14:schemeClr w14:val="tx1"/>
            </w14:solidFill>
          </w14:textFill>
        </w:rPr>
        <w:t>5.</w:t>
      </w:r>
      <w:r>
        <w:rPr>
          <w:rStyle w:val="14"/>
          <w:rFonts w:hint="eastAsia"/>
          <w:b/>
          <w:bCs/>
          <w:color w:val="000000" w:themeColor="text1"/>
          <w:highlight w:val="none"/>
          <w14:textFill>
            <w14:solidFill>
              <w14:schemeClr w14:val="tx1"/>
            </w14:solidFill>
          </w14:textFill>
        </w:rPr>
        <w:t xml:space="preserve"> 技术要求</w:t>
      </w:r>
      <w:r>
        <w:rPr>
          <w:b/>
          <w:bCs/>
          <w:color w:val="000000" w:themeColor="text1"/>
          <w:highlight w:val="none"/>
          <w14:textFill>
            <w14:solidFill>
              <w14:schemeClr w14:val="tx1"/>
            </w14:solidFill>
          </w14:textFill>
        </w:rPr>
        <w:tab/>
      </w:r>
      <w:r>
        <w:rPr>
          <w:b/>
          <w:bCs/>
          <w:color w:val="000000" w:themeColor="text1"/>
          <w:highlight w:val="none"/>
          <w14:textFill>
            <w14:solidFill>
              <w14:schemeClr w14:val="tx1"/>
            </w14:solidFill>
          </w14:textFill>
        </w:rPr>
        <w:fldChar w:fldCharType="begin"/>
      </w:r>
      <w:r>
        <w:rPr>
          <w:b/>
          <w:bCs/>
          <w:color w:val="000000" w:themeColor="text1"/>
          <w:highlight w:val="none"/>
          <w14:textFill>
            <w14:solidFill>
              <w14:schemeClr w14:val="tx1"/>
            </w14:solidFill>
          </w14:textFill>
        </w:rPr>
        <w:instrText xml:space="preserve"> PAGEREF _Toc531004267 \h </w:instrText>
      </w:r>
      <w:r>
        <w:rPr>
          <w:b/>
          <w:bCs/>
          <w:color w:val="000000" w:themeColor="text1"/>
          <w:highlight w:val="none"/>
          <w14:textFill>
            <w14:solidFill>
              <w14:schemeClr w14:val="tx1"/>
            </w14:solidFill>
          </w14:textFill>
        </w:rPr>
        <w:fldChar w:fldCharType="separate"/>
      </w:r>
      <w:r>
        <w:rPr>
          <w:b/>
          <w:bCs/>
          <w:color w:val="000000" w:themeColor="text1"/>
          <w:highlight w:val="none"/>
          <w14:textFill>
            <w14:solidFill>
              <w14:schemeClr w14:val="tx1"/>
            </w14:solidFill>
          </w14:textFill>
        </w:rPr>
        <w:t>4</w:t>
      </w:r>
      <w:r>
        <w:rPr>
          <w:b/>
          <w:bCs/>
          <w:color w:val="000000" w:themeColor="text1"/>
          <w:highlight w:val="none"/>
          <w14:textFill>
            <w14:solidFill>
              <w14:schemeClr w14:val="tx1"/>
            </w14:solidFill>
          </w14:textFill>
        </w:rPr>
        <w:fldChar w:fldCharType="end"/>
      </w:r>
      <w:r>
        <w:rPr>
          <w:b/>
          <w:bCs/>
          <w:color w:val="000000" w:themeColor="text1"/>
          <w:highlight w:val="none"/>
          <w14:textFill>
            <w14:solidFill>
              <w14:schemeClr w14:val="tx1"/>
            </w14:solidFill>
          </w14:textFill>
        </w:rPr>
        <w:fldChar w:fldCharType="end"/>
      </w:r>
    </w:p>
    <w:p w14:paraId="5DB345C8">
      <w:pPr>
        <w:pStyle w:val="9"/>
        <w:tabs>
          <w:tab w:val="right" w:leader="dot" w:pos="8296"/>
        </w:tabs>
        <w:spacing w:line="360" w:lineRule="auto"/>
        <w:rPr>
          <w:rFonts w:asciiTheme="minorHAnsi" w:hAnsiTheme="minorHAnsi" w:eastAsiaTheme="minorEastAsia" w:cstheme="minorBidi"/>
          <w:b/>
          <w:bCs/>
          <w:color w:val="000000" w:themeColor="text1"/>
          <w:szCs w:val="22"/>
          <w:highlight w:val="none"/>
          <w14:textFill>
            <w14:solidFill>
              <w14:schemeClr w14:val="tx1"/>
            </w14:solidFill>
          </w14:textFill>
        </w:rPr>
      </w:pPr>
      <w:r>
        <w:rPr>
          <w:b/>
          <w:bCs/>
          <w:highlight w:val="none"/>
        </w:rPr>
        <w:fldChar w:fldCharType="begin"/>
      </w:r>
      <w:r>
        <w:rPr>
          <w:b/>
          <w:bCs/>
          <w:highlight w:val="none"/>
        </w:rPr>
        <w:instrText xml:space="preserve"> HYPERLINK \l "_Toc531004268" </w:instrText>
      </w:r>
      <w:r>
        <w:rPr>
          <w:b/>
          <w:bCs/>
          <w:highlight w:val="none"/>
        </w:rPr>
        <w:fldChar w:fldCharType="separate"/>
      </w:r>
      <w:r>
        <w:rPr>
          <w:rStyle w:val="14"/>
          <w:b/>
          <w:bCs/>
          <w:snapToGrid w:val="0"/>
          <w:color w:val="000000" w:themeColor="text1"/>
          <w:highlight w:val="none"/>
          <w14:textFill>
            <w14:solidFill>
              <w14:schemeClr w14:val="tx1"/>
            </w14:solidFill>
          </w14:textFill>
        </w:rPr>
        <w:t>6.</w:t>
      </w:r>
      <w:r>
        <w:rPr>
          <w:rStyle w:val="14"/>
          <w:rFonts w:hint="eastAsia"/>
          <w:b/>
          <w:bCs/>
          <w:snapToGrid w:val="0"/>
          <w:color w:val="000000" w:themeColor="text1"/>
          <w:highlight w:val="none"/>
          <w14:textFill>
            <w14:solidFill>
              <w14:schemeClr w14:val="tx1"/>
            </w14:solidFill>
          </w14:textFill>
        </w:rPr>
        <w:t xml:space="preserve"> 工期进度要求</w:t>
      </w:r>
      <w:r>
        <w:rPr>
          <w:b/>
          <w:bCs/>
          <w:color w:val="000000" w:themeColor="text1"/>
          <w:highlight w:val="none"/>
          <w14:textFill>
            <w14:solidFill>
              <w14:schemeClr w14:val="tx1"/>
            </w14:solidFill>
          </w14:textFill>
        </w:rPr>
        <w:tab/>
      </w:r>
      <w:r>
        <w:rPr>
          <w:b/>
          <w:bCs/>
          <w:color w:val="000000" w:themeColor="text1"/>
          <w:highlight w:val="none"/>
          <w14:textFill>
            <w14:solidFill>
              <w14:schemeClr w14:val="tx1"/>
            </w14:solidFill>
          </w14:textFill>
        </w:rPr>
        <w:fldChar w:fldCharType="begin"/>
      </w:r>
      <w:r>
        <w:rPr>
          <w:b/>
          <w:bCs/>
          <w:color w:val="000000" w:themeColor="text1"/>
          <w:highlight w:val="none"/>
          <w14:textFill>
            <w14:solidFill>
              <w14:schemeClr w14:val="tx1"/>
            </w14:solidFill>
          </w14:textFill>
        </w:rPr>
        <w:instrText xml:space="preserve"> PAGEREF _Toc531004268 \h </w:instrText>
      </w:r>
      <w:r>
        <w:rPr>
          <w:b/>
          <w:bCs/>
          <w:color w:val="000000" w:themeColor="text1"/>
          <w:highlight w:val="none"/>
          <w14:textFill>
            <w14:solidFill>
              <w14:schemeClr w14:val="tx1"/>
            </w14:solidFill>
          </w14:textFill>
        </w:rPr>
        <w:fldChar w:fldCharType="separate"/>
      </w:r>
      <w:r>
        <w:rPr>
          <w:b/>
          <w:bCs/>
          <w:color w:val="000000" w:themeColor="text1"/>
          <w:highlight w:val="none"/>
          <w14:textFill>
            <w14:solidFill>
              <w14:schemeClr w14:val="tx1"/>
            </w14:solidFill>
          </w14:textFill>
        </w:rPr>
        <w:t>6</w:t>
      </w:r>
      <w:r>
        <w:rPr>
          <w:b/>
          <w:bCs/>
          <w:color w:val="000000" w:themeColor="text1"/>
          <w:highlight w:val="none"/>
          <w14:textFill>
            <w14:solidFill>
              <w14:schemeClr w14:val="tx1"/>
            </w14:solidFill>
          </w14:textFill>
        </w:rPr>
        <w:fldChar w:fldCharType="end"/>
      </w:r>
      <w:r>
        <w:rPr>
          <w:b/>
          <w:bCs/>
          <w:color w:val="000000" w:themeColor="text1"/>
          <w:highlight w:val="none"/>
          <w14:textFill>
            <w14:solidFill>
              <w14:schemeClr w14:val="tx1"/>
            </w14:solidFill>
          </w14:textFill>
        </w:rPr>
        <w:fldChar w:fldCharType="end"/>
      </w:r>
    </w:p>
    <w:p w14:paraId="7EF0D48B">
      <w:pPr>
        <w:pStyle w:val="9"/>
        <w:tabs>
          <w:tab w:val="right" w:leader="dot" w:pos="8296"/>
        </w:tabs>
        <w:spacing w:line="360" w:lineRule="auto"/>
        <w:rPr>
          <w:rFonts w:asciiTheme="minorHAnsi" w:hAnsiTheme="minorHAnsi" w:eastAsiaTheme="minorEastAsia" w:cstheme="minorBidi"/>
          <w:b/>
          <w:bCs/>
          <w:color w:val="000000" w:themeColor="text1"/>
          <w:szCs w:val="22"/>
          <w:highlight w:val="none"/>
          <w14:textFill>
            <w14:solidFill>
              <w14:schemeClr w14:val="tx1"/>
            </w14:solidFill>
          </w14:textFill>
        </w:rPr>
      </w:pPr>
      <w:r>
        <w:rPr>
          <w:b/>
          <w:bCs/>
          <w:highlight w:val="none"/>
        </w:rPr>
        <w:fldChar w:fldCharType="begin"/>
      </w:r>
      <w:r>
        <w:rPr>
          <w:b/>
          <w:bCs/>
          <w:highlight w:val="none"/>
        </w:rPr>
        <w:instrText xml:space="preserve"> HYPERLINK \l "_Toc531004269" </w:instrText>
      </w:r>
      <w:r>
        <w:rPr>
          <w:b/>
          <w:bCs/>
          <w:highlight w:val="none"/>
        </w:rPr>
        <w:fldChar w:fldCharType="separate"/>
      </w:r>
      <w:r>
        <w:rPr>
          <w:rStyle w:val="14"/>
          <w:b/>
          <w:bCs/>
          <w:snapToGrid w:val="0"/>
          <w:color w:val="000000" w:themeColor="text1"/>
          <w:highlight w:val="none"/>
          <w14:textFill>
            <w14:solidFill>
              <w14:schemeClr w14:val="tx1"/>
            </w14:solidFill>
          </w14:textFill>
        </w:rPr>
        <w:t>7.</w:t>
      </w:r>
      <w:r>
        <w:rPr>
          <w:rStyle w:val="14"/>
          <w:rFonts w:hint="eastAsia"/>
          <w:b/>
          <w:bCs/>
          <w:snapToGrid w:val="0"/>
          <w:color w:val="000000" w:themeColor="text1"/>
          <w:highlight w:val="none"/>
          <w14:textFill>
            <w14:solidFill>
              <w14:schemeClr w14:val="tx1"/>
            </w14:solidFill>
          </w14:textFill>
        </w:rPr>
        <w:t xml:space="preserve"> 项目验收、交付和技术服务</w:t>
      </w:r>
      <w:r>
        <w:rPr>
          <w:b/>
          <w:bCs/>
          <w:color w:val="000000" w:themeColor="text1"/>
          <w:highlight w:val="none"/>
          <w14:textFill>
            <w14:solidFill>
              <w14:schemeClr w14:val="tx1"/>
            </w14:solidFill>
          </w14:textFill>
        </w:rPr>
        <w:tab/>
      </w:r>
      <w:r>
        <w:rPr>
          <w:b/>
          <w:bCs/>
          <w:color w:val="000000" w:themeColor="text1"/>
          <w:highlight w:val="none"/>
          <w14:textFill>
            <w14:solidFill>
              <w14:schemeClr w14:val="tx1"/>
            </w14:solidFill>
          </w14:textFill>
        </w:rPr>
        <w:fldChar w:fldCharType="begin"/>
      </w:r>
      <w:r>
        <w:rPr>
          <w:b/>
          <w:bCs/>
          <w:color w:val="000000" w:themeColor="text1"/>
          <w:highlight w:val="none"/>
          <w14:textFill>
            <w14:solidFill>
              <w14:schemeClr w14:val="tx1"/>
            </w14:solidFill>
          </w14:textFill>
        </w:rPr>
        <w:instrText xml:space="preserve"> PAGEREF _Toc531004269 \h </w:instrText>
      </w:r>
      <w:r>
        <w:rPr>
          <w:b/>
          <w:bCs/>
          <w:color w:val="000000" w:themeColor="text1"/>
          <w:highlight w:val="none"/>
          <w14:textFill>
            <w14:solidFill>
              <w14:schemeClr w14:val="tx1"/>
            </w14:solidFill>
          </w14:textFill>
        </w:rPr>
        <w:fldChar w:fldCharType="separate"/>
      </w:r>
      <w:r>
        <w:rPr>
          <w:b/>
          <w:bCs/>
          <w:color w:val="000000" w:themeColor="text1"/>
          <w:highlight w:val="none"/>
          <w14:textFill>
            <w14:solidFill>
              <w14:schemeClr w14:val="tx1"/>
            </w14:solidFill>
          </w14:textFill>
        </w:rPr>
        <w:t>8</w:t>
      </w:r>
      <w:r>
        <w:rPr>
          <w:b/>
          <w:bCs/>
          <w:color w:val="000000" w:themeColor="text1"/>
          <w:highlight w:val="none"/>
          <w14:textFill>
            <w14:solidFill>
              <w14:schemeClr w14:val="tx1"/>
            </w14:solidFill>
          </w14:textFill>
        </w:rPr>
        <w:fldChar w:fldCharType="end"/>
      </w:r>
      <w:r>
        <w:rPr>
          <w:b/>
          <w:bCs/>
          <w:color w:val="000000" w:themeColor="text1"/>
          <w:highlight w:val="none"/>
          <w14:textFill>
            <w14:solidFill>
              <w14:schemeClr w14:val="tx1"/>
            </w14:solidFill>
          </w14:textFill>
        </w:rPr>
        <w:fldChar w:fldCharType="end"/>
      </w:r>
    </w:p>
    <w:p w14:paraId="74E2405E">
      <w:pPr>
        <w:pStyle w:val="9"/>
        <w:tabs>
          <w:tab w:val="right" w:leader="dot" w:pos="8296"/>
        </w:tabs>
        <w:spacing w:line="360" w:lineRule="auto"/>
        <w:rPr>
          <w:rFonts w:asciiTheme="minorHAnsi" w:hAnsiTheme="minorHAnsi" w:eastAsiaTheme="minorEastAsia" w:cstheme="minorBidi"/>
          <w:b/>
          <w:bCs/>
          <w:color w:val="000000" w:themeColor="text1"/>
          <w:szCs w:val="22"/>
          <w:highlight w:val="none"/>
          <w14:textFill>
            <w14:solidFill>
              <w14:schemeClr w14:val="tx1"/>
            </w14:solidFill>
          </w14:textFill>
        </w:rPr>
      </w:pPr>
      <w:r>
        <w:rPr>
          <w:b/>
          <w:bCs/>
          <w:highlight w:val="none"/>
        </w:rPr>
        <w:fldChar w:fldCharType="begin"/>
      </w:r>
      <w:r>
        <w:rPr>
          <w:b/>
          <w:bCs/>
          <w:highlight w:val="none"/>
        </w:rPr>
        <w:instrText xml:space="preserve"> HYPERLINK \l "_Toc531004270" </w:instrText>
      </w:r>
      <w:r>
        <w:rPr>
          <w:b/>
          <w:bCs/>
          <w:highlight w:val="none"/>
        </w:rPr>
        <w:fldChar w:fldCharType="separate"/>
      </w:r>
      <w:r>
        <w:rPr>
          <w:rStyle w:val="14"/>
          <w:b/>
          <w:bCs/>
          <w:snapToGrid w:val="0"/>
          <w:color w:val="000000" w:themeColor="text1"/>
          <w:highlight w:val="none"/>
          <w14:textFill>
            <w14:solidFill>
              <w14:schemeClr w14:val="tx1"/>
            </w14:solidFill>
          </w14:textFill>
        </w:rPr>
        <w:t>8.</w:t>
      </w:r>
      <w:r>
        <w:rPr>
          <w:rStyle w:val="14"/>
          <w:rFonts w:hint="eastAsia"/>
          <w:b/>
          <w:bCs/>
          <w:snapToGrid w:val="0"/>
          <w:color w:val="000000" w:themeColor="text1"/>
          <w:highlight w:val="none"/>
          <w14:textFill>
            <w14:solidFill>
              <w14:schemeClr w14:val="tx1"/>
            </w14:solidFill>
          </w14:textFill>
        </w:rPr>
        <w:t xml:space="preserve"> 其他</w:t>
      </w:r>
      <w:r>
        <w:rPr>
          <w:b/>
          <w:bCs/>
          <w:color w:val="000000" w:themeColor="text1"/>
          <w:highlight w:val="none"/>
          <w14:textFill>
            <w14:solidFill>
              <w14:schemeClr w14:val="tx1"/>
            </w14:solidFill>
          </w14:textFill>
        </w:rPr>
        <w:tab/>
      </w:r>
      <w:r>
        <w:rPr>
          <w:b/>
          <w:bCs/>
          <w:color w:val="000000" w:themeColor="text1"/>
          <w:highlight w:val="none"/>
          <w14:textFill>
            <w14:solidFill>
              <w14:schemeClr w14:val="tx1"/>
            </w14:solidFill>
          </w14:textFill>
        </w:rPr>
        <w:fldChar w:fldCharType="begin"/>
      </w:r>
      <w:r>
        <w:rPr>
          <w:b/>
          <w:bCs/>
          <w:color w:val="000000" w:themeColor="text1"/>
          <w:highlight w:val="none"/>
          <w14:textFill>
            <w14:solidFill>
              <w14:schemeClr w14:val="tx1"/>
            </w14:solidFill>
          </w14:textFill>
        </w:rPr>
        <w:instrText xml:space="preserve"> PAGEREF _Toc531004270 \h </w:instrText>
      </w:r>
      <w:r>
        <w:rPr>
          <w:b/>
          <w:bCs/>
          <w:color w:val="000000" w:themeColor="text1"/>
          <w:highlight w:val="none"/>
          <w14:textFill>
            <w14:solidFill>
              <w14:schemeClr w14:val="tx1"/>
            </w14:solidFill>
          </w14:textFill>
        </w:rPr>
        <w:fldChar w:fldCharType="separate"/>
      </w:r>
      <w:r>
        <w:rPr>
          <w:b/>
          <w:bCs/>
          <w:color w:val="000000" w:themeColor="text1"/>
          <w:highlight w:val="none"/>
          <w14:textFill>
            <w14:solidFill>
              <w14:schemeClr w14:val="tx1"/>
            </w14:solidFill>
          </w14:textFill>
        </w:rPr>
        <w:t>9</w:t>
      </w:r>
      <w:r>
        <w:rPr>
          <w:b/>
          <w:bCs/>
          <w:color w:val="000000" w:themeColor="text1"/>
          <w:highlight w:val="none"/>
          <w14:textFill>
            <w14:solidFill>
              <w14:schemeClr w14:val="tx1"/>
            </w14:solidFill>
          </w14:textFill>
        </w:rPr>
        <w:fldChar w:fldCharType="end"/>
      </w:r>
      <w:r>
        <w:rPr>
          <w:b/>
          <w:bCs/>
          <w:color w:val="000000" w:themeColor="text1"/>
          <w:highlight w:val="none"/>
          <w14:textFill>
            <w14:solidFill>
              <w14:schemeClr w14:val="tx1"/>
            </w14:solidFill>
          </w14:textFill>
        </w:rPr>
        <w:fldChar w:fldCharType="end"/>
      </w:r>
    </w:p>
    <w:p w14:paraId="088AD71E">
      <w:pPr>
        <w:spacing w:line="360" w:lineRule="auto"/>
        <w:ind w:firstLine="0" w:firstLineChars="0"/>
        <w:jc w:val="center"/>
        <w:rPr>
          <w:rFonts w:hAnsi="宋体"/>
          <w:b/>
          <w:color w:val="000000" w:themeColor="text1"/>
          <w:spacing w:val="100"/>
          <w:sz w:val="32"/>
          <w:szCs w:val="30"/>
          <w:highlight w:val="none"/>
          <w14:textFill>
            <w14:solidFill>
              <w14:schemeClr w14:val="tx1"/>
            </w14:solidFill>
          </w14:textFill>
        </w:rPr>
      </w:pPr>
      <w:r>
        <w:rPr>
          <w:rFonts w:hAnsi="宋体"/>
          <w:b/>
          <w:bCs/>
          <w:color w:val="000000" w:themeColor="text1"/>
          <w:spacing w:val="100"/>
          <w:sz w:val="32"/>
          <w:szCs w:val="30"/>
          <w:highlight w:val="none"/>
          <w14:textFill>
            <w14:solidFill>
              <w14:schemeClr w14:val="tx1"/>
            </w14:solidFill>
          </w14:textFill>
        </w:rPr>
        <w:fldChar w:fldCharType="end"/>
      </w:r>
    </w:p>
    <w:p w14:paraId="784774E0">
      <w:pPr>
        <w:ind w:firstLine="600"/>
        <w:jc w:val="center"/>
        <w:rPr>
          <w:rFonts w:eastAsia="黑体"/>
          <w:color w:val="000000" w:themeColor="text1"/>
          <w:sz w:val="30"/>
          <w:highlight w:val="none"/>
          <w:u w:color="000000"/>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r>
        <w:rPr>
          <w:rFonts w:eastAsia="黑体"/>
          <w:color w:val="000000" w:themeColor="text1"/>
          <w:sz w:val="30"/>
          <w:highlight w:val="none"/>
          <w:u w:color="000000"/>
          <w14:textFill>
            <w14:solidFill>
              <w14:schemeClr w14:val="tx1"/>
            </w14:solidFill>
          </w14:textFill>
        </w:rPr>
        <w:br w:type="page"/>
      </w:r>
    </w:p>
    <w:p w14:paraId="03E10DCB">
      <w:pPr>
        <w:pStyle w:val="2"/>
        <w:spacing w:before="312" w:after="156"/>
        <w:rPr>
          <w:color w:val="000000" w:themeColor="text1"/>
          <w:highlight w:val="none"/>
          <w14:textFill>
            <w14:solidFill>
              <w14:schemeClr w14:val="tx1"/>
            </w14:solidFill>
          </w14:textFill>
        </w:rPr>
      </w:pPr>
      <w:bookmarkStart w:id="4" w:name="_Toc531004209"/>
      <w:bookmarkStart w:id="5" w:name="_Toc441483963"/>
      <w:bookmarkStart w:id="6" w:name="_Toc531004263"/>
      <w:bookmarkStart w:id="7" w:name="_Toc312827017"/>
      <w:r>
        <w:rPr>
          <w:color w:val="000000" w:themeColor="text1"/>
          <w:highlight w:val="none"/>
          <w14:textFill>
            <w14:solidFill>
              <w14:schemeClr w14:val="tx1"/>
            </w14:solidFill>
          </w14:textFill>
        </w:rPr>
        <w:t>总则</w:t>
      </w:r>
      <w:bookmarkEnd w:id="0"/>
      <w:bookmarkEnd w:id="1"/>
      <w:bookmarkEnd w:id="2"/>
      <w:bookmarkEnd w:id="3"/>
      <w:bookmarkEnd w:id="4"/>
      <w:bookmarkEnd w:id="5"/>
      <w:bookmarkEnd w:id="6"/>
      <w:bookmarkEnd w:id="7"/>
    </w:p>
    <w:p w14:paraId="0F92DF8B">
      <w:pPr>
        <w:ind w:firstLine="0" w:firstLineChars="0"/>
        <w:rPr>
          <w:color w:val="000000" w:themeColor="text1"/>
          <w:highlight w:val="none"/>
          <w14:textFill>
            <w14:solidFill>
              <w14:schemeClr w14:val="tx1"/>
            </w14:solidFill>
          </w14:textFill>
        </w:rPr>
      </w:pPr>
      <w:bookmarkStart w:id="8" w:name="_Toc307577979"/>
      <w:bookmarkStart w:id="9" w:name="_Toc309805582"/>
      <w:bookmarkStart w:id="10" w:name="_Toc312827018"/>
      <w:bookmarkStart w:id="11" w:name="_Toc309593258"/>
      <w:bookmarkStart w:id="12" w:name="_Toc309593187"/>
      <w:r>
        <w:rPr>
          <w:rFonts w:hint="eastAsia"/>
          <w:color w:val="000000" w:themeColor="text1"/>
          <w:highlight w:val="none"/>
          <w14:textFill>
            <w14:solidFill>
              <w14:schemeClr w14:val="tx1"/>
            </w14:solidFill>
          </w14:textFill>
        </w:rPr>
        <w:t>1.1 本技术规范书适用于中国南方电网超高压公司</w:t>
      </w:r>
      <w:r>
        <w:rPr>
          <w:rFonts w:hint="eastAsia"/>
          <w:color w:val="000000" w:themeColor="text1"/>
          <w:highlight w:val="none"/>
          <w:lang w:val="en-US" w:eastAsia="zh-CN"/>
          <w14:textFill>
            <w14:solidFill>
              <w14:schemeClr w14:val="tx1"/>
            </w14:solidFill>
          </w14:textFill>
        </w:rPr>
        <w:t>广州局</w:t>
      </w:r>
      <w:r>
        <w:rPr>
          <w:rFonts w:hint="eastAsia"/>
          <w:color w:val="000000" w:themeColor="text1"/>
          <w:highlight w:val="none"/>
          <w14:textFill>
            <w14:solidFill>
              <w14:schemeClr w14:val="tx1"/>
            </w14:solidFill>
          </w14:textFill>
        </w:rPr>
        <w:t>“</w:t>
      </w:r>
      <w:r>
        <w:rPr>
          <w:rFonts w:hint="eastAsia"/>
          <w:b/>
          <w:bCs/>
          <w:color w:val="000000" w:themeColor="text1"/>
          <w:highlight w:val="none"/>
          <w14:textFill>
            <w14:solidFill>
              <w14:schemeClr w14:val="tx1"/>
            </w14:solidFill>
          </w14:textFill>
        </w:rPr>
        <w:t>基于数字化通道的输电防灾减灾大数据算法研究</w:t>
      </w:r>
      <w:r>
        <w:rPr>
          <w:rFonts w:hint="eastAsia" w:ascii="宋体" w:hAnsi="宋体"/>
          <w:b/>
          <w:bCs/>
          <w:color w:val="auto"/>
          <w:sz w:val="24"/>
          <w:highlight w:val="none"/>
          <w:u w:color="000000"/>
        </w:rPr>
        <w:t>技术</w:t>
      </w:r>
      <w:r>
        <w:rPr>
          <w:rFonts w:hint="eastAsia" w:ascii="宋体" w:hAnsi="宋体"/>
          <w:b/>
          <w:bCs/>
          <w:color w:val="auto"/>
          <w:sz w:val="24"/>
          <w:highlight w:val="none"/>
          <w:u w:color="000000"/>
          <w:lang w:eastAsia="zh-CN"/>
        </w:rPr>
        <w:t>服务采购</w:t>
      </w:r>
      <w:r>
        <w:rPr>
          <w:rFonts w:hint="eastAsia"/>
          <w:color w:val="000000" w:themeColor="text1"/>
          <w:highlight w:val="none"/>
          <w14:textFill>
            <w14:solidFill>
              <w14:schemeClr w14:val="tx1"/>
            </w14:solidFill>
          </w14:textFill>
        </w:rPr>
        <w:t>”项目</w:t>
      </w:r>
      <w:r>
        <w:rPr>
          <w:rFonts w:hint="eastAsia"/>
          <w:color w:val="000000" w:themeColor="text1"/>
          <w:highlight w:val="none"/>
          <w:lang w:val="en-US" w:eastAsia="zh-CN"/>
          <w14:textFill>
            <w14:solidFill>
              <w14:schemeClr w14:val="tx1"/>
            </w14:solidFill>
          </w14:textFill>
        </w:rPr>
        <w:t>(以下简称“项目”)</w:t>
      </w:r>
      <w:r>
        <w:rPr>
          <w:rFonts w:hint="eastAsia"/>
          <w:color w:val="000000" w:themeColor="text1"/>
          <w:highlight w:val="none"/>
          <w14:textFill>
            <w14:solidFill>
              <w14:schemeClr w14:val="tx1"/>
            </w14:solidFill>
          </w14:textFill>
        </w:rPr>
        <w:t>。本技术规范书提出了项目的技术内容、工期进度等要求，规范书的所有解释权归中国南方电网超高压输电公</w:t>
      </w:r>
      <w:r>
        <w:rPr>
          <w:rFonts w:hint="eastAsia"/>
          <w:b w:val="0"/>
          <w:bCs w:val="0"/>
          <w:color w:val="auto"/>
          <w:highlight w:val="none"/>
        </w:rPr>
        <w:t>司</w:t>
      </w:r>
      <w:r>
        <w:rPr>
          <w:rFonts w:hint="eastAsia"/>
          <w:b w:val="0"/>
          <w:bCs w:val="0"/>
          <w:color w:val="auto"/>
          <w:highlight w:val="none"/>
          <w:lang w:val="en-US" w:eastAsia="zh-CN"/>
        </w:rPr>
        <w:t>广州局</w:t>
      </w:r>
      <w:r>
        <w:rPr>
          <w:rFonts w:hint="eastAsia"/>
          <w:b w:val="0"/>
          <w:bCs w:val="0"/>
          <w:color w:val="auto"/>
          <w:highlight w:val="none"/>
        </w:rPr>
        <w:t>所有。</w:t>
      </w:r>
    </w:p>
    <w:p w14:paraId="46BDE613">
      <w:pPr>
        <w:ind w:firstLine="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1.2 本技术规范书提出的是最低限度的技术要求，并未对一切技术细节做出规定，投标方应提供符合本规范书的项目成果。</w:t>
      </w:r>
    </w:p>
    <w:p w14:paraId="7F1665D1">
      <w:pPr>
        <w:ind w:firstLine="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580475CD">
      <w:pPr>
        <w:ind w:firstLine="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1.4 在根据本技术规范书签订协议之后，招标方有权提出因标准或规程规范发生变化而产生的一些补充，具体项目由招、投标双方共同商定。</w:t>
      </w:r>
    </w:p>
    <w:p w14:paraId="72390B9A">
      <w:pPr>
        <w:ind w:firstLine="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1.5 本技术规范书所使用的标准如遇与投标方所执行的标准发生矛盾时，按较高标准执行，本技术规范书未全部引用应用标准，凡是本技术规范书牵涉的各项内容均按最新标准实施。</w:t>
      </w:r>
    </w:p>
    <w:p w14:paraId="6A09989E">
      <w:pPr>
        <w:ind w:firstLine="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 本技术规范书经招、投标双方确认后作为签订合同的技术附件，与合同正文具有同等法律效力。同时，技术规范书未尽事宜，由招、投标双方协商确定。</w:t>
      </w:r>
    </w:p>
    <w:p w14:paraId="4EE297D5">
      <w:pPr>
        <w:pStyle w:val="2"/>
        <w:spacing w:before="312" w:after="156"/>
        <w:rPr>
          <w:color w:val="000000" w:themeColor="text1"/>
          <w:highlight w:val="none"/>
          <w14:textFill>
            <w14:solidFill>
              <w14:schemeClr w14:val="tx1"/>
            </w14:solidFill>
          </w14:textFill>
        </w:rPr>
      </w:pPr>
      <w:bookmarkStart w:id="13" w:name="_Toc531004210"/>
      <w:bookmarkStart w:id="14" w:name="_Toc441483964"/>
      <w:bookmarkStart w:id="15" w:name="_Toc531004264"/>
      <w:r>
        <w:rPr>
          <w:color w:val="000000" w:themeColor="text1"/>
          <w:highlight w:val="none"/>
          <w14:textFill>
            <w14:solidFill>
              <w14:schemeClr w14:val="tx1"/>
            </w14:solidFill>
          </w14:textFill>
        </w:rPr>
        <w:t>项目</w:t>
      </w:r>
      <w:bookmarkEnd w:id="8"/>
      <w:r>
        <w:rPr>
          <w:color w:val="000000" w:themeColor="text1"/>
          <w:highlight w:val="none"/>
          <w14:textFill>
            <w14:solidFill>
              <w14:schemeClr w14:val="tx1"/>
            </w14:solidFill>
          </w14:textFill>
        </w:rPr>
        <w:t>有关内容</w:t>
      </w:r>
      <w:bookmarkEnd w:id="9"/>
      <w:bookmarkEnd w:id="10"/>
      <w:bookmarkEnd w:id="11"/>
      <w:bookmarkEnd w:id="12"/>
      <w:bookmarkEnd w:id="13"/>
      <w:bookmarkEnd w:id="14"/>
      <w:bookmarkEnd w:id="15"/>
    </w:p>
    <w:p w14:paraId="7D5F2967">
      <w:pPr>
        <w:tabs>
          <w:tab w:val="left" w:pos="851"/>
        </w:tabs>
        <w:ind w:firstLine="0" w:firstLineChars="0"/>
        <w:rPr>
          <w:color w:val="auto"/>
          <w:highlight w:val="none"/>
        </w:rPr>
      </w:pPr>
      <w:bookmarkStart w:id="16" w:name="_Toc309593197"/>
      <w:bookmarkStart w:id="17" w:name="_Toc309805592"/>
      <w:bookmarkStart w:id="18" w:name="_Toc296355589"/>
      <w:bookmarkStart w:id="19" w:name="_Toc312827028"/>
      <w:bookmarkStart w:id="20" w:name="_Toc309593268"/>
      <w:r>
        <w:rPr>
          <w:rFonts w:hint="eastAsia"/>
          <w:color w:val="000000" w:themeColor="text1"/>
          <w:highlight w:val="none"/>
          <w14:textFill>
            <w14:solidFill>
              <w14:schemeClr w14:val="tx1"/>
            </w14:solidFill>
          </w14:textFill>
        </w:rPr>
        <w:t xml:space="preserve">2.1 </w:t>
      </w:r>
      <w:r>
        <w:rPr>
          <w:rFonts w:hint="eastAsia"/>
          <w:b/>
          <w:color w:val="000000" w:themeColor="text1"/>
          <w:highlight w:val="none"/>
          <w14:textFill>
            <w14:solidFill>
              <w14:schemeClr w14:val="tx1"/>
            </w14:solidFill>
          </w14:textFill>
        </w:rPr>
        <w:t>项目名称</w:t>
      </w:r>
      <w:r>
        <w:rPr>
          <w:rFonts w:hint="eastAsia"/>
          <w:color w:val="000000" w:themeColor="text1"/>
          <w:highlight w:val="none"/>
          <w14:textFill>
            <w14:solidFill>
              <w14:schemeClr w14:val="tx1"/>
            </w14:solidFill>
          </w14:textFill>
        </w:rPr>
        <w:t>：</w:t>
      </w:r>
      <w:r>
        <w:rPr>
          <w:rFonts w:hint="eastAsia" w:ascii="宋体" w:hAnsi="宋体"/>
          <w:b/>
          <w:bCs/>
          <w:color w:val="auto"/>
          <w:sz w:val="24"/>
          <w:highlight w:val="none"/>
          <w:u w:color="000000"/>
        </w:rPr>
        <w:t>基于数字化通道的输电防灾减灾大数据算法研究技术服务采购技术</w:t>
      </w:r>
      <w:r>
        <w:rPr>
          <w:rFonts w:hint="eastAsia" w:ascii="宋体" w:hAnsi="宋体"/>
          <w:b/>
          <w:bCs/>
          <w:color w:val="auto"/>
          <w:sz w:val="24"/>
          <w:highlight w:val="none"/>
          <w:u w:color="000000"/>
          <w:lang w:eastAsia="zh-CN"/>
        </w:rPr>
        <w:t>服务</w:t>
      </w:r>
    </w:p>
    <w:p w14:paraId="6DF1CDEB">
      <w:pPr>
        <w:tabs>
          <w:tab w:val="left" w:pos="851"/>
        </w:tabs>
        <w:ind w:firstLine="0" w:firstLineChars="0"/>
        <w:rPr>
          <w:b/>
          <w:bCs/>
          <w:highlight w:val="none"/>
        </w:rPr>
      </w:pPr>
      <w:r>
        <w:rPr>
          <w:rFonts w:hint="eastAsia"/>
          <w:b w:val="0"/>
          <w:bCs w:val="0"/>
          <w:color w:val="000000" w:themeColor="text1"/>
          <w:highlight w:val="none"/>
          <w14:textFill>
            <w14:solidFill>
              <w14:schemeClr w14:val="tx1"/>
            </w14:solidFill>
          </w14:textFill>
        </w:rPr>
        <w:t>2.2</w:t>
      </w:r>
      <w:r>
        <w:rPr>
          <w:rFonts w:hint="eastAsia"/>
          <w:b w:val="0"/>
          <w:bCs w:val="0"/>
          <w:color w:val="000000" w:themeColor="text1"/>
          <w:highlight w:val="none"/>
          <w:lang w:val="en-US" w:eastAsia="zh-CN"/>
          <w14:textFill>
            <w14:solidFill>
              <w14:schemeClr w14:val="tx1"/>
            </w14:solidFill>
          </w14:textFill>
        </w:rPr>
        <w:t xml:space="preserve"> </w:t>
      </w:r>
      <w:r>
        <w:rPr>
          <w:rFonts w:hint="eastAsia"/>
          <w:b/>
          <w:bCs/>
          <w:color w:val="000000" w:themeColor="text1"/>
          <w:highlight w:val="none"/>
          <w:lang w:eastAsia="zh-CN"/>
          <w14:textFill>
            <w14:solidFill>
              <w14:schemeClr w14:val="tx1"/>
            </w14:solidFill>
          </w14:textFill>
        </w:rPr>
        <w:t>项目背景</w:t>
      </w:r>
    </w:p>
    <w:p w14:paraId="0B6F8A5B">
      <w:pPr>
        <w:tabs>
          <w:tab w:val="left" w:pos="851"/>
        </w:tabs>
        <w:ind w:firstLine="480" w:firstLineChars="200"/>
        <w:rPr>
          <w:rFonts w:hint="eastAsia"/>
          <w:color w:val="auto"/>
          <w:highlight w:val="none"/>
        </w:rPr>
      </w:pPr>
      <w:r>
        <w:rPr>
          <w:rFonts w:hint="eastAsia"/>
          <w:color w:val="auto"/>
          <w:highlight w:val="none"/>
        </w:rPr>
        <w:t>公司输电线路总长度超过了30万公里，且大多位于偏远位置，所处地形复杂，运行条件严峻，容易受到各种外部因素的影响，输电线路的运行和维护工作显得尤为重要。长期以来，业界高度重视输电线路运维技术的研究和应用，并形成了一套基于人巡的输电线路防灾减灾技术体系，包括山火、雷击跳闸防治、地质灾害分析与防治、绝缘子污闪防治、风偏闪络与防治等技术，基于防治理论初步形成辅助计算工具。但这些辅助计算的Excel表格或者小程序都存在自动化程度低，需要大量手动录入参数，参数选择专业性强，数据来源不一，使用门槛高等问题，以至于无法在基层班组进行大规模推广应用，亟需提升防灾减灾应用“功能实用化”和“算法自动化水平”。</w:t>
      </w:r>
    </w:p>
    <w:p w14:paraId="6FC5AC8E">
      <w:pPr>
        <w:tabs>
          <w:tab w:val="left" w:pos="851"/>
        </w:tabs>
        <w:ind w:firstLine="480" w:firstLineChars="200"/>
        <w:rPr>
          <w:rFonts w:hint="eastAsia" w:eastAsia="宋体"/>
          <w:color w:val="FF0000"/>
          <w:highlight w:val="none"/>
          <w:lang w:eastAsia="zh-CN"/>
        </w:rPr>
      </w:pPr>
      <w:r>
        <w:rPr>
          <w:rFonts w:hint="eastAsia" w:eastAsia="宋体"/>
          <w:color w:val="auto"/>
          <w:highlight w:val="none"/>
        </w:rPr>
        <w:t>目前，本项目前期已研究海量数据处理与特征工程大数据技术，完成台风、山火和地质灾害评估影响线路范围和程度，</w:t>
      </w:r>
      <w:r>
        <w:rPr>
          <w:rFonts w:hint="eastAsia" w:eastAsia="宋体"/>
          <w:color w:val="auto"/>
          <w:highlight w:val="none"/>
          <w:lang w:val="en-US" w:eastAsia="zh-CN"/>
        </w:rPr>
        <w:t>并完成生产支持运行系统相应模块建设，</w:t>
      </w:r>
      <w:r>
        <w:rPr>
          <w:rFonts w:hint="eastAsia" w:eastAsia="宋体"/>
          <w:color w:val="auto"/>
          <w:highlight w:val="none"/>
        </w:rPr>
        <w:t>实现多源数据融合的实时台风、山火和地质灾害隐患评估，系统接入公司气象应用决策支持系统的气象数据、数据中心的气象数据、覆冰监测系统的全量数据、雷电定位系统的全量数据、山火监测预警系统的全量数据等形成全网气象监测网络</w:t>
      </w:r>
      <w:r>
        <w:rPr>
          <w:rFonts w:hint="eastAsia" w:eastAsia="宋体"/>
          <w:color w:val="auto"/>
          <w:highlight w:val="none"/>
          <w:lang w:eastAsia="zh-CN"/>
        </w:rPr>
        <w:t>，</w:t>
      </w:r>
      <w:r>
        <w:rPr>
          <w:rFonts w:hint="eastAsia" w:eastAsia="宋体"/>
          <w:color w:val="auto"/>
          <w:highlight w:val="none"/>
        </w:rPr>
        <w:t>需进一步完成污闪、风偏综合风险分析和灾害隐患评估，并选择至少两条线路试点台风、山火、地质灾害、污闪和风偏应用，对算法验证、优化，测算五类灾害算法准确率并提升实用性。</w:t>
      </w:r>
    </w:p>
    <w:p w14:paraId="5D50C177">
      <w:pPr>
        <w:tabs>
          <w:tab w:val="left" w:pos="851"/>
        </w:tabs>
        <w:ind w:firstLine="0" w:firstLineChars="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2.3</w:t>
      </w:r>
      <w:r>
        <w:rPr>
          <w:rFonts w:hint="eastAsia"/>
          <w:color w:val="000000" w:themeColor="text1"/>
          <w:highlight w:val="none"/>
          <w14:textFill>
            <w14:solidFill>
              <w14:schemeClr w14:val="tx1"/>
            </w14:solidFill>
          </w14:textFill>
        </w:rPr>
        <w:t xml:space="preserve"> </w:t>
      </w:r>
      <w:r>
        <w:rPr>
          <w:rFonts w:hint="eastAsia"/>
          <w:b/>
          <w:color w:val="000000" w:themeColor="text1"/>
          <w:highlight w:val="none"/>
          <w14:textFill>
            <w14:solidFill>
              <w14:schemeClr w14:val="tx1"/>
            </w14:solidFill>
          </w14:textFill>
        </w:rPr>
        <w:t>项目内容</w:t>
      </w:r>
    </w:p>
    <w:p w14:paraId="3975BD92">
      <w:pPr>
        <w:tabs>
          <w:tab w:val="left" w:pos="851"/>
        </w:tabs>
        <w:ind w:firstLine="480"/>
        <w:rPr>
          <w:rFonts w:hint="eastAsia"/>
          <w:color w:val="auto"/>
          <w:highlight w:val="none"/>
        </w:rPr>
      </w:pPr>
      <w:r>
        <w:rPr>
          <w:rFonts w:hint="eastAsia"/>
          <w:color w:val="auto"/>
          <w:highlight w:val="none"/>
        </w:rPr>
        <w:t>（1）台风综合影响分析算法研究</w:t>
      </w:r>
      <w:r>
        <w:rPr>
          <w:rFonts w:hint="eastAsia"/>
          <w:color w:val="auto"/>
          <w:highlight w:val="none"/>
        </w:rPr>
        <w:t>（基于前期成果，重点完成系统集成与试点验证）</w:t>
      </w:r>
      <w:r>
        <w:rPr>
          <w:rFonts w:hint="eastAsia"/>
          <w:color w:val="auto"/>
          <w:highlight w:val="none"/>
          <w:lang w:eastAsia="zh-CN"/>
        </w:rPr>
        <w:t>。研究海量数据处理与特征工程大数据技术，评估台风影响线路范围和程度，实现多源数据融合的实时台风隐患精准评估。</w:t>
      </w:r>
    </w:p>
    <w:p w14:paraId="71083858">
      <w:pPr>
        <w:tabs>
          <w:tab w:val="left" w:pos="851"/>
        </w:tabs>
        <w:ind w:firstLine="480"/>
        <w:rPr>
          <w:rFonts w:hint="eastAsia"/>
          <w:color w:val="auto"/>
          <w:highlight w:val="none"/>
        </w:rPr>
      </w:pPr>
      <w:r>
        <w:rPr>
          <w:rFonts w:hint="eastAsia"/>
          <w:color w:val="auto"/>
          <w:highlight w:val="none"/>
        </w:rPr>
        <w:t>（</w:t>
      </w:r>
      <w:r>
        <w:rPr>
          <w:rFonts w:hint="eastAsia"/>
          <w:color w:val="auto"/>
          <w:highlight w:val="none"/>
          <w:lang w:val="en-US" w:eastAsia="zh-CN"/>
        </w:rPr>
        <w:t>2</w:t>
      </w:r>
      <w:r>
        <w:rPr>
          <w:rFonts w:hint="eastAsia"/>
          <w:color w:val="auto"/>
          <w:highlight w:val="none"/>
        </w:rPr>
        <w:t>）山火综合影响分析算法研究</w:t>
      </w:r>
      <w:r>
        <w:rPr>
          <w:rFonts w:hint="eastAsia"/>
          <w:color w:val="auto"/>
          <w:highlight w:val="none"/>
        </w:rPr>
        <w:t>（基于前期成果，重点完成系统集成与试点验证）</w:t>
      </w:r>
      <w:r>
        <w:rPr>
          <w:rFonts w:hint="eastAsia"/>
          <w:color w:val="auto"/>
          <w:highlight w:val="none"/>
          <w:lang w:eastAsia="zh-CN"/>
        </w:rPr>
        <w:t>。研究海量数据处理与特征工程大数据技术，评估山火影响线路范围和程度，实现多源数据融合的实时山火隐患精准评估。</w:t>
      </w:r>
    </w:p>
    <w:p w14:paraId="07582653">
      <w:pPr>
        <w:tabs>
          <w:tab w:val="left" w:pos="851"/>
        </w:tabs>
        <w:ind w:firstLine="480"/>
        <w:rPr>
          <w:rFonts w:hint="eastAsia"/>
          <w:color w:val="auto"/>
          <w:highlight w:val="none"/>
          <w:lang w:eastAsia="zh-CN"/>
        </w:rPr>
      </w:pPr>
      <w:r>
        <w:rPr>
          <w:rFonts w:hint="eastAsia"/>
          <w:color w:val="auto"/>
          <w:highlight w:val="none"/>
        </w:rPr>
        <w:t>（</w:t>
      </w:r>
      <w:r>
        <w:rPr>
          <w:rFonts w:hint="eastAsia"/>
          <w:color w:val="auto"/>
          <w:highlight w:val="none"/>
          <w:lang w:val="en-US" w:eastAsia="zh-CN"/>
        </w:rPr>
        <w:t>3</w:t>
      </w:r>
      <w:r>
        <w:rPr>
          <w:rFonts w:hint="eastAsia"/>
          <w:color w:val="auto"/>
          <w:highlight w:val="none"/>
        </w:rPr>
        <w:t>）地质灾害综合影响分析算法研究</w:t>
      </w:r>
      <w:r>
        <w:rPr>
          <w:rFonts w:hint="eastAsia"/>
          <w:color w:val="auto"/>
          <w:highlight w:val="none"/>
        </w:rPr>
        <w:t>（基于前期成果，重点完成系统集成与试点验证）</w:t>
      </w:r>
      <w:r>
        <w:rPr>
          <w:rFonts w:hint="eastAsia"/>
          <w:color w:val="auto"/>
          <w:highlight w:val="none"/>
          <w:lang w:eastAsia="zh-CN"/>
        </w:rPr>
        <w:t>。</w:t>
      </w:r>
      <w:r>
        <w:rPr>
          <w:rFonts w:hint="eastAsia"/>
          <w:color w:val="auto"/>
          <w:highlight w:val="none"/>
        </w:rPr>
        <w:t>研究海量数据处理与特征工程大数据技术，评估地质灾害影响线路范围和程度，实现多源数据融合的实时地质灾害隐患精准评估</w:t>
      </w:r>
      <w:r>
        <w:rPr>
          <w:rFonts w:hint="eastAsia"/>
          <w:color w:val="auto"/>
          <w:highlight w:val="none"/>
          <w:lang w:eastAsia="zh-CN"/>
        </w:rPr>
        <w:t>。</w:t>
      </w:r>
    </w:p>
    <w:p w14:paraId="0CC3C744">
      <w:pPr>
        <w:tabs>
          <w:tab w:val="left" w:pos="851"/>
        </w:tabs>
        <w:ind w:firstLine="480"/>
        <w:rPr>
          <w:rFonts w:hint="eastAsia"/>
          <w:color w:val="auto"/>
          <w:highlight w:val="none"/>
          <w:lang w:eastAsia="zh-CN"/>
        </w:rPr>
      </w:pPr>
      <w:r>
        <w:rPr>
          <w:rFonts w:hint="eastAsia"/>
          <w:color w:val="auto"/>
          <w:highlight w:val="none"/>
        </w:rPr>
        <w:t>（</w:t>
      </w:r>
      <w:r>
        <w:rPr>
          <w:rFonts w:hint="eastAsia"/>
          <w:color w:val="auto"/>
          <w:highlight w:val="none"/>
          <w:lang w:val="en-US" w:eastAsia="zh-CN"/>
        </w:rPr>
        <w:t>4</w:t>
      </w:r>
      <w:r>
        <w:rPr>
          <w:rFonts w:hint="eastAsia"/>
          <w:color w:val="auto"/>
          <w:highlight w:val="none"/>
        </w:rPr>
        <w:t>）风偏综合影响分析算法研究</w:t>
      </w:r>
      <w:r>
        <w:rPr>
          <w:rFonts w:hint="eastAsia"/>
          <w:color w:val="auto"/>
          <w:highlight w:val="none"/>
          <w:lang w:eastAsia="zh-CN"/>
        </w:rPr>
        <w:t>。研究海量数据处理与特征工程大数据技术，评估风偏影响线路范围和程度，实现多源数据融合的实时风偏隐患精准评估。</w:t>
      </w:r>
    </w:p>
    <w:p w14:paraId="1CE832BD">
      <w:pPr>
        <w:tabs>
          <w:tab w:val="left" w:pos="851"/>
        </w:tabs>
        <w:ind w:firstLine="480"/>
        <w:rPr>
          <w:rFonts w:hint="eastAsia"/>
          <w:color w:val="auto"/>
          <w:highlight w:val="none"/>
          <w:lang w:eastAsia="zh-CN"/>
        </w:rPr>
      </w:pPr>
      <w:r>
        <w:rPr>
          <w:rFonts w:hint="eastAsia"/>
          <w:color w:val="auto"/>
          <w:highlight w:val="none"/>
        </w:rPr>
        <w:t>（</w:t>
      </w:r>
      <w:r>
        <w:rPr>
          <w:rFonts w:hint="eastAsia"/>
          <w:color w:val="auto"/>
          <w:highlight w:val="none"/>
          <w:lang w:val="en-US" w:eastAsia="zh-CN"/>
        </w:rPr>
        <w:t>5</w:t>
      </w:r>
      <w:r>
        <w:rPr>
          <w:rFonts w:hint="eastAsia"/>
          <w:color w:val="auto"/>
          <w:highlight w:val="none"/>
        </w:rPr>
        <w:t>）污闪综合影响分析算法研究</w:t>
      </w:r>
      <w:r>
        <w:rPr>
          <w:rFonts w:hint="eastAsia"/>
          <w:color w:val="auto"/>
          <w:highlight w:val="none"/>
          <w:lang w:eastAsia="zh-CN"/>
        </w:rPr>
        <w:t>。研究海量数据处理与特征工程大数据技术，评估污闪影响线路范围和程度，实现多源数据融合的实时污闪隐患精准评估。</w:t>
      </w:r>
    </w:p>
    <w:p w14:paraId="30D4ACED">
      <w:pPr>
        <w:tabs>
          <w:tab w:val="left" w:pos="851"/>
        </w:tabs>
        <w:ind w:firstLine="480"/>
        <w:rPr>
          <w:rFonts w:hint="eastAsia"/>
          <w:color w:val="auto"/>
          <w:highlight w:val="none"/>
          <w:lang w:eastAsia="zh-CN"/>
        </w:rPr>
      </w:pPr>
      <w:r>
        <w:rPr>
          <w:rFonts w:hint="eastAsia"/>
          <w:color w:val="auto"/>
          <w:highlight w:val="none"/>
          <w:lang w:eastAsia="zh-CN"/>
        </w:rPr>
        <w:t>（</w:t>
      </w:r>
      <w:r>
        <w:rPr>
          <w:rFonts w:hint="eastAsia"/>
          <w:color w:val="auto"/>
          <w:highlight w:val="none"/>
          <w:lang w:val="en-US" w:eastAsia="zh-CN"/>
        </w:rPr>
        <w:t>6</w:t>
      </w:r>
      <w:r>
        <w:rPr>
          <w:rFonts w:hint="eastAsia"/>
          <w:color w:val="auto"/>
          <w:highlight w:val="none"/>
          <w:lang w:eastAsia="zh-CN"/>
        </w:rPr>
        <w:t>）输电大数据算法应用开发。研究各防灾减灾算法与设备台账、地理信息，传感器、点云数据，实时气象数据的自动关联机制，实现边坡检核自动化、污区校核自动化、风偏校验自动化、实时台风影响分析和山火预警，并进行试点应用。</w:t>
      </w:r>
    </w:p>
    <w:p w14:paraId="6A3B01B9">
      <w:pPr>
        <w:tabs>
          <w:tab w:val="left" w:pos="851"/>
        </w:tabs>
        <w:ind w:firstLine="480"/>
        <w:rPr>
          <w:rFonts w:hint="eastAsia"/>
          <w:color w:val="auto"/>
          <w:highlight w:val="none"/>
          <w:lang w:eastAsia="zh-CN"/>
        </w:rPr>
      </w:pPr>
      <w:r>
        <w:rPr>
          <w:rFonts w:hint="eastAsia"/>
          <w:color w:val="auto"/>
          <w:highlight w:val="none"/>
          <w:lang w:eastAsia="zh-CN"/>
        </w:rPr>
        <w:t>（</w:t>
      </w:r>
      <w:r>
        <w:rPr>
          <w:rFonts w:hint="eastAsia"/>
          <w:color w:val="auto"/>
          <w:highlight w:val="none"/>
          <w:lang w:val="en-US" w:eastAsia="zh-CN"/>
        </w:rPr>
        <w:t>7</w:t>
      </w:r>
      <w:r>
        <w:rPr>
          <w:rFonts w:hint="eastAsia"/>
          <w:color w:val="auto"/>
          <w:highlight w:val="none"/>
          <w:lang w:eastAsia="zh-CN"/>
        </w:rPr>
        <w:t>）试点线路应用。选择至少两条线路（</w:t>
      </w:r>
      <w:r>
        <w:rPr>
          <w:rFonts w:hint="eastAsia"/>
          <w:color w:val="auto"/>
          <w:highlight w:val="none"/>
          <w:lang w:val="en-US" w:eastAsia="zh-CN"/>
        </w:rPr>
        <w:t>至少包含1条为±800kV直流线路、1条500kV（或±500kV）同塔多回线路</w:t>
      </w:r>
      <w:r>
        <w:rPr>
          <w:rFonts w:hint="eastAsia"/>
          <w:color w:val="auto"/>
          <w:highlight w:val="none"/>
          <w:lang w:eastAsia="zh-CN"/>
        </w:rPr>
        <w:t>）试点风偏、污闪、山火、台风、地质灾害应用，对算法进行验证、优化。</w:t>
      </w:r>
    </w:p>
    <w:p w14:paraId="05AF7193">
      <w:pPr>
        <w:tabs>
          <w:tab w:val="left" w:pos="851"/>
        </w:tabs>
        <w:ind w:left="0" w:leftChars="0" w:firstLine="0" w:firstLineChars="0"/>
        <w:rPr>
          <w:rFonts w:hint="eastAsia"/>
          <w:color w:val="FF0000"/>
          <w:highlight w:val="none"/>
          <w:shd w:val="clear" w:color="FFFFFF" w:fill="D9D9D9"/>
        </w:rPr>
      </w:pPr>
    </w:p>
    <w:p w14:paraId="04EB56EB">
      <w:pPr>
        <w:tabs>
          <w:tab w:val="left" w:pos="851"/>
        </w:tabs>
        <w:ind w:firstLine="0" w:firstLineChars="0"/>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2.</w:t>
      </w:r>
      <w:r>
        <w:rPr>
          <w:rFonts w:hint="eastAsia"/>
          <w:b/>
          <w:color w:val="000000" w:themeColor="text1"/>
          <w:highlight w:val="none"/>
          <w:lang w:val="en-US" w:eastAsia="zh-CN"/>
          <w14:textFill>
            <w14:solidFill>
              <w14:schemeClr w14:val="tx1"/>
            </w14:solidFill>
          </w14:textFill>
        </w:rPr>
        <w:t xml:space="preserve">4 </w:t>
      </w:r>
      <w:r>
        <w:rPr>
          <w:rFonts w:hint="eastAsia"/>
          <w:b/>
          <w:color w:val="000000" w:themeColor="text1"/>
          <w:highlight w:val="none"/>
          <w:lang w:eastAsia="zh-CN"/>
          <w14:textFill>
            <w14:solidFill>
              <w14:schemeClr w14:val="tx1"/>
            </w14:solidFill>
          </w14:textFill>
        </w:rPr>
        <w:t>拟解决的主要技术难点</w:t>
      </w:r>
    </w:p>
    <w:p w14:paraId="7CCFEF64">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项目主要难点体现在以下四个方面：</w:t>
      </w:r>
    </w:p>
    <w:p w14:paraId="74DEC23F">
      <w:pPr>
        <w:numPr>
          <w:ilvl w:val="0"/>
          <w:numId w:val="2"/>
        </w:num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多源、海量防灾减灾数据的特征工程提取技术研究，清洗关联海量时序气象、地理信息、卫星、在线监测、线路台账等数据，需要在数据质量欠佳的真实多源数据集合中挖掘属性之间的关联，探索构建有用的特征；</w:t>
      </w:r>
    </w:p>
    <w:p w14:paraId="51918F32">
      <w:pPr>
        <w:numPr>
          <w:ilvl w:val="0"/>
          <w:numId w:val="2"/>
        </w:num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基于深度学习和机器学习的实时防灾减灾关键风险预测技术研究，在海量数据样本上实现高精度预测；</w:t>
      </w:r>
    </w:p>
    <w:p w14:paraId="0E0E69EF">
      <w:pPr>
        <w:numPr>
          <w:ilvl w:val="0"/>
          <w:numId w:val="2"/>
        </w:num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场景化的输电专业算法和人工智能算法的结合应用，在风偏、污闪、边坡校核、山火、台风五类场景下，需要结合实际数据格式、数据量、不同的专业规程要求，融合输电专业算法和人工智能算法，实现专业分析，智能应用；</w:t>
      </w:r>
    </w:p>
    <w:p w14:paraId="15C93FBE">
      <w:pPr>
        <w:numPr>
          <w:ilvl w:val="0"/>
          <w:numId w:val="2"/>
        </w:num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点云数据的处理和分析是世界最前沿的领域，将前沿技术结合业务，研究防灾减灾算法与三维点云技术融合应用场景，深入挖掘海量点云数据价值。</w:t>
      </w:r>
    </w:p>
    <w:p w14:paraId="6A0B9C88">
      <w:pPr>
        <w:pStyle w:val="2"/>
        <w:bidi w:val="0"/>
        <w:rPr>
          <w:highlight w:val="none"/>
        </w:rPr>
      </w:pPr>
      <w:bookmarkStart w:id="21" w:name="_Toc531004265"/>
      <w:bookmarkStart w:id="22" w:name="_Toc441483965"/>
      <w:bookmarkStart w:id="23" w:name="_Toc531004211"/>
      <w:r>
        <w:rPr>
          <w:highlight w:val="none"/>
        </w:rPr>
        <w:t>总体要求</w:t>
      </w:r>
      <w:bookmarkEnd w:id="21"/>
      <w:bookmarkEnd w:id="22"/>
      <w:bookmarkEnd w:id="23"/>
    </w:p>
    <w:p w14:paraId="1A02ECB1">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投标方应详细描述项目的整体方案，包括项目技术方案、进度计划、项目</w:t>
      </w:r>
      <w:r>
        <w:rPr>
          <w:rFonts w:hint="eastAsia"/>
          <w:color w:val="000000" w:themeColor="text1"/>
          <w:highlight w:val="none"/>
          <w:lang w:eastAsia="zh-CN"/>
          <w14:textFill>
            <w14:solidFill>
              <w14:schemeClr w14:val="tx1"/>
            </w14:solidFill>
          </w14:textFill>
        </w:rPr>
        <w:t>工作量及</w:t>
      </w:r>
      <w:r>
        <w:rPr>
          <w:color w:val="000000" w:themeColor="text1"/>
          <w:highlight w:val="none"/>
          <w14:textFill>
            <w14:solidFill>
              <w14:schemeClr w14:val="tx1"/>
            </w14:solidFill>
          </w14:textFill>
        </w:rPr>
        <w:t>费用安排、人员组织安排、培训计划</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预期目标</w:t>
      </w:r>
      <w:r>
        <w:rPr>
          <w:rFonts w:hint="eastAsia"/>
          <w:color w:val="000000" w:themeColor="text1"/>
          <w:highlight w:val="none"/>
          <w:lang w:eastAsia="zh-CN"/>
          <w14:textFill>
            <w14:solidFill>
              <w14:schemeClr w14:val="tx1"/>
            </w14:solidFill>
          </w14:textFill>
        </w:rPr>
        <w:t>和</w:t>
      </w:r>
      <w:r>
        <w:rPr>
          <w:color w:val="000000" w:themeColor="text1"/>
          <w:highlight w:val="none"/>
          <w14:textFill>
            <w14:solidFill>
              <w14:schemeClr w14:val="tx1"/>
            </w14:solidFill>
          </w14:textFill>
        </w:rPr>
        <w:t>主要技术经济指标、成果形式等</w:t>
      </w:r>
      <w:r>
        <w:rPr>
          <w:rFonts w:hint="eastAsia"/>
          <w:color w:val="000000" w:themeColor="text1"/>
          <w:highlight w:val="none"/>
          <w:lang w:eastAsia="zh-CN"/>
          <w14:textFill>
            <w14:solidFill>
              <w14:schemeClr w14:val="tx1"/>
            </w14:solidFill>
          </w14:textFill>
        </w:rPr>
        <w:t>，同时应在方案中明确</w:t>
      </w:r>
      <w:r>
        <w:rPr>
          <w:color w:val="000000" w:themeColor="text1"/>
          <w:highlight w:val="none"/>
          <w14:textFill>
            <w14:solidFill>
              <w14:schemeClr w14:val="tx1"/>
            </w14:solidFill>
          </w14:textFill>
        </w:rPr>
        <w:t>需招标方</w:t>
      </w:r>
      <w:r>
        <w:rPr>
          <w:rFonts w:hint="eastAsia"/>
          <w:color w:val="000000" w:themeColor="text1"/>
          <w:highlight w:val="none"/>
          <w:lang w:eastAsia="zh-CN"/>
          <w14:textFill>
            <w14:solidFill>
              <w14:schemeClr w14:val="tx1"/>
            </w14:solidFill>
          </w14:textFill>
        </w:rPr>
        <w:t>协调</w:t>
      </w:r>
      <w:r>
        <w:rPr>
          <w:color w:val="000000" w:themeColor="text1"/>
          <w:highlight w:val="none"/>
          <w14:textFill>
            <w14:solidFill>
              <w14:schemeClr w14:val="tx1"/>
            </w14:solidFill>
          </w14:textFill>
        </w:rPr>
        <w:t>配合的</w:t>
      </w:r>
      <w:r>
        <w:rPr>
          <w:rFonts w:hint="eastAsia"/>
          <w:color w:val="000000" w:themeColor="text1"/>
          <w:highlight w:val="none"/>
          <w:lang w:eastAsia="zh-CN"/>
          <w14:textFill>
            <w14:solidFill>
              <w14:schemeClr w14:val="tx1"/>
            </w14:solidFill>
          </w14:textFill>
        </w:rPr>
        <w:t>工作。</w:t>
      </w:r>
    </w:p>
    <w:p w14:paraId="7A3024BB">
      <w:pPr>
        <w:numPr>
          <w:ilvl w:val="-1"/>
          <w:numId w:val="0"/>
        </w:numPr>
        <w:spacing w:line="360" w:lineRule="auto"/>
        <w:ind w:firstLine="480" w:firstLineChars="200"/>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（1）本项目因前期已实施并验收部分内容，无中期验收，只包含最终合同验收。</w:t>
      </w:r>
    </w:p>
    <w:p w14:paraId="03D31F76">
      <w:pPr>
        <w:numPr>
          <w:ilvl w:val="-1"/>
          <w:numId w:val="0"/>
        </w:numPr>
        <w:spacing w:line="360" w:lineRule="auto"/>
        <w:ind w:firstLine="480" w:firstLineChars="200"/>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（2）本项目后续功能建设应在原生产运行系统上已建设模块继续拓展和完善，并建立防灾减灾和台账关联机制，实现台账参数自动录入。</w:t>
      </w:r>
    </w:p>
    <w:p w14:paraId="5C0A6DED">
      <w:pPr>
        <w:rPr>
          <w:rFonts w:hint="eastAsia"/>
          <w:highlight w:val="none"/>
          <w:lang w:val="en-US" w:eastAsia="zh-CN"/>
        </w:rPr>
      </w:pPr>
      <w:r>
        <w:rPr>
          <w:rFonts w:hint="eastAsia" w:eastAsia="宋体"/>
          <w:color w:val="000000" w:themeColor="text1"/>
          <w:highlight w:val="none"/>
          <w:lang w:val="en-US" w:eastAsia="zh-CN"/>
          <w14:textFill>
            <w14:solidFill>
              <w14:schemeClr w14:val="tx1"/>
            </w14:solidFill>
          </w14:textFill>
        </w:rPr>
        <w:t>（3）</w:t>
      </w:r>
      <w:r>
        <w:rPr>
          <w:highlight w:val="none"/>
        </w:rPr>
        <w:t>投标方应具备的软件开发资质（如 CMMI3 级及以上）</w:t>
      </w:r>
      <w:r>
        <w:rPr>
          <w:rFonts w:hint="eastAsia"/>
          <w:highlight w:val="none"/>
          <w:lang w:eastAsia="zh-CN"/>
        </w:rPr>
        <w:t>、</w:t>
      </w:r>
      <w:r>
        <w:rPr>
          <w:highlight w:val="none"/>
        </w:rPr>
        <w:t>网络安全服务资质</w:t>
      </w:r>
      <w:r>
        <w:rPr>
          <w:rFonts w:hint="eastAsia"/>
          <w:highlight w:val="none"/>
          <w:lang w:eastAsia="zh-CN"/>
        </w:rPr>
        <w:t>以及</w:t>
      </w:r>
      <w:r>
        <w:rPr>
          <w:highlight w:val="none"/>
        </w:rPr>
        <w:t>电力行业大数据 / 人工智能项目</w:t>
      </w:r>
      <w:r>
        <w:rPr>
          <w:rFonts w:hint="eastAsia"/>
          <w:highlight w:val="none"/>
          <w:lang w:eastAsia="zh-CN"/>
        </w:rPr>
        <w:t>的相关</w:t>
      </w:r>
      <w:r>
        <w:rPr>
          <w:highlight w:val="none"/>
        </w:rPr>
        <w:t>经验要求</w:t>
      </w:r>
      <w:r>
        <w:rPr>
          <w:rFonts w:hint="eastAsia"/>
          <w:highlight w:val="none"/>
          <w:lang w:eastAsia="zh-CN"/>
        </w:rPr>
        <w:t>。</w:t>
      </w:r>
    </w:p>
    <w:p w14:paraId="04F397FF">
      <w:pPr>
        <w:numPr>
          <w:ilvl w:val="-1"/>
          <w:numId w:val="0"/>
        </w:numPr>
        <w:spacing w:line="360" w:lineRule="auto"/>
        <w:ind w:firstLine="480" w:firstLineChars="200"/>
        <w:rPr>
          <w:highlight w:val="none"/>
          <w:lang w:val="en-US" w:eastAsia="zh-CN"/>
        </w:rPr>
      </w:pPr>
      <w:r>
        <w:rPr>
          <w:rFonts w:hint="default"/>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14:textFill>
            <w14:solidFill>
              <w14:schemeClr w14:val="tx1"/>
            </w14:solidFill>
          </w14:textFill>
        </w:rPr>
        <w:t>）</w:t>
      </w:r>
      <w:r>
        <w:rPr>
          <w:rFonts w:hint="eastAsia" w:cs="Times New Roman"/>
          <w:color w:val="auto"/>
          <w:sz w:val="24"/>
          <w:szCs w:val="24"/>
          <w:highlight w:val="none"/>
          <w:lang w:eastAsia="zh-CN"/>
        </w:rPr>
        <w:t>投标方应按照本规范书要求完成项目，项目研究的工具、方法、进度和全过程应在招标方可控的范围之内，并向招标方交付项目相关技术资料，不限于项目实施过程中产生的试验数据、算法、程序、入网安评报告等保测评报告以及相关信息与网络安全文件等。未经招标方书面同意，投标方不得在其他项目中使用上述技术资料，或向任何第三方披露、使用上述技术资料。</w:t>
      </w:r>
    </w:p>
    <w:p w14:paraId="316D72CC">
      <w:pPr>
        <w:numPr>
          <w:ilvl w:val="-1"/>
          <w:numId w:val="0"/>
        </w:numPr>
        <w:spacing w:line="360" w:lineRule="auto"/>
        <w:ind w:firstLine="480" w:firstLineChars="200"/>
        <w:rPr>
          <w:highlight w:val="none"/>
          <w:lang w:val="en-US" w:eastAsia="zh-CN"/>
        </w:rPr>
      </w:pPr>
      <w:r>
        <w:rPr>
          <w:rFonts w:hint="eastAsia"/>
          <w:highlight w:val="none"/>
          <w:lang w:val="en-US" w:eastAsia="zh-CN"/>
        </w:rPr>
        <w:t>（5）投标方需签署</w:t>
      </w:r>
      <w:r>
        <w:rPr>
          <w:highlight w:val="none"/>
        </w:rPr>
        <w:t>数据保密协议</w:t>
      </w:r>
      <w:r>
        <w:rPr>
          <w:rFonts w:hint="eastAsia"/>
          <w:highlight w:val="none"/>
          <w:lang w:eastAsia="zh-CN"/>
        </w:rPr>
        <w:t>，对</w:t>
      </w:r>
      <w:r>
        <w:rPr>
          <w:highlight w:val="none"/>
        </w:rPr>
        <w:t>输电线路台账、点云数据、实时监测数据等南网核心敏感数据</w:t>
      </w:r>
      <w:r>
        <w:rPr>
          <w:rFonts w:hint="eastAsia"/>
          <w:highlight w:val="none"/>
          <w:lang w:eastAsia="zh-CN"/>
        </w:rPr>
        <w:t>，</w:t>
      </w:r>
      <w:r>
        <w:rPr>
          <w:highlight w:val="none"/>
          <w:lang w:val="en-US" w:eastAsia="zh-CN"/>
        </w:rPr>
        <w:t>未经</w:t>
      </w:r>
      <w:r>
        <w:rPr>
          <w:rFonts w:hint="eastAsia"/>
          <w:highlight w:val="none"/>
          <w:lang w:val="en-US" w:eastAsia="zh-CN"/>
        </w:rPr>
        <w:t>招标</w:t>
      </w:r>
      <w:r>
        <w:rPr>
          <w:highlight w:val="none"/>
          <w:lang w:val="en-US" w:eastAsia="zh-CN"/>
        </w:rPr>
        <w:t>方书面同意，</w:t>
      </w:r>
      <w:r>
        <w:rPr>
          <w:rFonts w:hint="eastAsia"/>
          <w:highlight w:val="none"/>
          <w:lang w:val="en-US" w:eastAsia="zh-CN"/>
        </w:rPr>
        <w:t>投标</w:t>
      </w:r>
      <w:r>
        <w:rPr>
          <w:highlight w:val="none"/>
          <w:lang w:val="en-US" w:eastAsia="zh-CN"/>
        </w:rPr>
        <w:t>方不得在其他项目中使用上述技术资料，或向任何第三方披露、使用上述技术资料。</w:t>
      </w:r>
      <w:r>
        <w:rPr>
          <w:rFonts w:hint="eastAsia"/>
          <w:highlight w:val="none"/>
          <w:lang w:val="en-US" w:eastAsia="zh-CN"/>
        </w:rPr>
        <w:t>在项目结束后，需对上述技术资料销毁。</w:t>
      </w:r>
    </w:p>
    <w:p w14:paraId="219E286C">
      <w:pPr>
        <w:numPr>
          <w:ilvl w:val="-1"/>
          <w:numId w:val="0"/>
        </w:numPr>
        <w:spacing w:line="360" w:lineRule="auto"/>
        <w:ind w:firstLine="480" w:firstLineChars="200"/>
        <w:rPr>
          <w:rFonts w:hint="default"/>
          <w:highlight w:val="none"/>
          <w:lang w:val="en-US" w:eastAsia="zh-CN"/>
        </w:rPr>
      </w:pPr>
      <w:r>
        <w:rPr>
          <w:rFonts w:hint="eastAsia"/>
          <w:highlight w:val="none"/>
          <w:lang w:val="en-US" w:eastAsia="zh-CN"/>
        </w:rPr>
        <w:t>（6）投标方需要对项目成果进行入网安评、等保测评等网络安全测评，并提供入网安评报告、等保测评报告以及相关信息与网络安全相关材料。</w:t>
      </w:r>
    </w:p>
    <w:p w14:paraId="0AC42F4D">
      <w:pPr>
        <w:numPr>
          <w:ilvl w:val="-1"/>
          <w:numId w:val="0"/>
        </w:num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）招标方</w:t>
      </w:r>
      <w:r>
        <w:rPr>
          <w:rFonts w:hint="eastAsia" w:cs="Times New Roman"/>
          <w:color w:val="auto"/>
          <w:sz w:val="24"/>
          <w:szCs w:val="24"/>
          <w:highlight w:val="none"/>
          <w:lang w:eastAsia="zh-CN"/>
        </w:rPr>
        <w:t>有权</w:t>
      </w:r>
      <w:r>
        <w:rPr>
          <w:rFonts w:hint="default" w:ascii="Times New Roman" w:hAnsi="Times New Roman" w:eastAsia="宋体" w:cs="Times New Roman"/>
          <w:color w:val="auto"/>
          <w:sz w:val="24"/>
          <w:szCs w:val="24"/>
          <w:highlight w:val="none"/>
        </w:rPr>
        <w:t>指派技术人员组成技术团队参与</w:t>
      </w:r>
      <w:r>
        <w:rPr>
          <w:rFonts w:hint="eastAsia" w:cs="Times New Roman"/>
          <w:color w:val="auto"/>
          <w:sz w:val="24"/>
          <w:szCs w:val="24"/>
          <w:highlight w:val="none"/>
          <w:lang w:eastAsia="zh-CN"/>
        </w:rPr>
        <w:t>项目实施</w:t>
      </w:r>
      <w:r>
        <w:rPr>
          <w:rFonts w:hint="default" w:ascii="Times New Roman" w:hAnsi="Times New Roman" w:eastAsia="宋体" w:cs="Times New Roman"/>
          <w:color w:val="auto"/>
          <w:sz w:val="24"/>
          <w:szCs w:val="24"/>
          <w:highlight w:val="none"/>
        </w:rPr>
        <w:t>。投标方应指派本单位主要技术负责人配合招标方技术团队的工作。</w:t>
      </w:r>
    </w:p>
    <w:p w14:paraId="49CFFCDF">
      <w:pPr>
        <w:numPr>
          <w:ilvl w:val="-1"/>
          <w:numId w:val="0"/>
        </w:num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）招标方技术团队有权对投标方</w:t>
      </w:r>
      <w:r>
        <w:rPr>
          <w:rFonts w:hint="eastAsia" w:cs="Times New Roman"/>
          <w:color w:val="auto"/>
          <w:sz w:val="24"/>
          <w:szCs w:val="24"/>
          <w:highlight w:val="none"/>
          <w:lang w:eastAsia="zh-CN"/>
        </w:rPr>
        <w:t>项目实施</w:t>
      </w:r>
      <w:r>
        <w:rPr>
          <w:rFonts w:hint="default" w:ascii="Times New Roman" w:hAnsi="Times New Roman" w:eastAsia="宋体" w:cs="Times New Roman"/>
          <w:color w:val="auto"/>
          <w:sz w:val="24"/>
          <w:szCs w:val="24"/>
          <w:highlight w:val="none"/>
        </w:rPr>
        <w:t>过程进行检查监督，有权参与设</w:t>
      </w:r>
      <w:r>
        <w:rPr>
          <w:rFonts w:hint="eastAsia" w:cs="Times New Roman"/>
          <w:color w:val="auto"/>
          <w:sz w:val="24"/>
          <w:szCs w:val="24"/>
          <w:highlight w:val="none"/>
          <w:lang w:eastAsia="zh-CN"/>
        </w:rPr>
        <w:t>技术路</w:t>
      </w:r>
      <w:r>
        <w:rPr>
          <w:rFonts w:hint="eastAsia" w:ascii="Times New Roman" w:hAnsi="Times New Roman" w:eastAsia="宋体" w:cs="Times New Roman"/>
          <w:color w:val="auto"/>
          <w:sz w:val="24"/>
          <w:szCs w:val="24"/>
          <w:highlight w:val="none"/>
          <w:lang w:eastAsia="zh-CN"/>
        </w:rPr>
        <w:t>线选用、</w:t>
      </w:r>
      <w:r>
        <w:rPr>
          <w:rFonts w:hint="default" w:ascii="Times New Roman" w:hAnsi="Times New Roman" w:eastAsia="宋体" w:cs="Times New Roman"/>
          <w:color w:val="auto"/>
          <w:sz w:val="24"/>
          <w:szCs w:val="24"/>
          <w:highlight w:val="none"/>
        </w:rPr>
        <w:t>备图纸设计</w:t>
      </w:r>
      <w:r>
        <w:rPr>
          <w:rFonts w:hint="eastAsia" w:ascii="Times New Roman" w:hAnsi="Times New Roman" w:eastAsia="宋体" w:cs="Times New Roman"/>
          <w:color w:val="auto"/>
          <w:sz w:val="24"/>
          <w:szCs w:val="24"/>
          <w:highlight w:val="none"/>
          <w:lang w:eastAsia="zh-CN"/>
        </w:rPr>
        <w:t>和</w:t>
      </w:r>
      <w:r>
        <w:rPr>
          <w:rFonts w:hint="default" w:ascii="Times New Roman" w:hAnsi="Times New Roman" w:eastAsia="宋体" w:cs="Times New Roman"/>
          <w:color w:val="auto"/>
          <w:sz w:val="24"/>
          <w:szCs w:val="24"/>
          <w:highlight w:val="none"/>
        </w:rPr>
        <w:t>审核、主要原材料选用、重大技术变更等技术环节工作。投标方应在主要</w:t>
      </w:r>
      <w:r>
        <w:rPr>
          <w:rFonts w:hint="eastAsia"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技术节点通知招标方技术团队参与。</w:t>
      </w:r>
    </w:p>
    <w:p w14:paraId="18816FF1">
      <w:pPr>
        <w:numPr>
          <w:ilvl w:val="-1"/>
          <w:numId w:val="0"/>
        </w:numPr>
        <w:spacing w:line="360" w:lineRule="auto"/>
        <w:ind w:firstLine="480" w:firstLineChars="20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rPr>
        <w:t>）投标方承担至少1次专家讨论会的会议费、专家咨询费、专家差旅费等相关费用，并根据招标方要求承担相关会务工作。</w:t>
      </w:r>
    </w:p>
    <w:p w14:paraId="68A1CBE3">
      <w:pPr>
        <w:pStyle w:val="2"/>
        <w:spacing w:before="312" w:after="156"/>
        <w:rPr>
          <w:color w:val="000000" w:themeColor="text1"/>
          <w:highlight w:val="none"/>
          <w14:textFill>
            <w14:solidFill>
              <w14:schemeClr w14:val="tx1"/>
            </w14:solidFill>
          </w14:textFill>
        </w:rPr>
      </w:pPr>
      <w:bookmarkStart w:id="24" w:name="_Toc441483966"/>
      <w:bookmarkStart w:id="25" w:name="_Toc531004212"/>
      <w:bookmarkStart w:id="26" w:name="_Toc531004266"/>
      <w:r>
        <w:rPr>
          <w:color w:val="000000" w:themeColor="text1"/>
          <w:highlight w:val="none"/>
          <w14:textFill>
            <w14:solidFill>
              <w14:schemeClr w14:val="tx1"/>
            </w14:solidFill>
          </w14:textFill>
        </w:rPr>
        <w:t>引用标准</w:t>
      </w:r>
      <w:bookmarkEnd w:id="24"/>
      <w:bookmarkEnd w:id="25"/>
      <w:bookmarkEnd w:id="26"/>
    </w:p>
    <w:p w14:paraId="5C525A2A">
      <w:pPr>
        <w:ind w:left="7" w:leftChars="3" w:firstLine="480"/>
        <w:rPr>
          <w:color w:val="auto"/>
          <w:highlight w:val="none"/>
        </w:rPr>
      </w:pPr>
      <w:r>
        <w:rPr>
          <w:rFonts w:hint="eastAsia"/>
          <w:color w:val="000000" w:themeColor="text1"/>
          <w:highlight w:val="none"/>
          <w14:textFill>
            <w14:solidFill>
              <w14:schemeClr w14:val="tx1"/>
            </w14:solidFill>
          </w14:textFill>
        </w:rPr>
        <w:t>项目研究过程及成果须满足IEC标准、国家行业标准、南方电网企业标准（规范）。若已颁布的相关技术标准或规范被修订，使用本技术规范书的各方应探</w:t>
      </w:r>
      <w:r>
        <w:rPr>
          <w:rFonts w:hint="eastAsia"/>
          <w:color w:val="auto"/>
          <w:highlight w:val="none"/>
        </w:rPr>
        <w:t>讨使用最新版本的可能性。</w:t>
      </w:r>
    </w:p>
    <w:p w14:paraId="4446367A">
      <w:pPr>
        <w:ind w:left="7" w:leftChars="3" w:firstLine="480"/>
        <w:rPr>
          <w:rFonts w:hint="eastAsia"/>
          <w:color w:val="auto"/>
          <w:highlight w:val="none"/>
        </w:rPr>
      </w:pPr>
      <w:r>
        <w:rPr>
          <w:rFonts w:hint="eastAsia"/>
          <w:color w:val="auto"/>
          <w:highlight w:val="none"/>
        </w:rPr>
        <w:t>本项目实施过程中所应用到的各种标准，由投标方推荐，经招标方确认后由投标方提供并在项目中使用。</w:t>
      </w:r>
    </w:p>
    <w:p w14:paraId="0E9A20A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jc w:val="both"/>
        <w:textAlignment w:val="auto"/>
        <w:rPr>
          <w:rFonts w:hint="eastAsia"/>
          <w:color w:val="auto"/>
          <w:sz w:val="24"/>
          <w:highlight w:val="none"/>
        </w:rPr>
      </w:pPr>
      <w:r>
        <w:rPr>
          <w:rFonts w:hint="eastAsia"/>
          <w:color w:val="auto"/>
          <w:sz w:val="24"/>
          <w:highlight w:val="none"/>
        </w:rPr>
        <w:t>推荐使用但不限于以下标准：</w:t>
      </w:r>
    </w:p>
    <w:p w14:paraId="6768E56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jc w:val="both"/>
        <w:textAlignment w:val="auto"/>
        <w:rPr>
          <w:rFonts w:hint="eastAsia"/>
          <w:color w:val="auto"/>
          <w:sz w:val="24"/>
          <w:highlight w:val="none"/>
        </w:rPr>
      </w:pPr>
      <w:r>
        <w:rPr>
          <w:rFonts w:hint="eastAsia"/>
          <w:color w:val="auto"/>
          <w:sz w:val="24"/>
          <w:highlight w:val="none"/>
        </w:rPr>
        <w:t>DL/T 741</w:t>
      </w:r>
      <w:r>
        <w:rPr>
          <w:rFonts w:hint="eastAsia"/>
          <w:color w:val="auto"/>
          <w:sz w:val="24"/>
          <w:highlight w:val="none"/>
          <w:lang w:eastAsia="zh-CN"/>
        </w:rPr>
        <w:t>《</w:t>
      </w:r>
      <w:r>
        <w:rPr>
          <w:rFonts w:hint="eastAsia"/>
          <w:color w:val="auto"/>
          <w:sz w:val="24"/>
          <w:highlight w:val="none"/>
        </w:rPr>
        <w:t>架空输电线路运行规程</w:t>
      </w:r>
      <w:r>
        <w:rPr>
          <w:rFonts w:hint="eastAsia"/>
          <w:color w:val="auto"/>
          <w:sz w:val="24"/>
          <w:highlight w:val="none"/>
          <w:lang w:eastAsia="zh-CN"/>
        </w:rPr>
        <w:t>》</w:t>
      </w:r>
    </w:p>
    <w:p w14:paraId="187866D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jc w:val="both"/>
        <w:textAlignment w:val="auto"/>
        <w:rPr>
          <w:rFonts w:hint="eastAsia"/>
          <w:color w:val="auto"/>
          <w:sz w:val="24"/>
          <w:highlight w:val="none"/>
          <w:lang w:eastAsia="zh-CN"/>
        </w:rPr>
      </w:pPr>
      <w:r>
        <w:rPr>
          <w:rFonts w:hint="eastAsia"/>
          <w:color w:val="auto"/>
          <w:sz w:val="24"/>
          <w:highlight w:val="none"/>
        </w:rPr>
        <w:t>GB 50545</w:t>
      </w:r>
      <w:r>
        <w:rPr>
          <w:rFonts w:hint="eastAsia"/>
          <w:color w:val="auto"/>
          <w:sz w:val="24"/>
          <w:highlight w:val="none"/>
          <w:lang w:eastAsia="zh-CN"/>
        </w:rPr>
        <w:t>《</w:t>
      </w:r>
      <w:r>
        <w:rPr>
          <w:rFonts w:hint="eastAsia"/>
          <w:color w:val="auto"/>
          <w:sz w:val="24"/>
          <w:highlight w:val="none"/>
        </w:rPr>
        <w:t>110kV～750kV架空输电线路设计规范</w:t>
      </w:r>
      <w:r>
        <w:rPr>
          <w:rFonts w:hint="eastAsia"/>
          <w:color w:val="auto"/>
          <w:sz w:val="24"/>
          <w:highlight w:val="none"/>
          <w:lang w:eastAsia="zh-CN"/>
        </w:rPr>
        <w:t>》</w:t>
      </w:r>
    </w:p>
    <w:p w14:paraId="7262BF5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jc w:val="both"/>
        <w:textAlignment w:val="auto"/>
        <w:rPr>
          <w:highlight w:val="none"/>
        </w:rPr>
      </w:pPr>
      <w:r>
        <w:rPr>
          <w:highlight w:val="none"/>
        </w:rPr>
        <w:t>Q/CSG 1207002-2024《南方电网公司网络安全管理办法》</w:t>
      </w:r>
    </w:p>
    <w:p w14:paraId="357E76E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jc w:val="both"/>
        <w:textAlignment w:val="auto"/>
        <w:rPr>
          <w:highlight w:val="none"/>
        </w:rPr>
      </w:pPr>
      <w:r>
        <w:rPr>
          <w:highlight w:val="none"/>
        </w:rPr>
        <w:t>Q/CSG 1207003-2024《南方电网公司数据安全管理办法》</w:t>
      </w:r>
    </w:p>
    <w:p w14:paraId="7EE278D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jc w:val="both"/>
        <w:textAlignment w:val="auto"/>
        <w:rPr>
          <w:rFonts w:hint="eastAsia" w:eastAsia="宋体"/>
          <w:highlight w:val="none"/>
          <w:lang w:val="en-US" w:eastAsia="zh-CN"/>
        </w:rPr>
      </w:pPr>
      <w:r>
        <w:rPr>
          <w:highlight w:val="none"/>
        </w:rPr>
        <w:t>GB/T 22239-2019《信息安全技术 网络安全等级保护基本要求</w:t>
      </w:r>
      <w:r>
        <w:rPr>
          <w:rFonts w:hint="eastAsia"/>
          <w:highlight w:val="none"/>
          <w:lang w:eastAsia="zh-CN"/>
        </w:rPr>
        <w:t>》</w:t>
      </w:r>
    </w:p>
    <w:p w14:paraId="0AEB1BC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0"/>
        <w:jc w:val="both"/>
        <w:textAlignment w:val="auto"/>
        <w:rPr>
          <w:rFonts w:hint="eastAsia"/>
          <w:highlight w:val="none"/>
          <w:lang w:val="en-US" w:eastAsia="zh-CN"/>
        </w:rPr>
      </w:pPr>
      <w:r>
        <w:rPr>
          <w:highlight w:val="none"/>
        </w:rPr>
        <w:t>Q/CSG 1207015-2024《南方电网公司人工智能应用安全管理规范》</w:t>
      </w:r>
    </w:p>
    <w:bookmarkEnd w:id="16"/>
    <w:bookmarkEnd w:id="17"/>
    <w:bookmarkEnd w:id="18"/>
    <w:bookmarkEnd w:id="19"/>
    <w:bookmarkEnd w:id="20"/>
    <w:p w14:paraId="076C2DFA">
      <w:pPr>
        <w:pStyle w:val="2"/>
        <w:spacing w:before="312" w:after="156"/>
        <w:rPr>
          <w:color w:val="000000" w:themeColor="text1"/>
          <w:highlight w:val="none"/>
          <w14:textFill>
            <w14:solidFill>
              <w14:schemeClr w14:val="tx1"/>
            </w14:solidFill>
          </w14:textFill>
        </w:rPr>
      </w:pPr>
      <w:bookmarkStart w:id="27" w:name="_Toc531004267"/>
      <w:bookmarkStart w:id="28" w:name="_Toc309593198"/>
      <w:bookmarkStart w:id="29" w:name="_Toc309805593"/>
      <w:bookmarkStart w:id="30" w:name="_Toc531004213"/>
      <w:bookmarkStart w:id="31" w:name="_Toc309593269"/>
      <w:bookmarkStart w:id="32" w:name="_Toc307213989"/>
      <w:bookmarkStart w:id="33" w:name="_Toc312827029"/>
      <w:bookmarkStart w:id="34" w:name="_Toc441483967"/>
      <w:r>
        <w:rPr>
          <w:color w:val="000000" w:themeColor="text1"/>
          <w:highlight w:val="none"/>
          <w14:textFill>
            <w14:solidFill>
              <w14:schemeClr w14:val="tx1"/>
            </w14:solidFill>
          </w14:textFill>
        </w:rPr>
        <w:t>技术要求</w:t>
      </w:r>
      <w:bookmarkEnd w:id="27"/>
      <w:bookmarkEnd w:id="28"/>
      <w:bookmarkEnd w:id="29"/>
      <w:bookmarkEnd w:id="30"/>
      <w:bookmarkEnd w:id="31"/>
      <w:bookmarkEnd w:id="32"/>
      <w:bookmarkEnd w:id="33"/>
      <w:bookmarkEnd w:id="34"/>
    </w:p>
    <w:p w14:paraId="534CC991">
      <w:pPr>
        <w:pStyle w:val="23"/>
        <w:spacing w:before="156" w:after="156"/>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项目服务内容要求</w:t>
      </w:r>
    </w:p>
    <w:p w14:paraId="5F0BB72B">
      <w:pPr>
        <w:tabs>
          <w:tab w:val="left" w:pos="851"/>
        </w:tabs>
        <w:ind w:firstLine="480"/>
        <w:rPr>
          <w:rFonts w:hint="eastAsia"/>
          <w:b/>
          <w:bCs/>
          <w:color w:val="auto"/>
          <w:highlight w:val="none"/>
        </w:rPr>
      </w:pPr>
      <w:r>
        <w:rPr>
          <w:rFonts w:hint="eastAsia"/>
          <w:b/>
          <w:bCs/>
          <w:color w:val="auto"/>
          <w:highlight w:val="none"/>
        </w:rPr>
        <w:t>（1）台风综合影响分析算法研究</w:t>
      </w:r>
      <w:r>
        <w:rPr>
          <w:rFonts w:hint="eastAsia"/>
          <w:b/>
          <w:bCs/>
          <w:color w:val="auto"/>
          <w:highlight w:val="none"/>
          <w:lang w:eastAsia="zh-CN"/>
        </w:rPr>
        <w:t>。</w:t>
      </w:r>
    </w:p>
    <w:p w14:paraId="381727E3">
      <w:pPr>
        <w:adjustRightInd w:val="0"/>
        <w:snapToGrid w:val="0"/>
        <w:spacing w:before="120" w:beforeLines="50" w:line="360" w:lineRule="auto"/>
        <w:ind w:firstLine="480" w:firstLineChars="200"/>
        <w:rPr>
          <w:rFonts w:hint="default" w:hAnsi="宋体" w:eastAsia="宋体"/>
          <w:color w:val="auto"/>
          <w:sz w:val="24"/>
          <w:highlight w:val="none"/>
          <w:lang w:val="en-US" w:eastAsia="zh-CN"/>
        </w:rPr>
      </w:pPr>
      <w:r>
        <w:rPr>
          <w:rFonts w:hint="eastAsia" w:hAnsi="宋体"/>
          <w:color w:val="auto"/>
          <w:sz w:val="24"/>
          <w:highlight w:val="none"/>
        </w:rPr>
        <w:t>基于前期已完成的台风综合影响分析算法研究成果，进一步实现算法与设备台账、地理信息、传感器、点云数据、实时气象数据的自动关联与集成部署，支撑试点应用与验证优化。验收时，台风风险预警准确率须达到100%，单次模型响应时间不大于5秒。研究海量数据处理与特征工程大数据技术，评估台风影响线路范围和程度，实现多源数据融合的实时台风隐患精准评估</w:t>
      </w:r>
      <w:r>
        <w:rPr>
          <w:rFonts w:hint="eastAsia" w:hAnsi="宋体"/>
          <w:color w:val="auto"/>
          <w:sz w:val="24"/>
          <w:highlight w:val="none"/>
          <w:lang w:eastAsia="zh-CN"/>
        </w:rPr>
        <w:t>。</w:t>
      </w:r>
    </w:p>
    <w:p w14:paraId="03D5FDAB">
      <w:pPr>
        <w:adjustRightInd w:val="0"/>
        <w:snapToGrid w:val="0"/>
        <w:spacing w:line="360" w:lineRule="auto"/>
        <w:ind w:firstLine="480" w:firstLineChars="200"/>
        <w:rPr>
          <w:rFonts w:hint="eastAsia" w:hAnsi="宋体"/>
          <w:color w:val="auto"/>
          <w:sz w:val="24"/>
          <w:highlight w:val="none"/>
        </w:rPr>
      </w:pPr>
      <w:r>
        <w:rPr>
          <w:rFonts w:hint="eastAsia" w:hAnsi="宋体"/>
          <w:color w:val="auto"/>
          <w:sz w:val="24"/>
          <w:highlight w:val="none"/>
          <w:lang w:val="en-US" w:eastAsia="zh-CN"/>
        </w:rPr>
        <w:t>1）</w:t>
      </w:r>
      <w:r>
        <w:rPr>
          <w:rFonts w:hint="eastAsia" w:hAnsi="宋体"/>
          <w:color w:val="auto"/>
          <w:sz w:val="24"/>
          <w:highlight w:val="none"/>
        </w:rPr>
        <w:t>基于输电线路点云、南网风区分布图、实时风速、风向、移速、气压、风圈强度等级、高程、坡度、坡向、人口密度、线路重要交叉跨越、线路电压等级等特征，即综合考虑线路重要度、台风特征和环境因素，研究上述因素台风影响范围和线路范围之间的关联性，进行各因素的定性和定量分析</w:t>
      </w:r>
      <w:r>
        <w:rPr>
          <w:rFonts w:hAnsi="宋体"/>
          <w:color w:val="auto"/>
          <w:sz w:val="24"/>
          <w:highlight w:val="none"/>
        </w:rPr>
        <w:t>；</w:t>
      </w:r>
    </w:p>
    <w:p w14:paraId="44F90319">
      <w:pPr>
        <w:adjustRightInd w:val="0"/>
        <w:snapToGrid w:val="0"/>
        <w:spacing w:line="360" w:lineRule="auto"/>
        <w:ind w:firstLine="480" w:firstLineChars="200"/>
        <w:rPr>
          <w:rFonts w:hint="eastAsia" w:hAnsi="宋体"/>
          <w:color w:val="auto"/>
          <w:sz w:val="24"/>
          <w:highlight w:val="none"/>
        </w:rPr>
      </w:pPr>
      <w:r>
        <w:rPr>
          <w:rFonts w:hint="eastAsia" w:hAnsi="宋体"/>
          <w:color w:val="auto"/>
          <w:sz w:val="24"/>
          <w:highlight w:val="none"/>
          <w:lang w:val="en-US" w:eastAsia="zh-CN"/>
        </w:rPr>
        <w:t>2）研究海量气象时序数据处理技术与特征提取技术如提取风速、温度季节因子、周因子、稳定性因子等、研究统计学LR、ARIMA、SARIMA等模型，对比机器学习XGBoost、RF等模型，评估台风影响线路的范围和程度，建立大数据实时动态台风风险预警模型，并使用案例对模型进行验证分析，将时间序列预测、特征工程、深度神经网络等领域前沿学术成果应用于输电线路台风综合影响分析场景。</w:t>
      </w:r>
    </w:p>
    <w:p w14:paraId="5E41BFA0">
      <w:pPr>
        <w:numPr>
          <w:ilvl w:val="0"/>
          <w:numId w:val="3"/>
        </w:numPr>
        <w:tabs>
          <w:tab w:val="left" w:pos="851"/>
        </w:tabs>
        <w:ind w:firstLine="480"/>
        <w:rPr>
          <w:rFonts w:hint="eastAsia"/>
          <w:color w:val="auto"/>
          <w:highlight w:val="none"/>
        </w:rPr>
      </w:pPr>
      <w:r>
        <w:rPr>
          <w:rFonts w:hint="eastAsia" w:hAnsi="宋体"/>
          <w:b/>
          <w:bCs/>
          <w:color w:val="auto"/>
          <w:sz w:val="24"/>
          <w:highlight w:val="none"/>
        </w:rPr>
        <w:t>山火综合影响分析算法研究</w:t>
      </w:r>
    </w:p>
    <w:p w14:paraId="2FDCC12C">
      <w:pPr>
        <w:adjustRightInd w:val="0"/>
        <w:snapToGrid w:val="0"/>
        <w:spacing w:before="120" w:beforeLines="50" w:line="360" w:lineRule="auto"/>
        <w:ind w:firstLine="420"/>
        <w:rPr>
          <w:rFonts w:hint="eastAsia" w:hAnsi="宋体" w:eastAsia="宋体"/>
          <w:color w:val="auto"/>
          <w:sz w:val="24"/>
          <w:highlight w:val="none"/>
          <w:lang w:eastAsia="zh-CN"/>
        </w:rPr>
      </w:pPr>
      <w:r>
        <w:rPr>
          <w:rFonts w:hint="eastAsia" w:hAnsi="宋体"/>
          <w:color w:val="auto"/>
          <w:sz w:val="24"/>
          <w:highlight w:val="none"/>
        </w:rPr>
        <w:t>基于前期已完成的山火综合影响分析算法研究成果，进一步实现算法与设备台账、地理信息、传感器、点云数据、实时气象数据的自动关联与集成部署，支撑试点应用与验证优化。验收时，山火自动分析告警准确率须达到100%，单次模型响应时间不大于5秒。研究海量数据处理与特征工程大数据技术，评估山火影响线路范围和程度，实现多源数据融合的实时山火隐患精准评估</w:t>
      </w:r>
      <w:r>
        <w:rPr>
          <w:rFonts w:hint="eastAsia" w:hAnsi="宋体"/>
          <w:b/>
          <w:bCs/>
          <w:color w:val="auto"/>
          <w:sz w:val="24"/>
          <w:highlight w:val="none"/>
          <w:lang w:val="en-US" w:eastAsia="zh-CN"/>
        </w:rPr>
        <w:t>。</w:t>
      </w:r>
    </w:p>
    <w:p w14:paraId="7518CDE8">
      <w:pPr>
        <w:adjustRightInd w:val="0"/>
        <w:snapToGrid w:val="0"/>
        <w:spacing w:line="360" w:lineRule="auto"/>
        <w:ind w:firstLine="420"/>
        <w:rPr>
          <w:rFonts w:hint="eastAsia" w:hAnsi="宋体"/>
          <w:color w:val="auto"/>
          <w:sz w:val="24"/>
          <w:highlight w:val="none"/>
        </w:rPr>
      </w:pPr>
      <w:r>
        <w:rPr>
          <w:rFonts w:hint="eastAsia" w:hAnsi="宋体"/>
          <w:color w:val="auto"/>
          <w:sz w:val="24"/>
          <w:highlight w:val="none"/>
          <w:lang w:val="en-US" w:eastAsia="zh-CN"/>
        </w:rPr>
        <w:t>1）</w:t>
      </w:r>
      <w:r>
        <w:rPr>
          <w:rFonts w:hint="eastAsia" w:hAnsi="宋体"/>
          <w:color w:val="auto"/>
          <w:sz w:val="24"/>
          <w:highlight w:val="none"/>
        </w:rPr>
        <w:t>基于输电线路点云、南网山火分布图、实时时段温度、降水量、风速、风向、湿度、海拔、坡度、坡向、南网五省铁路、高速、重要公路、可燃物载量、人口密度、国民生产总值、NDVI、历史和实时卫星火点等数据，结合线路属性如电压等级，重要交叉跨越位置、历史山火跳闸等信息，研究海量卫星山火热点和实时气象处理技术与特征提取、特征衍生技术如对分类变量的编码技术，评估所提取特征对模型的贡献度</w:t>
      </w:r>
      <w:r>
        <w:rPr>
          <w:rFonts w:hAnsi="宋体"/>
          <w:color w:val="auto"/>
          <w:sz w:val="24"/>
          <w:highlight w:val="none"/>
        </w:rPr>
        <w:t>；</w:t>
      </w:r>
    </w:p>
    <w:p w14:paraId="128DD624">
      <w:pPr>
        <w:adjustRightInd w:val="0"/>
        <w:snapToGrid w:val="0"/>
        <w:spacing w:line="360" w:lineRule="auto"/>
        <w:ind w:firstLine="480" w:firstLineChars="200"/>
        <w:rPr>
          <w:rFonts w:hint="eastAsia" w:hAnsi="宋体"/>
          <w:color w:val="auto"/>
          <w:sz w:val="24"/>
          <w:highlight w:val="none"/>
          <w:lang w:eastAsia="zh-CN"/>
        </w:rPr>
      </w:pPr>
      <w:r>
        <w:rPr>
          <w:rFonts w:hint="eastAsia" w:hAnsi="宋体"/>
          <w:color w:val="auto"/>
          <w:sz w:val="24"/>
          <w:highlight w:val="none"/>
          <w:lang w:val="en-US" w:eastAsia="zh-CN"/>
        </w:rPr>
        <w:t>2）</w:t>
      </w:r>
      <w:r>
        <w:rPr>
          <w:rFonts w:hint="eastAsia" w:hAnsi="宋体"/>
          <w:color w:val="auto"/>
          <w:sz w:val="24"/>
          <w:highlight w:val="none"/>
        </w:rPr>
        <w:t>研究复杂系统，提升学习理论，建立大数据实时动态山火自动分析告警模型，并使用历史山火跳闸数据和卫星山火热点对模型进行验证分析，将集成学习、特征衍生、深度神经网络等领域前沿学术成果应用于山火综合影响分析场景</w:t>
      </w:r>
      <w:r>
        <w:rPr>
          <w:rFonts w:hint="eastAsia" w:hAnsi="宋体"/>
          <w:color w:val="auto"/>
          <w:sz w:val="24"/>
          <w:highlight w:val="none"/>
          <w:lang w:eastAsia="zh-CN"/>
        </w:rPr>
        <w:t>。</w:t>
      </w:r>
    </w:p>
    <w:p w14:paraId="5357AC0E">
      <w:pPr>
        <w:numPr>
          <w:ilvl w:val="0"/>
          <w:numId w:val="3"/>
        </w:numPr>
        <w:tabs>
          <w:tab w:val="left" w:pos="851"/>
        </w:tabs>
        <w:ind w:firstLine="480"/>
        <w:rPr>
          <w:rFonts w:hint="eastAsia"/>
          <w:color w:val="auto"/>
          <w:highlight w:val="none"/>
        </w:rPr>
      </w:pPr>
      <w:r>
        <w:rPr>
          <w:rFonts w:hint="eastAsia" w:hAnsi="宋体"/>
          <w:b/>
          <w:bCs/>
          <w:color w:val="auto"/>
          <w:sz w:val="24"/>
          <w:highlight w:val="none"/>
        </w:rPr>
        <w:t>地质灾害综合影响分析算法研究</w:t>
      </w:r>
    </w:p>
    <w:p w14:paraId="13DE91E6">
      <w:pPr>
        <w:adjustRightInd w:val="0"/>
        <w:snapToGrid w:val="0"/>
        <w:spacing w:before="120" w:beforeLines="50" w:line="360" w:lineRule="auto"/>
        <w:ind w:firstLine="420"/>
        <w:rPr>
          <w:rFonts w:hint="eastAsia" w:hAnsi="宋体" w:eastAsia="宋体"/>
          <w:color w:val="auto"/>
          <w:sz w:val="24"/>
          <w:highlight w:val="none"/>
          <w:lang w:eastAsia="zh-CN"/>
        </w:rPr>
      </w:pPr>
      <w:r>
        <w:rPr>
          <w:rFonts w:hint="eastAsia" w:hAnsi="宋体"/>
          <w:color w:val="auto"/>
          <w:sz w:val="24"/>
          <w:highlight w:val="none"/>
        </w:rPr>
        <w:t>基于前期已完成的地质灾害综合影响分析算法研究成果，进一步实现算法与设备台账、地理信息、传感器、点云数据、实时气象数据的自动关联与集成部署，支撑试点应用与验证优化。验收时，地质灾害预警准确率须达到100%，单次模型响应时间不大于5秒。研究海量数据处理与特征工程大数据技术，评估地质灾害影响线路范围和程度，实现多源数据融合的实时地质灾害隐患精准评估</w:t>
      </w:r>
      <w:r>
        <w:rPr>
          <w:rFonts w:hint="eastAsia" w:hAnsi="宋体"/>
          <w:b/>
          <w:bCs/>
          <w:color w:val="auto"/>
          <w:sz w:val="24"/>
          <w:highlight w:val="none"/>
          <w:lang w:val="en-US" w:eastAsia="zh-CN"/>
        </w:rPr>
        <w:t>。</w:t>
      </w:r>
    </w:p>
    <w:p w14:paraId="4F102031">
      <w:pPr>
        <w:adjustRightInd w:val="0"/>
        <w:snapToGrid w:val="0"/>
        <w:spacing w:line="360" w:lineRule="auto"/>
        <w:ind w:firstLine="420"/>
        <w:rPr>
          <w:rFonts w:hint="eastAsia" w:hAnsi="宋体"/>
          <w:color w:val="auto"/>
          <w:sz w:val="24"/>
          <w:highlight w:val="none"/>
        </w:rPr>
      </w:pPr>
      <w:r>
        <w:rPr>
          <w:rFonts w:hint="eastAsia" w:hAnsi="宋体"/>
          <w:color w:val="auto"/>
          <w:sz w:val="24"/>
          <w:highlight w:val="none"/>
          <w:lang w:val="en-US" w:eastAsia="zh-CN"/>
        </w:rPr>
        <w:t>1）</w:t>
      </w:r>
      <w:r>
        <w:rPr>
          <w:rFonts w:hint="eastAsia" w:hAnsi="宋体"/>
          <w:color w:val="auto"/>
          <w:sz w:val="24"/>
          <w:highlight w:val="none"/>
        </w:rPr>
        <w:t>基于输电线路点云、地质灾害分布图、实时杆塔监测及地质灾害监测数据如倾斜度、杆塔偏移量、时段降水量、湿度、风速、风向、湿度、海拔、坡度、坡向等数据，结合线路属性如重要交叉跨越位置、周围铁路、高速、重要公路等信息，研究相关数据处理技术与特征提取与时序数据异常值检测技术、建立地质灾害点风险评估模型</w:t>
      </w:r>
      <w:r>
        <w:rPr>
          <w:rFonts w:hAnsi="宋体"/>
          <w:color w:val="auto"/>
          <w:sz w:val="24"/>
          <w:highlight w:val="none"/>
        </w:rPr>
        <w:t>；</w:t>
      </w:r>
    </w:p>
    <w:p w14:paraId="27A40E46">
      <w:pPr>
        <w:adjustRightInd w:val="0"/>
        <w:snapToGrid w:val="0"/>
        <w:spacing w:line="360" w:lineRule="auto"/>
        <w:ind w:firstLine="480" w:firstLineChars="200"/>
        <w:rPr>
          <w:rFonts w:hint="eastAsia" w:hAnsi="宋体"/>
          <w:color w:val="auto"/>
          <w:sz w:val="24"/>
          <w:highlight w:val="none"/>
          <w:lang w:eastAsia="zh-CN"/>
        </w:rPr>
      </w:pPr>
      <w:r>
        <w:rPr>
          <w:rFonts w:hint="eastAsia" w:hAnsi="宋体"/>
          <w:color w:val="auto"/>
          <w:sz w:val="24"/>
          <w:highlight w:val="none"/>
          <w:lang w:val="en-US" w:eastAsia="zh-CN"/>
        </w:rPr>
        <w:t>2）</w:t>
      </w:r>
      <w:r>
        <w:rPr>
          <w:rFonts w:hint="eastAsia" w:hAnsi="宋体"/>
          <w:color w:val="auto"/>
          <w:sz w:val="24"/>
          <w:highlight w:val="none"/>
        </w:rPr>
        <w:t>在真实边坡灾害点数据上对比传统统计分析模型、机器学习模型和深度神经网络模型的评估效果，实现边坡自动分析，大数据实时动态地质灾害预警模型，使用历史地质灾害点对模型进行验证，异常值检验、模式识别等领域前沿学术成果应用于地质灾害综合影响分析场景</w:t>
      </w:r>
      <w:r>
        <w:rPr>
          <w:rFonts w:hint="eastAsia" w:hAnsi="宋体"/>
          <w:color w:val="auto"/>
          <w:sz w:val="24"/>
          <w:highlight w:val="none"/>
          <w:lang w:eastAsia="zh-CN"/>
        </w:rPr>
        <w:t>。</w:t>
      </w:r>
    </w:p>
    <w:p w14:paraId="4ED7F3EC">
      <w:pPr>
        <w:numPr>
          <w:ilvl w:val="0"/>
          <w:numId w:val="3"/>
        </w:numPr>
        <w:tabs>
          <w:tab w:val="left" w:pos="851"/>
        </w:tabs>
        <w:ind w:firstLine="480"/>
        <w:rPr>
          <w:rFonts w:hint="eastAsia"/>
          <w:color w:val="auto"/>
          <w:highlight w:val="none"/>
        </w:rPr>
      </w:pPr>
      <w:r>
        <w:rPr>
          <w:rFonts w:hint="eastAsia" w:hAnsi="宋体"/>
          <w:b/>
          <w:bCs/>
          <w:color w:val="auto"/>
          <w:sz w:val="24"/>
          <w:highlight w:val="none"/>
        </w:rPr>
        <w:t>风偏综合影响分析算法研究</w:t>
      </w:r>
    </w:p>
    <w:p w14:paraId="5FB0152F">
      <w:pPr>
        <w:adjustRightInd w:val="0"/>
        <w:snapToGrid w:val="0"/>
        <w:spacing w:before="120" w:beforeLines="50" w:line="360" w:lineRule="auto"/>
        <w:ind w:firstLine="420"/>
        <w:rPr>
          <w:rFonts w:hint="eastAsia" w:hAnsi="宋体" w:eastAsia="宋体"/>
          <w:color w:val="auto"/>
          <w:sz w:val="24"/>
          <w:highlight w:val="none"/>
          <w:lang w:eastAsia="zh-CN"/>
        </w:rPr>
      </w:pPr>
      <w:r>
        <w:rPr>
          <w:rFonts w:hint="eastAsia" w:hAnsi="宋体"/>
          <w:color w:val="auto"/>
          <w:sz w:val="24"/>
          <w:highlight w:val="none"/>
        </w:rPr>
        <w:t>建立基于多源数据融合的输电线路风偏实时动态校验模型，实现风偏隐患的自动识别与预警。模型验收时，风偏校验准确率须达到100%，单次模型响应时间不大于5秒，规程相关算法误差不大于5%。研究海量数据处理与特征工程大数据技术，评估风偏影响线路范围和程度，实现多源数据融合的实时风偏隐患精准评估</w:t>
      </w:r>
      <w:r>
        <w:rPr>
          <w:rFonts w:hint="eastAsia" w:hAnsi="宋体"/>
          <w:b/>
          <w:bCs/>
          <w:color w:val="auto"/>
          <w:sz w:val="24"/>
          <w:highlight w:val="none"/>
          <w:lang w:val="en-US" w:eastAsia="zh-CN"/>
        </w:rPr>
        <w:t>。</w:t>
      </w:r>
    </w:p>
    <w:p w14:paraId="0A21723E">
      <w:pPr>
        <w:adjustRightInd w:val="0"/>
        <w:snapToGrid w:val="0"/>
        <w:spacing w:line="360" w:lineRule="auto"/>
        <w:ind w:firstLine="420"/>
        <w:rPr>
          <w:rFonts w:hint="eastAsia" w:hAnsi="宋体"/>
          <w:color w:val="auto"/>
          <w:sz w:val="24"/>
          <w:highlight w:val="none"/>
        </w:rPr>
      </w:pPr>
      <w:r>
        <w:rPr>
          <w:rFonts w:hint="eastAsia" w:hAnsi="宋体"/>
          <w:color w:val="auto"/>
          <w:sz w:val="24"/>
          <w:highlight w:val="none"/>
          <w:lang w:val="en-US" w:eastAsia="zh-CN"/>
        </w:rPr>
        <w:t>1）</w:t>
      </w:r>
      <w:r>
        <w:rPr>
          <w:rFonts w:hint="eastAsia" w:hAnsi="宋体"/>
          <w:color w:val="auto"/>
          <w:sz w:val="24"/>
          <w:highlight w:val="none"/>
        </w:rPr>
        <w:t>研究输电线路点云参数自动提取技术，结合线路通道时空环境地物信息、线路台账信息如导线直径、单位重量、截面积、分裂数、体型系数、水平档距、垂直档距、绝缘子单联片数、时段温度、风速、地面粗糙度等参数，建立实时动态风偏校验模型</w:t>
      </w:r>
      <w:r>
        <w:rPr>
          <w:rFonts w:hAnsi="宋体"/>
          <w:color w:val="auto"/>
          <w:sz w:val="24"/>
          <w:highlight w:val="none"/>
        </w:rPr>
        <w:t>；</w:t>
      </w:r>
    </w:p>
    <w:p w14:paraId="7179C186">
      <w:pPr>
        <w:adjustRightInd w:val="0"/>
        <w:snapToGrid w:val="0"/>
        <w:spacing w:line="360" w:lineRule="auto"/>
        <w:ind w:firstLine="480" w:firstLineChars="200"/>
        <w:rPr>
          <w:rFonts w:hint="eastAsia" w:hAnsi="宋体"/>
          <w:color w:val="auto"/>
          <w:sz w:val="24"/>
          <w:highlight w:val="none"/>
          <w:lang w:eastAsia="zh-CN"/>
        </w:rPr>
      </w:pPr>
      <w:r>
        <w:rPr>
          <w:rFonts w:hint="eastAsia" w:hAnsi="宋体"/>
          <w:color w:val="auto"/>
          <w:sz w:val="24"/>
          <w:highlight w:val="none"/>
          <w:lang w:val="en-US" w:eastAsia="zh-CN"/>
        </w:rPr>
        <w:t>2）</w:t>
      </w:r>
      <w:r>
        <w:rPr>
          <w:rFonts w:hint="eastAsia" w:hAnsi="宋体"/>
          <w:color w:val="auto"/>
          <w:sz w:val="24"/>
          <w:highlight w:val="none"/>
        </w:rPr>
        <w:t>对重点交叉跨越点树障隐患进行重点风偏分析，模型包括档中风偏对地安全距离校核、悬垂串风偏角校核等子模型，对比传统规程算法对模型进行验证，结合三维点云优化输电线路风偏综合影响分析准确度</w:t>
      </w:r>
      <w:r>
        <w:rPr>
          <w:rFonts w:hint="eastAsia" w:hAnsi="宋体"/>
          <w:color w:val="auto"/>
          <w:sz w:val="24"/>
          <w:highlight w:val="none"/>
          <w:lang w:eastAsia="zh-CN"/>
        </w:rPr>
        <w:t>。</w:t>
      </w:r>
    </w:p>
    <w:p w14:paraId="79F4EA38">
      <w:pPr>
        <w:numPr>
          <w:ilvl w:val="0"/>
          <w:numId w:val="3"/>
        </w:numPr>
        <w:tabs>
          <w:tab w:val="left" w:pos="851"/>
        </w:tabs>
        <w:ind w:firstLine="480"/>
        <w:rPr>
          <w:rFonts w:hint="eastAsia"/>
          <w:color w:val="auto"/>
          <w:highlight w:val="none"/>
        </w:rPr>
      </w:pPr>
      <w:r>
        <w:rPr>
          <w:rFonts w:hint="eastAsia" w:hAnsi="宋体"/>
          <w:b/>
          <w:bCs/>
          <w:color w:val="auto"/>
          <w:sz w:val="24"/>
          <w:highlight w:val="none"/>
        </w:rPr>
        <w:t>污闪综合影响分析算法研究</w:t>
      </w:r>
    </w:p>
    <w:p w14:paraId="75B372C1">
      <w:pPr>
        <w:adjustRightInd w:val="0"/>
        <w:snapToGrid w:val="0"/>
        <w:spacing w:before="120" w:beforeLines="50" w:line="360" w:lineRule="auto"/>
        <w:ind w:firstLine="420"/>
        <w:rPr>
          <w:rFonts w:hint="eastAsia" w:hAnsi="宋体" w:eastAsia="宋体"/>
          <w:color w:val="auto"/>
          <w:sz w:val="24"/>
          <w:highlight w:val="none"/>
          <w:lang w:eastAsia="zh-CN"/>
        </w:rPr>
      </w:pPr>
      <w:r>
        <w:rPr>
          <w:rFonts w:hint="eastAsia" w:hAnsi="宋体"/>
          <w:color w:val="auto"/>
          <w:sz w:val="24"/>
          <w:highlight w:val="none"/>
        </w:rPr>
        <w:t>建立基于多源数据融合的输电线路污闪自动校核预警模型，实现污区等级的自动判定与污闪风险预警。模型验收时，污闪自动校核预警准确率须达到100%，单次模型响应时间不大于5秒，规程相关算法误差不大于5%。研究海量数据处理与特征工程大数据技术，评估污闪影响线路范围和程度，实现多源数据融合的实时污闪隐患精准评估</w:t>
      </w:r>
      <w:r>
        <w:rPr>
          <w:rFonts w:hint="eastAsia" w:hAnsi="宋体"/>
          <w:b/>
          <w:bCs/>
          <w:color w:val="auto"/>
          <w:sz w:val="24"/>
          <w:highlight w:val="none"/>
          <w:lang w:val="en-US" w:eastAsia="zh-CN"/>
        </w:rPr>
        <w:t>。</w:t>
      </w:r>
    </w:p>
    <w:p w14:paraId="5288531A">
      <w:pPr>
        <w:adjustRightInd w:val="0"/>
        <w:snapToGrid w:val="0"/>
        <w:spacing w:line="360" w:lineRule="auto"/>
        <w:ind w:firstLine="420"/>
        <w:rPr>
          <w:rFonts w:hint="eastAsia" w:hAnsi="宋体"/>
          <w:color w:val="auto"/>
          <w:sz w:val="24"/>
          <w:highlight w:val="none"/>
        </w:rPr>
      </w:pPr>
      <w:r>
        <w:rPr>
          <w:rFonts w:hint="eastAsia" w:hAnsi="宋体"/>
          <w:color w:val="auto"/>
          <w:sz w:val="24"/>
          <w:highlight w:val="none"/>
          <w:lang w:val="en-US" w:eastAsia="zh-CN"/>
        </w:rPr>
        <w:t>1）基于输电线路点云、南网污区分布图、当日累计降雨量、累计无雨天数、最近污染源距离、最近污染源等级、当日最高温度等数据，对各潜在影响污闪的因子进行定性和定量研究分析，研究不同特征之间相关性，包括频谱特征（小波变化、快速傅里叶变化等）、时序特征（自相关、差分均值等）、统计特征（最大值、最小值、均值等）</w:t>
      </w:r>
      <w:r>
        <w:rPr>
          <w:rFonts w:hAnsi="宋体"/>
          <w:color w:val="auto"/>
          <w:sz w:val="24"/>
          <w:highlight w:val="none"/>
        </w:rPr>
        <w:t>；</w:t>
      </w:r>
    </w:p>
    <w:p w14:paraId="42D2659F">
      <w:pPr>
        <w:adjustRightInd w:val="0"/>
        <w:snapToGrid w:val="0"/>
        <w:spacing w:line="360" w:lineRule="auto"/>
        <w:ind w:firstLine="480" w:firstLineChars="200"/>
        <w:rPr>
          <w:rFonts w:hint="eastAsia" w:hAnsi="宋体"/>
          <w:color w:val="auto"/>
          <w:sz w:val="24"/>
          <w:highlight w:val="none"/>
          <w:lang w:eastAsia="zh-CN"/>
        </w:rPr>
      </w:pPr>
      <w:r>
        <w:rPr>
          <w:rFonts w:hint="eastAsia" w:hAnsi="宋体"/>
          <w:color w:val="auto"/>
          <w:sz w:val="24"/>
          <w:highlight w:val="none"/>
          <w:lang w:val="en-US" w:eastAsia="zh-CN"/>
        </w:rPr>
        <w:t>2）对比传统统计模型、机器学习模型和深度神经网络，参数设置，建立输电线路污闪自动校核预警模型，并在历史污闪数据集上进行验证，将前沿神经网络架构、特征工程等领域学术成果应用于污闪综合影响分析场景</w:t>
      </w:r>
      <w:r>
        <w:rPr>
          <w:rFonts w:hint="eastAsia" w:hAnsi="宋体"/>
          <w:color w:val="auto"/>
          <w:sz w:val="24"/>
          <w:highlight w:val="none"/>
          <w:lang w:eastAsia="zh-CN"/>
        </w:rPr>
        <w:t>。</w:t>
      </w:r>
    </w:p>
    <w:p w14:paraId="37336C4E">
      <w:pPr>
        <w:numPr>
          <w:ilvl w:val="0"/>
          <w:numId w:val="3"/>
        </w:numPr>
        <w:tabs>
          <w:tab w:val="left" w:pos="851"/>
        </w:tabs>
        <w:ind w:firstLine="480"/>
        <w:rPr>
          <w:rFonts w:hint="eastAsia"/>
          <w:color w:val="auto"/>
          <w:highlight w:val="none"/>
        </w:rPr>
      </w:pPr>
      <w:r>
        <w:rPr>
          <w:rFonts w:hint="eastAsia" w:hAnsi="宋体"/>
          <w:b/>
          <w:bCs/>
          <w:color w:val="auto"/>
          <w:sz w:val="24"/>
          <w:highlight w:val="none"/>
        </w:rPr>
        <w:t>输电大数据算法应用开发</w:t>
      </w:r>
    </w:p>
    <w:p w14:paraId="1C8171A6">
      <w:pPr>
        <w:adjustRightInd w:val="0"/>
        <w:snapToGrid w:val="0"/>
        <w:spacing w:before="120" w:beforeLines="50" w:line="360" w:lineRule="auto"/>
        <w:ind w:firstLine="420"/>
        <w:rPr>
          <w:rFonts w:hint="eastAsia" w:hAnsi="宋体" w:eastAsia="宋体"/>
          <w:color w:val="auto"/>
          <w:sz w:val="24"/>
          <w:highlight w:val="none"/>
          <w:lang w:eastAsia="zh-CN"/>
        </w:rPr>
      </w:pPr>
      <w:r>
        <w:rPr>
          <w:rFonts w:hint="eastAsia" w:hAnsi="宋体"/>
          <w:color w:val="auto"/>
          <w:sz w:val="24"/>
          <w:highlight w:val="none"/>
        </w:rPr>
        <w:t>实现台账数据自动提取，自动关联，减少人工重复录用</w:t>
      </w:r>
      <w:r>
        <w:rPr>
          <w:rFonts w:hint="eastAsia" w:hAnsi="宋体"/>
          <w:color w:val="auto"/>
          <w:sz w:val="24"/>
          <w:highlight w:val="none"/>
          <w:lang w:eastAsia="zh-CN"/>
        </w:rPr>
        <w:t>。</w:t>
      </w:r>
    </w:p>
    <w:p w14:paraId="782A9459">
      <w:pPr>
        <w:adjustRightInd w:val="0"/>
        <w:snapToGrid w:val="0"/>
        <w:spacing w:line="360" w:lineRule="auto"/>
        <w:ind w:firstLine="420"/>
        <w:rPr>
          <w:rFonts w:hint="eastAsia" w:hAnsi="宋体"/>
          <w:color w:val="auto"/>
          <w:sz w:val="24"/>
          <w:highlight w:val="none"/>
        </w:rPr>
      </w:pPr>
      <w:r>
        <w:rPr>
          <w:rFonts w:hint="eastAsia" w:hAnsi="宋体"/>
          <w:color w:val="auto"/>
          <w:sz w:val="24"/>
          <w:highlight w:val="none"/>
          <w:lang w:eastAsia="zh-CN"/>
        </w:rPr>
        <w:t>研究各防灾减灾算法与设备台账、地理信息，传感器、点云数据，实时气象数据的自动关联机制，实现边坡检核自动化、污区校核自动化、风偏校验自动化、实时台风影响分析和山火预警，并进行试点应用。</w:t>
      </w:r>
    </w:p>
    <w:p w14:paraId="1204CE87">
      <w:pPr>
        <w:numPr>
          <w:ilvl w:val="0"/>
          <w:numId w:val="3"/>
        </w:numPr>
        <w:tabs>
          <w:tab w:val="left" w:pos="851"/>
        </w:tabs>
        <w:ind w:firstLine="480"/>
        <w:rPr>
          <w:rFonts w:hint="eastAsia"/>
          <w:color w:val="auto"/>
          <w:highlight w:val="none"/>
        </w:rPr>
      </w:pPr>
      <w:r>
        <w:rPr>
          <w:rFonts w:hint="eastAsia" w:hAnsi="宋体"/>
          <w:b/>
          <w:bCs/>
          <w:color w:val="auto"/>
          <w:sz w:val="24"/>
          <w:highlight w:val="none"/>
        </w:rPr>
        <w:t>试点应用</w:t>
      </w:r>
    </w:p>
    <w:p w14:paraId="4756304B">
      <w:pPr>
        <w:adjustRightInd w:val="0"/>
        <w:snapToGrid w:val="0"/>
        <w:spacing w:before="120" w:beforeLines="50" w:line="360" w:lineRule="auto"/>
        <w:ind w:firstLine="420"/>
        <w:rPr>
          <w:rFonts w:hint="eastAsia" w:hAnsi="宋体" w:eastAsia="宋体"/>
          <w:color w:val="auto"/>
          <w:sz w:val="24"/>
          <w:highlight w:val="none"/>
          <w:lang w:eastAsia="zh-CN"/>
        </w:rPr>
      </w:pPr>
      <w:r>
        <w:rPr>
          <w:rFonts w:hint="eastAsia" w:hAnsi="宋体"/>
          <w:color w:val="auto"/>
          <w:sz w:val="24"/>
          <w:highlight w:val="none"/>
        </w:rPr>
        <w:t>验证、优化模型并最终实现指导运维单位开展防灾减灾隐患清理，减少输电通道跳闸的效果。</w:t>
      </w:r>
    </w:p>
    <w:p w14:paraId="2DB8CAF3">
      <w:pPr>
        <w:adjustRightInd w:val="0"/>
        <w:snapToGrid w:val="0"/>
        <w:spacing w:line="360" w:lineRule="auto"/>
        <w:ind w:firstLine="480" w:firstLineChars="200"/>
        <w:rPr>
          <w:rFonts w:hint="eastAsia" w:hAnsi="宋体"/>
          <w:color w:val="auto"/>
          <w:sz w:val="24"/>
          <w:highlight w:val="none"/>
          <w:lang w:eastAsia="zh-CN"/>
        </w:rPr>
      </w:pPr>
      <w:r>
        <w:rPr>
          <w:rFonts w:hint="eastAsia"/>
          <w:color w:val="auto"/>
          <w:highlight w:val="none"/>
          <w:lang w:eastAsia="zh-CN"/>
        </w:rPr>
        <w:t>选择至少两条线路（</w:t>
      </w:r>
      <w:r>
        <w:rPr>
          <w:rFonts w:hint="eastAsia"/>
          <w:color w:val="auto"/>
          <w:highlight w:val="none"/>
          <w:lang w:val="en-US" w:eastAsia="zh-CN"/>
        </w:rPr>
        <w:t>至少包含1条为±800kV直流线路、1条500kV（或±500kV）同塔多回线路</w:t>
      </w:r>
      <w:r>
        <w:rPr>
          <w:rFonts w:hint="eastAsia"/>
          <w:color w:val="auto"/>
          <w:highlight w:val="none"/>
          <w:lang w:eastAsia="zh-CN"/>
        </w:rPr>
        <w:t>）试点风偏、污闪、山火、台风、地质灾害应用，对算法进行验证、优化</w:t>
      </w:r>
      <w:r>
        <w:rPr>
          <w:rFonts w:hint="eastAsia" w:hAnsi="宋体"/>
          <w:color w:val="auto"/>
          <w:sz w:val="24"/>
          <w:highlight w:val="none"/>
          <w:lang w:eastAsia="zh-CN"/>
        </w:rPr>
        <w:t>。</w:t>
      </w:r>
    </w:p>
    <w:p w14:paraId="48332F50">
      <w:pPr>
        <w:ind w:firstLine="480"/>
        <w:jc w:val="both"/>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项目成果及相关软件需在输电智慧辅助决策系统进行部署应用，相关算法应部署至人工智能平台供其他平台调用。</w:t>
      </w:r>
    </w:p>
    <w:p w14:paraId="555F79E6">
      <w:pPr>
        <w:numPr>
          <w:ilvl w:val="0"/>
          <w:numId w:val="3"/>
        </w:numPr>
        <w:tabs>
          <w:tab w:val="left" w:pos="851"/>
        </w:tabs>
        <w:ind w:firstLine="480"/>
        <w:rPr>
          <w:rFonts w:hint="default" w:hAnsi="宋体"/>
          <w:b/>
          <w:bCs/>
          <w:color w:val="auto"/>
          <w:sz w:val="24"/>
          <w:highlight w:val="none"/>
          <w:lang w:val="en-US" w:eastAsia="zh-CN"/>
        </w:rPr>
      </w:pPr>
      <w:r>
        <w:rPr>
          <w:rFonts w:hint="default" w:hAnsi="宋体"/>
          <w:b/>
          <w:bCs/>
          <w:color w:val="auto"/>
          <w:sz w:val="24"/>
          <w:highlight w:val="none"/>
          <w:lang w:val="en-US" w:eastAsia="zh-CN"/>
        </w:rPr>
        <w:t>数据管理要求</w:t>
      </w:r>
    </w:p>
    <w:p w14:paraId="007558F3">
      <w:pPr>
        <w:ind w:firstLine="48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1）数据来源：本项目数据来源于公司气象应用决策支持系统的气象数据、数据中心的气象数据、覆冰监测系统的全量数据、雷电定位系统的全量数据、山火监测预警系统的全量数据，以及设备台账、点云数据、在线监测数据等。</w:t>
      </w:r>
    </w:p>
    <w:p w14:paraId="3D19A103">
      <w:pPr>
        <w:ind w:firstLine="48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2）数据存储：项目数据存储于招标方指定的生产运行支持系统数据库及数据中心等存储区，投标方须确保数据按系统规范写入存储。</w:t>
      </w:r>
    </w:p>
    <w:p w14:paraId="6C2F80AE">
      <w:pPr>
        <w:ind w:firstLine="48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3）数据存储期限：项目实施期间全量数据应持续可用，项目验收后相关数据应按招标方要求归档，原则上不应少于3年。</w:t>
      </w:r>
    </w:p>
    <w:p w14:paraId="100893DF">
      <w:pPr>
        <w:ind w:firstLine="48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4）数据输出：算法处理后输出各类设备风险清单，包括但不限于台风影响设备风险清单、山火告警设备清单、风偏隐患设备清单、地质灾害风险设备清单、污闪风险设备清单，以及对应的预警信息与评估报告。</w:t>
      </w:r>
    </w:p>
    <w:p w14:paraId="375D1CFC">
      <w:pPr>
        <w:ind w:firstLine="480"/>
        <w:jc w:val="both"/>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5）数据清洗与对齐：针对多源异构数据，投标方应对输入数据进行必要的清洗与预处理，包括异常值处理、缺失值处理、时间尺度对齐与格式归一化等，确保多源数据在时间维度和空间维度上的有效关联。</w:t>
      </w:r>
    </w:p>
    <w:p w14:paraId="5884F54C">
      <w:pPr>
        <w:pStyle w:val="23"/>
        <w:spacing w:before="156" w:after="156"/>
        <w:rPr>
          <w:highlight w:val="none"/>
        </w:rPr>
      </w:pP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项目</w:t>
      </w:r>
      <w:r>
        <w:rPr>
          <w:rFonts w:hint="eastAsia"/>
          <w:color w:val="000000" w:themeColor="text1"/>
          <w:highlight w:val="none"/>
          <w:lang w:eastAsia="zh-CN"/>
          <w14:textFill>
            <w14:solidFill>
              <w14:schemeClr w14:val="tx1"/>
            </w14:solidFill>
          </w14:textFill>
        </w:rPr>
        <w:t>成果</w:t>
      </w:r>
      <w:r>
        <w:rPr>
          <w:rFonts w:hint="eastAsia"/>
          <w:color w:val="000000" w:themeColor="text1"/>
          <w:highlight w:val="none"/>
          <w14:textFill>
            <w14:solidFill>
              <w14:schemeClr w14:val="tx1"/>
            </w14:solidFill>
          </w14:textFill>
        </w:rPr>
        <w:t xml:space="preserve">要求 </w:t>
      </w:r>
    </w:p>
    <w:p w14:paraId="71462373">
      <w:pP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项目验收前，投标方应提交给招标方的交付物包括：</w:t>
      </w:r>
    </w:p>
    <w:p w14:paraId="0009BBB3">
      <w:pPr>
        <w:numPr>
          <w:ilvl w:val="0"/>
          <w:numId w:val="0"/>
        </w:numPr>
        <w:ind w:left="0" w:leftChars="0" w:firstLine="480" w:firstLineChars="20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lang w:eastAsia="zh-CN"/>
          <w14:textFill>
            <w14:solidFill>
              <w14:schemeClr w14:val="tx1"/>
            </w14:solidFill>
          </w14:textFill>
        </w:rPr>
        <w:t>研究报告类交付物</w:t>
      </w:r>
    </w:p>
    <w:p w14:paraId="59EF009A">
      <w:pP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1）算法模型技术研究报告1份。报告内容应包含五类灾害（台风、山火、地质灾害、风偏、污闪）算法原理、模型架构设计、特征工程方法、训练与验证过程、准确率测试结果等。其中，台风、山火、地质灾害部分应基于前期已完成的算法成果进行整合说明；风偏、污闪部分应包含本次研究全过程的详细记录。</w:t>
      </w:r>
    </w:p>
    <w:p w14:paraId="55231C80">
      <w:pP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2）接口规范文档1份。含算法与输电智慧辅助决策系统、人工智能平台之间的接口定义，包括输入输出数据格式、调用方式、返回值说明等，确保算法可被其他平台调用。</w:t>
      </w:r>
    </w:p>
    <w:p w14:paraId="5843F30E">
      <w:pP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3）用户操作手册1份。含软件功能说明、操作流程、参数配置说明、常见故障处理指南等。</w:t>
      </w:r>
    </w:p>
    <w:p w14:paraId="2E287A3B">
      <w:pPr>
        <w:numPr>
          <w:ilvl w:val="0"/>
          <w:numId w:val="0"/>
        </w:numPr>
        <w:ind w:left="0" w:leftChars="0" w:firstLine="480" w:firstLineChars="20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lang w:eastAsia="zh-CN"/>
          <w14:textFill>
            <w14:solidFill>
              <w14:schemeClr w14:val="tx1"/>
            </w14:solidFill>
          </w14:textFill>
        </w:rPr>
        <w:t>软件源码类交付物</w:t>
      </w:r>
    </w:p>
    <w:p w14:paraId="1CD7BCB0">
      <w:pP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lang w:eastAsia="zh-CN"/>
          <w14:textFill>
            <w14:solidFill>
              <w14:schemeClr w14:val="tx1"/>
            </w14:solidFill>
          </w14:textFill>
        </w:rPr>
        <w:t>）台风风险预警软件开发环境及软件源代码。</w:t>
      </w:r>
    </w:p>
    <w:p w14:paraId="1F584A20">
      <w:pP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lang w:eastAsia="zh-CN"/>
          <w14:textFill>
            <w14:solidFill>
              <w14:schemeClr w14:val="tx1"/>
            </w14:solidFill>
          </w14:textFill>
        </w:rPr>
        <w:t>）山火风险告警软件开发环境及软件源代码。</w:t>
      </w:r>
    </w:p>
    <w:p w14:paraId="23C76396">
      <w:pP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lang w:eastAsia="zh-CN"/>
          <w14:textFill>
            <w14:solidFill>
              <w14:schemeClr w14:val="tx1"/>
            </w14:solidFill>
          </w14:textFill>
        </w:rPr>
        <w:t>）风偏校核软件开发环境及软件源代码。</w:t>
      </w:r>
    </w:p>
    <w:p w14:paraId="5EAE545B">
      <w:pP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lang w:eastAsia="zh-CN"/>
          <w14:textFill>
            <w14:solidFill>
              <w14:schemeClr w14:val="tx1"/>
            </w14:solidFill>
          </w14:textFill>
        </w:rPr>
        <w:t>）地质灾害软件开发环境及软件源代码。</w:t>
      </w:r>
    </w:p>
    <w:p w14:paraId="6FA8C42E">
      <w:pP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lang w:eastAsia="zh-CN"/>
          <w14:textFill>
            <w14:solidFill>
              <w14:schemeClr w14:val="tx1"/>
            </w14:solidFill>
          </w14:textFill>
        </w:rPr>
        <w:t>）污闪预警软件开发环境及软件源代码。</w:t>
      </w:r>
    </w:p>
    <w:p w14:paraId="6716E850">
      <w:pP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以上软件源代码均须为完整可编译、可部署的源代码，含必要的代码注释、依赖环境清单及部署说明。</w:t>
      </w:r>
    </w:p>
    <w:p w14:paraId="52E04830">
      <w:pPr>
        <w:numPr>
          <w:ilvl w:val="0"/>
          <w:numId w:val="0"/>
        </w:numPr>
        <w:ind w:left="0" w:leftChars="0" w:firstLine="480" w:firstLineChars="20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lang w:eastAsia="zh-CN"/>
          <w14:textFill>
            <w14:solidFill>
              <w14:schemeClr w14:val="tx1"/>
            </w14:solidFill>
          </w14:textFill>
        </w:rPr>
        <w:t>验收技术指标</w:t>
      </w:r>
    </w:p>
    <w:p w14:paraId="04B2039A">
      <w:pP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本项目五类灾害算法的核心量化指标如下：</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148"/>
        <w:gridCol w:w="2173"/>
        <w:gridCol w:w="1482"/>
        <w:gridCol w:w="1663"/>
        <w:gridCol w:w="1827"/>
      </w:tblGrid>
      <w:tr w14:paraId="7173C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1148" w:type="dxa"/>
            <w:tcBorders>
              <w:tl2br w:val="nil"/>
              <w:tr2bl w:val="nil"/>
            </w:tcBorders>
            <w:shd w:val="clear" w:color="auto" w:fill="auto"/>
            <w:tcMar>
              <w:top w:w="100" w:type="dxa"/>
              <w:left w:w="0" w:type="dxa"/>
              <w:bottom w:w="100" w:type="dxa"/>
              <w:right w:w="160" w:type="dxa"/>
            </w:tcMar>
            <w:vAlign w:val="center"/>
          </w:tcPr>
          <w:p w14:paraId="7A2009D3">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1"/>
                <w:szCs w:val="21"/>
                <w:highlight w:val="none"/>
                <w:lang w:val="en-US" w:eastAsia="zh-CN" w:bidi="ar"/>
              </w:rPr>
              <w:t>序号</w:t>
            </w:r>
          </w:p>
        </w:tc>
        <w:tc>
          <w:tcPr>
            <w:tcW w:w="2173" w:type="dxa"/>
            <w:tcBorders>
              <w:tl2br w:val="nil"/>
              <w:tr2bl w:val="nil"/>
            </w:tcBorders>
            <w:shd w:val="clear" w:color="auto" w:fill="auto"/>
            <w:tcMar>
              <w:top w:w="100" w:type="dxa"/>
              <w:left w:w="160" w:type="dxa"/>
              <w:bottom w:w="100" w:type="dxa"/>
              <w:right w:w="160" w:type="dxa"/>
            </w:tcMar>
            <w:vAlign w:val="center"/>
          </w:tcPr>
          <w:p w14:paraId="15288B9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1"/>
                <w:szCs w:val="21"/>
                <w:highlight w:val="none"/>
                <w:lang w:val="en-US" w:eastAsia="zh-CN" w:bidi="ar"/>
              </w:rPr>
              <w:t>算法名称</w:t>
            </w:r>
          </w:p>
        </w:tc>
        <w:tc>
          <w:tcPr>
            <w:tcW w:w="1482" w:type="dxa"/>
            <w:tcBorders>
              <w:tl2br w:val="nil"/>
              <w:tr2bl w:val="nil"/>
            </w:tcBorders>
            <w:shd w:val="clear" w:color="auto" w:fill="auto"/>
            <w:tcMar>
              <w:top w:w="100" w:type="dxa"/>
              <w:left w:w="160" w:type="dxa"/>
              <w:bottom w:w="100" w:type="dxa"/>
              <w:right w:w="160" w:type="dxa"/>
            </w:tcMar>
            <w:vAlign w:val="center"/>
          </w:tcPr>
          <w:p w14:paraId="451FC2E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1"/>
                <w:szCs w:val="21"/>
                <w:highlight w:val="none"/>
                <w:lang w:val="en-US" w:eastAsia="zh-CN" w:bidi="ar"/>
              </w:rPr>
              <w:t>准确率要求</w:t>
            </w:r>
          </w:p>
        </w:tc>
        <w:tc>
          <w:tcPr>
            <w:tcW w:w="1663" w:type="dxa"/>
            <w:tcBorders>
              <w:tl2br w:val="nil"/>
              <w:tr2bl w:val="nil"/>
            </w:tcBorders>
            <w:shd w:val="clear" w:color="auto" w:fill="auto"/>
            <w:tcMar>
              <w:top w:w="100" w:type="dxa"/>
              <w:left w:w="160" w:type="dxa"/>
              <w:bottom w:w="100" w:type="dxa"/>
              <w:right w:w="160" w:type="dxa"/>
            </w:tcMar>
            <w:vAlign w:val="center"/>
          </w:tcPr>
          <w:p w14:paraId="1FDCEDA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1"/>
                <w:szCs w:val="21"/>
                <w:highlight w:val="none"/>
                <w:lang w:val="en-US" w:eastAsia="zh-CN" w:bidi="ar"/>
              </w:rPr>
              <w:t>响应时间要求</w:t>
            </w:r>
          </w:p>
        </w:tc>
        <w:tc>
          <w:tcPr>
            <w:tcW w:w="1827" w:type="dxa"/>
            <w:tcBorders>
              <w:tl2br w:val="nil"/>
              <w:tr2bl w:val="nil"/>
            </w:tcBorders>
            <w:shd w:val="clear" w:color="auto" w:fill="auto"/>
            <w:tcMar>
              <w:top w:w="100" w:type="dxa"/>
              <w:left w:w="160" w:type="dxa"/>
              <w:bottom w:w="100" w:type="dxa"/>
              <w:right w:w="160" w:type="dxa"/>
            </w:tcMar>
            <w:vAlign w:val="center"/>
          </w:tcPr>
          <w:p w14:paraId="2FE8D34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1"/>
                <w:szCs w:val="21"/>
                <w:highlight w:val="none"/>
                <w:lang w:val="en-US" w:eastAsia="zh-CN" w:bidi="ar"/>
              </w:rPr>
              <w:t>规程误差要求</w:t>
            </w:r>
          </w:p>
        </w:tc>
      </w:tr>
      <w:tr w14:paraId="28631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48" w:type="dxa"/>
            <w:tcBorders>
              <w:tl2br w:val="nil"/>
              <w:tr2bl w:val="nil"/>
            </w:tcBorders>
            <w:shd w:val="clear" w:color="auto" w:fill="auto"/>
            <w:tcMar>
              <w:top w:w="100" w:type="dxa"/>
              <w:left w:w="0" w:type="dxa"/>
              <w:bottom w:w="100" w:type="dxa"/>
              <w:right w:w="160" w:type="dxa"/>
            </w:tcMar>
            <w:vAlign w:val="center"/>
          </w:tcPr>
          <w:p w14:paraId="47D41E7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1</w:t>
            </w:r>
          </w:p>
        </w:tc>
        <w:tc>
          <w:tcPr>
            <w:tcW w:w="2173" w:type="dxa"/>
            <w:tcBorders>
              <w:tl2br w:val="nil"/>
              <w:tr2bl w:val="nil"/>
            </w:tcBorders>
            <w:shd w:val="clear" w:color="auto" w:fill="auto"/>
            <w:tcMar>
              <w:top w:w="100" w:type="dxa"/>
              <w:left w:w="160" w:type="dxa"/>
              <w:bottom w:w="100" w:type="dxa"/>
              <w:right w:w="160" w:type="dxa"/>
            </w:tcMar>
            <w:vAlign w:val="center"/>
          </w:tcPr>
          <w:p w14:paraId="2B23914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台风风险预警</w:t>
            </w:r>
          </w:p>
        </w:tc>
        <w:tc>
          <w:tcPr>
            <w:tcW w:w="1482" w:type="dxa"/>
            <w:tcBorders>
              <w:tl2br w:val="nil"/>
              <w:tr2bl w:val="nil"/>
            </w:tcBorders>
            <w:shd w:val="clear" w:color="auto" w:fill="auto"/>
            <w:tcMar>
              <w:top w:w="100" w:type="dxa"/>
              <w:left w:w="160" w:type="dxa"/>
              <w:bottom w:w="100" w:type="dxa"/>
              <w:right w:w="160" w:type="dxa"/>
            </w:tcMar>
            <w:vAlign w:val="center"/>
          </w:tcPr>
          <w:p w14:paraId="3EABF86A">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100%</w:t>
            </w:r>
          </w:p>
        </w:tc>
        <w:tc>
          <w:tcPr>
            <w:tcW w:w="1663" w:type="dxa"/>
            <w:tcBorders>
              <w:tl2br w:val="nil"/>
              <w:tr2bl w:val="nil"/>
            </w:tcBorders>
            <w:shd w:val="clear" w:color="auto" w:fill="auto"/>
            <w:tcMar>
              <w:top w:w="100" w:type="dxa"/>
              <w:left w:w="160" w:type="dxa"/>
              <w:bottom w:w="100" w:type="dxa"/>
              <w:right w:w="160" w:type="dxa"/>
            </w:tcMar>
            <w:vAlign w:val="center"/>
          </w:tcPr>
          <w:p w14:paraId="202624F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≤5s</w:t>
            </w:r>
          </w:p>
        </w:tc>
        <w:tc>
          <w:tcPr>
            <w:tcW w:w="1827" w:type="dxa"/>
            <w:tcBorders>
              <w:tl2br w:val="nil"/>
              <w:tr2bl w:val="nil"/>
            </w:tcBorders>
            <w:shd w:val="clear" w:color="auto" w:fill="auto"/>
            <w:tcMar>
              <w:top w:w="100" w:type="dxa"/>
              <w:left w:w="160" w:type="dxa"/>
              <w:bottom w:w="100" w:type="dxa"/>
              <w:right w:w="0" w:type="dxa"/>
            </w:tcMar>
            <w:vAlign w:val="center"/>
          </w:tcPr>
          <w:p w14:paraId="6012E58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cs="宋体"/>
                <w:i w:val="0"/>
                <w:iCs w:val="0"/>
                <w:caps w:val="0"/>
                <w:color w:val="auto"/>
                <w:spacing w:val="0"/>
                <w:sz w:val="21"/>
                <w:szCs w:val="21"/>
                <w:highlight w:val="none"/>
                <w:lang w:val="en-US" w:eastAsia="zh-CN"/>
              </w:rPr>
              <w:t>/</w:t>
            </w:r>
          </w:p>
        </w:tc>
      </w:tr>
      <w:tr w14:paraId="53B6F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48" w:type="dxa"/>
            <w:tcBorders>
              <w:tl2br w:val="nil"/>
              <w:tr2bl w:val="nil"/>
            </w:tcBorders>
            <w:shd w:val="clear" w:color="auto" w:fill="auto"/>
            <w:tcMar>
              <w:top w:w="100" w:type="dxa"/>
              <w:left w:w="0" w:type="dxa"/>
              <w:bottom w:w="100" w:type="dxa"/>
              <w:right w:w="160" w:type="dxa"/>
            </w:tcMar>
            <w:vAlign w:val="center"/>
          </w:tcPr>
          <w:p w14:paraId="5171F35F">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2</w:t>
            </w:r>
          </w:p>
        </w:tc>
        <w:tc>
          <w:tcPr>
            <w:tcW w:w="2173" w:type="dxa"/>
            <w:tcBorders>
              <w:tl2br w:val="nil"/>
              <w:tr2bl w:val="nil"/>
            </w:tcBorders>
            <w:shd w:val="clear" w:color="auto" w:fill="auto"/>
            <w:tcMar>
              <w:top w:w="100" w:type="dxa"/>
              <w:left w:w="160" w:type="dxa"/>
              <w:bottom w:w="100" w:type="dxa"/>
              <w:right w:w="160" w:type="dxa"/>
            </w:tcMar>
            <w:vAlign w:val="center"/>
          </w:tcPr>
          <w:p w14:paraId="35B70A2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山火风险告警</w:t>
            </w:r>
          </w:p>
        </w:tc>
        <w:tc>
          <w:tcPr>
            <w:tcW w:w="1482" w:type="dxa"/>
            <w:tcBorders>
              <w:tl2br w:val="nil"/>
              <w:tr2bl w:val="nil"/>
            </w:tcBorders>
            <w:shd w:val="clear" w:color="auto" w:fill="auto"/>
            <w:tcMar>
              <w:top w:w="100" w:type="dxa"/>
              <w:left w:w="160" w:type="dxa"/>
              <w:bottom w:w="100" w:type="dxa"/>
              <w:right w:w="160" w:type="dxa"/>
            </w:tcMar>
            <w:vAlign w:val="center"/>
          </w:tcPr>
          <w:p w14:paraId="04AF45FC">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100%</w:t>
            </w:r>
          </w:p>
        </w:tc>
        <w:tc>
          <w:tcPr>
            <w:tcW w:w="1663" w:type="dxa"/>
            <w:tcBorders>
              <w:tl2br w:val="nil"/>
              <w:tr2bl w:val="nil"/>
            </w:tcBorders>
            <w:shd w:val="clear" w:color="auto" w:fill="auto"/>
            <w:tcMar>
              <w:top w:w="100" w:type="dxa"/>
              <w:left w:w="160" w:type="dxa"/>
              <w:bottom w:w="100" w:type="dxa"/>
              <w:right w:w="160" w:type="dxa"/>
            </w:tcMar>
            <w:vAlign w:val="center"/>
          </w:tcPr>
          <w:p w14:paraId="7895FBD0">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≤5s</w:t>
            </w:r>
          </w:p>
        </w:tc>
        <w:tc>
          <w:tcPr>
            <w:tcW w:w="1827" w:type="dxa"/>
            <w:tcBorders>
              <w:tl2br w:val="nil"/>
              <w:tr2bl w:val="nil"/>
            </w:tcBorders>
            <w:shd w:val="clear" w:color="auto" w:fill="auto"/>
            <w:tcMar>
              <w:top w:w="100" w:type="dxa"/>
              <w:left w:w="160" w:type="dxa"/>
              <w:bottom w:w="100" w:type="dxa"/>
              <w:right w:w="0" w:type="dxa"/>
            </w:tcMar>
            <w:vAlign w:val="center"/>
          </w:tcPr>
          <w:p w14:paraId="4C8CDB0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cs="宋体"/>
                <w:i w:val="0"/>
                <w:iCs w:val="0"/>
                <w:caps w:val="0"/>
                <w:color w:val="auto"/>
                <w:spacing w:val="0"/>
                <w:sz w:val="21"/>
                <w:szCs w:val="21"/>
                <w:highlight w:val="none"/>
                <w:lang w:val="en-US" w:eastAsia="zh-CN"/>
              </w:rPr>
              <w:t>/</w:t>
            </w:r>
          </w:p>
        </w:tc>
      </w:tr>
      <w:tr w14:paraId="01853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48" w:type="dxa"/>
            <w:tcBorders>
              <w:tl2br w:val="nil"/>
              <w:tr2bl w:val="nil"/>
            </w:tcBorders>
            <w:shd w:val="clear" w:color="auto" w:fill="auto"/>
            <w:tcMar>
              <w:top w:w="100" w:type="dxa"/>
              <w:left w:w="0" w:type="dxa"/>
              <w:bottom w:w="100" w:type="dxa"/>
              <w:right w:w="160" w:type="dxa"/>
            </w:tcMar>
            <w:vAlign w:val="center"/>
          </w:tcPr>
          <w:p w14:paraId="3DC995F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3</w:t>
            </w:r>
          </w:p>
        </w:tc>
        <w:tc>
          <w:tcPr>
            <w:tcW w:w="2173" w:type="dxa"/>
            <w:tcBorders>
              <w:tl2br w:val="nil"/>
              <w:tr2bl w:val="nil"/>
            </w:tcBorders>
            <w:shd w:val="clear" w:color="auto" w:fill="auto"/>
            <w:tcMar>
              <w:top w:w="100" w:type="dxa"/>
              <w:left w:w="160" w:type="dxa"/>
              <w:bottom w:w="100" w:type="dxa"/>
              <w:right w:w="160" w:type="dxa"/>
            </w:tcMar>
            <w:vAlign w:val="center"/>
          </w:tcPr>
          <w:p w14:paraId="4397E0EB">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地质灾害预警</w:t>
            </w:r>
          </w:p>
        </w:tc>
        <w:tc>
          <w:tcPr>
            <w:tcW w:w="1482" w:type="dxa"/>
            <w:tcBorders>
              <w:tl2br w:val="nil"/>
              <w:tr2bl w:val="nil"/>
            </w:tcBorders>
            <w:shd w:val="clear" w:color="auto" w:fill="auto"/>
            <w:tcMar>
              <w:top w:w="100" w:type="dxa"/>
              <w:left w:w="160" w:type="dxa"/>
              <w:bottom w:w="100" w:type="dxa"/>
              <w:right w:w="160" w:type="dxa"/>
            </w:tcMar>
            <w:vAlign w:val="center"/>
          </w:tcPr>
          <w:p w14:paraId="628FCC12">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100%</w:t>
            </w:r>
          </w:p>
        </w:tc>
        <w:tc>
          <w:tcPr>
            <w:tcW w:w="1663" w:type="dxa"/>
            <w:tcBorders>
              <w:tl2br w:val="nil"/>
              <w:tr2bl w:val="nil"/>
            </w:tcBorders>
            <w:shd w:val="clear" w:color="auto" w:fill="auto"/>
            <w:tcMar>
              <w:top w:w="100" w:type="dxa"/>
              <w:left w:w="160" w:type="dxa"/>
              <w:bottom w:w="100" w:type="dxa"/>
              <w:right w:w="160" w:type="dxa"/>
            </w:tcMar>
            <w:vAlign w:val="center"/>
          </w:tcPr>
          <w:p w14:paraId="0202519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≤5s</w:t>
            </w:r>
          </w:p>
        </w:tc>
        <w:tc>
          <w:tcPr>
            <w:tcW w:w="1827" w:type="dxa"/>
            <w:tcBorders>
              <w:tl2br w:val="nil"/>
              <w:tr2bl w:val="nil"/>
            </w:tcBorders>
            <w:shd w:val="clear" w:color="auto" w:fill="auto"/>
            <w:tcMar>
              <w:top w:w="100" w:type="dxa"/>
              <w:left w:w="160" w:type="dxa"/>
              <w:bottom w:w="100" w:type="dxa"/>
              <w:right w:w="0" w:type="dxa"/>
            </w:tcMar>
            <w:vAlign w:val="center"/>
          </w:tcPr>
          <w:p w14:paraId="5BB47781">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cs="宋体"/>
                <w:i w:val="0"/>
                <w:iCs w:val="0"/>
                <w:caps w:val="0"/>
                <w:color w:val="auto"/>
                <w:spacing w:val="0"/>
                <w:sz w:val="21"/>
                <w:szCs w:val="21"/>
                <w:highlight w:val="none"/>
                <w:lang w:val="en-US" w:eastAsia="zh-CN"/>
              </w:rPr>
              <w:t>/</w:t>
            </w:r>
          </w:p>
        </w:tc>
      </w:tr>
      <w:tr w14:paraId="4B417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48" w:type="dxa"/>
            <w:tcBorders>
              <w:tl2br w:val="nil"/>
              <w:tr2bl w:val="nil"/>
            </w:tcBorders>
            <w:shd w:val="clear" w:color="auto" w:fill="auto"/>
            <w:tcMar>
              <w:top w:w="100" w:type="dxa"/>
              <w:left w:w="0" w:type="dxa"/>
              <w:bottom w:w="100" w:type="dxa"/>
              <w:right w:w="160" w:type="dxa"/>
            </w:tcMar>
            <w:vAlign w:val="center"/>
          </w:tcPr>
          <w:p w14:paraId="6918F3D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4</w:t>
            </w:r>
          </w:p>
        </w:tc>
        <w:tc>
          <w:tcPr>
            <w:tcW w:w="2173" w:type="dxa"/>
            <w:tcBorders>
              <w:tl2br w:val="nil"/>
              <w:tr2bl w:val="nil"/>
            </w:tcBorders>
            <w:shd w:val="clear" w:color="auto" w:fill="auto"/>
            <w:tcMar>
              <w:top w:w="100" w:type="dxa"/>
              <w:left w:w="160" w:type="dxa"/>
              <w:bottom w:w="100" w:type="dxa"/>
              <w:right w:w="160" w:type="dxa"/>
            </w:tcMar>
            <w:vAlign w:val="center"/>
          </w:tcPr>
          <w:p w14:paraId="6E9C87D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风偏校验</w:t>
            </w:r>
          </w:p>
        </w:tc>
        <w:tc>
          <w:tcPr>
            <w:tcW w:w="1482" w:type="dxa"/>
            <w:tcBorders>
              <w:tl2br w:val="nil"/>
              <w:tr2bl w:val="nil"/>
            </w:tcBorders>
            <w:shd w:val="clear" w:color="auto" w:fill="auto"/>
            <w:tcMar>
              <w:top w:w="100" w:type="dxa"/>
              <w:left w:w="160" w:type="dxa"/>
              <w:bottom w:w="100" w:type="dxa"/>
              <w:right w:w="160" w:type="dxa"/>
            </w:tcMar>
            <w:vAlign w:val="center"/>
          </w:tcPr>
          <w:p w14:paraId="15AAE25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100%</w:t>
            </w:r>
          </w:p>
        </w:tc>
        <w:tc>
          <w:tcPr>
            <w:tcW w:w="1663" w:type="dxa"/>
            <w:tcBorders>
              <w:tl2br w:val="nil"/>
              <w:tr2bl w:val="nil"/>
            </w:tcBorders>
            <w:shd w:val="clear" w:color="auto" w:fill="auto"/>
            <w:tcMar>
              <w:top w:w="100" w:type="dxa"/>
              <w:left w:w="160" w:type="dxa"/>
              <w:bottom w:w="100" w:type="dxa"/>
              <w:right w:w="160" w:type="dxa"/>
            </w:tcMar>
            <w:vAlign w:val="center"/>
          </w:tcPr>
          <w:p w14:paraId="455DE1C4">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≤5s</w:t>
            </w:r>
          </w:p>
        </w:tc>
        <w:tc>
          <w:tcPr>
            <w:tcW w:w="1827" w:type="dxa"/>
            <w:tcBorders>
              <w:tl2br w:val="nil"/>
              <w:tr2bl w:val="nil"/>
            </w:tcBorders>
            <w:shd w:val="clear" w:color="auto" w:fill="auto"/>
            <w:tcMar>
              <w:top w:w="100" w:type="dxa"/>
              <w:left w:w="160" w:type="dxa"/>
              <w:bottom w:w="100" w:type="dxa"/>
              <w:right w:w="0" w:type="dxa"/>
            </w:tcMar>
            <w:vAlign w:val="center"/>
          </w:tcPr>
          <w:p w14:paraId="416B3E4E">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≤5%</w:t>
            </w:r>
          </w:p>
        </w:tc>
      </w:tr>
      <w:tr w14:paraId="4EC6D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48" w:type="dxa"/>
            <w:tcBorders>
              <w:tl2br w:val="nil"/>
              <w:tr2bl w:val="nil"/>
            </w:tcBorders>
            <w:shd w:val="clear" w:color="auto" w:fill="auto"/>
            <w:tcMar>
              <w:top w:w="100" w:type="dxa"/>
              <w:left w:w="0" w:type="dxa"/>
              <w:bottom w:w="100" w:type="dxa"/>
              <w:right w:w="160" w:type="dxa"/>
            </w:tcMar>
            <w:vAlign w:val="center"/>
          </w:tcPr>
          <w:p w14:paraId="20F1EAC8">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5</w:t>
            </w:r>
          </w:p>
        </w:tc>
        <w:tc>
          <w:tcPr>
            <w:tcW w:w="2173" w:type="dxa"/>
            <w:tcBorders>
              <w:tl2br w:val="nil"/>
              <w:tr2bl w:val="nil"/>
            </w:tcBorders>
            <w:shd w:val="clear" w:color="auto" w:fill="auto"/>
            <w:tcMar>
              <w:top w:w="100" w:type="dxa"/>
              <w:left w:w="160" w:type="dxa"/>
              <w:bottom w:w="100" w:type="dxa"/>
              <w:right w:w="160" w:type="dxa"/>
            </w:tcMar>
            <w:vAlign w:val="center"/>
          </w:tcPr>
          <w:p w14:paraId="5BFB6EC5">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污闪自动校核预警</w:t>
            </w:r>
          </w:p>
        </w:tc>
        <w:tc>
          <w:tcPr>
            <w:tcW w:w="1482" w:type="dxa"/>
            <w:tcBorders>
              <w:tl2br w:val="nil"/>
              <w:tr2bl w:val="nil"/>
            </w:tcBorders>
            <w:shd w:val="clear" w:color="auto" w:fill="auto"/>
            <w:tcMar>
              <w:top w:w="100" w:type="dxa"/>
              <w:left w:w="160" w:type="dxa"/>
              <w:bottom w:w="100" w:type="dxa"/>
              <w:right w:w="160" w:type="dxa"/>
            </w:tcMar>
            <w:vAlign w:val="center"/>
          </w:tcPr>
          <w:p w14:paraId="0CFDBCF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100%</w:t>
            </w:r>
          </w:p>
        </w:tc>
        <w:tc>
          <w:tcPr>
            <w:tcW w:w="1663" w:type="dxa"/>
            <w:tcBorders>
              <w:tl2br w:val="nil"/>
              <w:tr2bl w:val="nil"/>
            </w:tcBorders>
            <w:shd w:val="clear" w:color="auto" w:fill="auto"/>
            <w:tcMar>
              <w:top w:w="100" w:type="dxa"/>
              <w:left w:w="160" w:type="dxa"/>
              <w:bottom w:w="100" w:type="dxa"/>
              <w:right w:w="160" w:type="dxa"/>
            </w:tcMar>
            <w:vAlign w:val="center"/>
          </w:tcPr>
          <w:p w14:paraId="3B450119">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≤5s</w:t>
            </w:r>
          </w:p>
        </w:tc>
        <w:tc>
          <w:tcPr>
            <w:tcW w:w="1827" w:type="dxa"/>
            <w:tcBorders>
              <w:tl2br w:val="nil"/>
              <w:tr2bl w:val="nil"/>
            </w:tcBorders>
            <w:shd w:val="clear" w:color="auto" w:fill="auto"/>
            <w:tcMar>
              <w:top w:w="100" w:type="dxa"/>
              <w:left w:w="160" w:type="dxa"/>
              <w:bottom w:w="100" w:type="dxa"/>
              <w:right w:w="0" w:type="dxa"/>
            </w:tcMar>
            <w:vAlign w:val="center"/>
          </w:tcPr>
          <w:p w14:paraId="5BF436B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kern w:val="0"/>
                <w:sz w:val="21"/>
                <w:szCs w:val="21"/>
                <w:highlight w:val="none"/>
                <w:lang w:val="en-US" w:eastAsia="zh-CN" w:bidi="ar"/>
              </w:rPr>
              <w:t>≤5%</w:t>
            </w:r>
          </w:p>
        </w:tc>
      </w:tr>
    </w:tbl>
    <w:p w14:paraId="7125E6C9">
      <w:pPr>
        <w:rPr>
          <w:rFonts w:hint="eastAsia" w:ascii="宋体" w:hAnsi="宋体" w:cs="宋体"/>
          <w:sz w:val="24"/>
          <w:highlight w:val="none"/>
          <w:lang w:eastAsia="zh-CN"/>
        </w:rPr>
      </w:pPr>
      <w:r>
        <w:rPr>
          <w:rFonts w:hint="eastAsia" w:ascii="宋体" w:hAnsi="宋体" w:cs="宋体"/>
          <w:sz w:val="24"/>
          <w:highlight w:val="none"/>
          <w:lang w:val="en-US" w:eastAsia="zh-CN"/>
        </w:rPr>
        <w:t>1</w:t>
      </w:r>
      <w:r>
        <w:rPr>
          <w:rFonts w:hint="eastAsia" w:ascii="宋体" w:hAnsi="宋体" w:cs="宋体"/>
          <w:sz w:val="24"/>
          <w:highlight w:val="none"/>
          <w:lang w:eastAsia="zh-CN"/>
        </w:rPr>
        <w:t>）台风风险预警准确率100%。</w:t>
      </w:r>
    </w:p>
    <w:p w14:paraId="44606F55">
      <w:pPr>
        <w:rPr>
          <w:rFonts w:hint="eastAsia" w:ascii="宋体" w:hAnsi="宋体" w:cs="宋体"/>
          <w:sz w:val="24"/>
          <w:highlight w:val="none"/>
          <w:lang w:eastAsia="zh-CN"/>
        </w:rPr>
      </w:pPr>
      <w:r>
        <w:rPr>
          <w:rFonts w:hint="eastAsia" w:ascii="宋体" w:hAnsi="宋体" w:cs="宋体"/>
          <w:sz w:val="24"/>
          <w:highlight w:val="none"/>
          <w:lang w:val="en-US" w:eastAsia="zh-CN"/>
        </w:rPr>
        <w:t>2</w:t>
      </w:r>
      <w:r>
        <w:rPr>
          <w:rFonts w:hint="eastAsia" w:ascii="宋体" w:hAnsi="宋体" w:cs="宋体"/>
          <w:sz w:val="24"/>
          <w:highlight w:val="none"/>
          <w:lang w:eastAsia="zh-CN"/>
        </w:rPr>
        <w:t>）山火自动分析告警准确率100%。</w:t>
      </w:r>
    </w:p>
    <w:p w14:paraId="0E3E1574">
      <w:pPr>
        <w:rPr>
          <w:rFonts w:hint="eastAsia" w:ascii="宋体" w:hAnsi="宋体" w:cs="宋体"/>
          <w:sz w:val="24"/>
          <w:highlight w:val="none"/>
          <w:lang w:eastAsia="zh-CN"/>
        </w:rPr>
      </w:pPr>
      <w:r>
        <w:rPr>
          <w:rFonts w:hint="eastAsia" w:ascii="宋体" w:hAnsi="宋体" w:cs="宋体"/>
          <w:sz w:val="24"/>
          <w:highlight w:val="none"/>
          <w:lang w:val="en-US" w:eastAsia="zh-CN"/>
        </w:rPr>
        <w:t>3</w:t>
      </w:r>
      <w:r>
        <w:rPr>
          <w:rFonts w:hint="eastAsia" w:ascii="宋体" w:hAnsi="宋体" w:cs="宋体"/>
          <w:sz w:val="24"/>
          <w:highlight w:val="none"/>
          <w:lang w:eastAsia="zh-CN"/>
        </w:rPr>
        <w:t>）风偏校验准确率100%。</w:t>
      </w:r>
    </w:p>
    <w:p w14:paraId="07C7D197">
      <w:pPr>
        <w:rPr>
          <w:rFonts w:hint="eastAsia" w:ascii="宋体" w:hAnsi="宋体" w:cs="宋体"/>
          <w:sz w:val="24"/>
          <w:highlight w:val="none"/>
          <w:lang w:eastAsia="zh-CN"/>
        </w:rPr>
      </w:pPr>
      <w:r>
        <w:rPr>
          <w:rFonts w:hint="eastAsia" w:ascii="宋体" w:hAnsi="宋体" w:cs="宋体"/>
          <w:sz w:val="24"/>
          <w:highlight w:val="none"/>
          <w:lang w:val="en-US" w:eastAsia="zh-CN"/>
        </w:rPr>
        <w:t>4</w:t>
      </w:r>
      <w:r>
        <w:rPr>
          <w:rFonts w:hint="eastAsia" w:ascii="宋体" w:hAnsi="宋体" w:cs="宋体"/>
          <w:sz w:val="24"/>
          <w:highlight w:val="none"/>
          <w:lang w:eastAsia="zh-CN"/>
        </w:rPr>
        <w:t>）污闪自动校核预警准确率100%。</w:t>
      </w:r>
    </w:p>
    <w:p w14:paraId="5388C3D5">
      <w:pPr>
        <w:rPr>
          <w:rFonts w:hint="eastAsia" w:ascii="宋体" w:hAnsi="宋体" w:cs="宋体"/>
          <w:sz w:val="24"/>
          <w:highlight w:val="none"/>
          <w:lang w:eastAsia="zh-CN"/>
        </w:rPr>
      </w:pPr>
      <w:r>
        <w:rPr>
          <w:rFonts w:hint="eastAsia" w:ascii="宋体" w:hAnsi="宋体" w:cs="宋体"/>
          <w:sz w:val="24"/>
          <w:highlight w:val="none"/>
          <w:lang w:val="en-US" w:eastAsia="zh-CN"/>
        </w:rPr>
        <w:t>5</w:t>
      </w:r>
      <w:r>
        <w:rPr>
          <w:rFonts w:hint="eastAsia" w:ascii="宋体" w:hAnsi="宋体" w:cs="宋体"/>
          <w:sz w:val="24"/>
          <w:highlight w:val="none"/>
          <w:lang w:eastAsia="zh-CN"/>
        </w:rPr>
        <w:t>）地质灾害预警准确率100%。</w:t>
      </w:r>
    </w:p>
    <w:p w14:paraId="10BCAE9E">
      <w:pPr>
        <w:rPr>
          <w:rFonts w:hint="eastAsia" w:ascii="宋体" w:hAnsi="宋体" w:cs="宋体"/>
          <w:sz w:val="24"/>
          <w:highlight w:val="none"/>
          <w:lang w:eastAsia="zh-CN"/>
        </w:rPr>
      </w:pPr>
      <w:r>
        <w:rPr>
          <w:rFonts w:hint="eastAsia" w:ascii="宋体" w:hAnsi="宋体" w:cs="宋体"/>
          <w:sz w:val="24"/>
          <w:highlight w:val="none"/>
          <w:lang w:val="en-US" w:eastAsia="zh-CN"/>
        </w:rPr>
        <w:t>6</w:t>
      </w:r>
      <w:r>
        <w:rPr>
          <w:rFonts w:hint="eastAsia" w:ascii="宋体" w:hAnsi="宋体" w:cs="宋体"/>
          <w:sz w:val="24"/>
          <w:highlight w:val="none"/>
          <w:lang w:eastAsia="zh-CN"/>
        </w:rPr>
        <w:t>）算法模型响应时间不大于5s。</w:t>
      </w:r>
    </w:p>
    <w:p w14:paraId="7852D4A7">
      <w:pPr>
        <w:rPr>
          <w:rFonts w:hint="eastAsia" w:ascii="宋体" w:hAnsi="宋体" w:cs="宋体"/>
          <w:sz w:val="24"/>
          <w:highlight w:val="none"/>
          <w:lang w:eastAsia="zh-CN"/>
        </w:rPr>
      </w:pPr>
      <w:r>
        <w:rPr>
          <w:rFonts w:hint="eastAsia" w:ascii="宋体" w:hAnsi="宋体" w:cs="宋体"/>
          <w:sz w:val="24"/>
          <w:highlight w:val="none"/>
          <w:lang w:val="en-US" w:eastAsia="zh-CN"/>
        </w:rPr>
        <w:t>7</w:t>
      </w:r>
      <w:r>
        <w:rPr>
          <w:rFonts w:hint="eastAsia" w:ascii="宋体" w:hAnsi="宋体" w:cs="宋体"/>
          <w:sz w:val="24"/>
          <w:highlight w:val="none"/>
          <w:lang w:eastAsia="zh-CN"/>
        </w:rPr>
        <w:t>）风偏校验</w:t>
      </w:r>
      <w:r>
        <w:rPr>
          <w:rFonts w:hint="eastAsia" w:ascii="宋体" w:hAnsi="宋体" w:cs="宋体"/>
          <w:sz w:val="24"/>
          <w:highlight w:val="none"/>
          <w:lang w:val="en-US" w:eastAsia="zh-CN"/>
        </w:rPr>
        <w:t>和污闪自动校核预警</w:t>
      </w:r>
      <w:r>
        <w:rPr>
          <w:rFonts w:hint="eastAsia" w:ascii="宋体" w:hAnsi="宋体" w:cs="宋体"/>
          <w:sz w:val="24"/>
          <w:highlight w:val="none"/>
          <w:lang w:eastAsia="zh-CN"/>
        </w:rPr>
        <w:t>规程相关算法误差不大于5%。</w:t>
      </w:r>
    </w:p>
    <w:p w14:paraId="39BB3C49">
      <w:pPr>
        <w:rPr>
          <w:rFonts w:hint="eastAsia" w:ascii="宋体" w:hAnsi="宋体" w:cs="宋体"/>
          <w:sz w:val="24"/>
          <w:highlight w:val="none"/>
          <w:lang w:eastAsia="zh-CN"/>
        </w:rPr>
      </w:pPr>
      <w:r>
        <w:rPr>
          <w:rFonts w:hint="eastAsia" w:ascii="宋体" w:hAnsi="宋体" w:cs="宋体"/>
          <w:sz w:val="24"/>
          <w:highlight w:val="none"/>
          <w:lang w:val="en-US" w:eastAsia="zh-CN"/>
        </w:rPr>
        <w:t>8</w:t>
      </w:r>
      <w:r>
        <w:rPr>
          <w:rFonts w:hint="eastAsia" w:ascii="宋体" w:hAnsi="宋体" w:cs="宋体"/>
          <w:sz w:val="24"/>
          <w:highlight w:val="none"/>
          <w:lang w:eastAsia="zh-CN"/>
        </w:rPr>
        <w:t>）选取影响台风、山火风险评估建模特征不少于15个。</w:t>
      </w:r>
    </w:p>
    <w:p w14:paraId="683EBF40">
      <w:pPr>
        <w:numPr>
          <w:ilvl w:val="0"/>
          <w:numId w:val="0"/>
        </w:numPr>
        <w:ind w:left="0" w:leftChars="0" w:firstLine="480" w:firstLineChars="200"/>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lang w:eastAsia="zh-CN"/>
          <w14:textFill>
            <w14:solidFill>
              <w14:schemeClr w14:val="tx1"/>
            </w14:solidFill>
          </w14:textFill>
        </w:rPr>
        <w:t>验收材料类交付物</w:t>
      </w:r>
    </w:p>
    <w:p w14:paraId="0D08ADE5">
      <w:pPr>
        <w:rPr>
          <w:rFonts w:hint="eastAsia" w:ascii="宋体" w:hAnsi="宋体" w:cs="宋体"/>
          <w:sz w:val="24"/>
          <w:highlight w:val="none"/>
          <w:lang w:eastAsia="zh-CN"/>
        </w:rPr>
      </w:pPr>
      <w:r>
        <w:rPr>
          <w:rFonts w:hint="eastAsia" w:ascii="宋体" w:hAnsi="宋体" w:cs="宋体"/>
          <w:sz w:val="24"/>
          <w:highlight w:val="none"/>
          <w:lang w:eastAsia="zh-CN"/>
        </w:rPr>
        <w:t>项目验收所需其他相关材料，含工作总结、试点应用情况说明等，具体要求由招标方验收方案确定。</w:t>
      </w:r>
    </w:p>
    <w:p w14:paraId="6674EB7E">
      <w:pPr>
        <w:pStyle w:val="23"/>
        <w:spacing w:before="156" w:after="156"/>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投标方技术文件编制要求</w:t>
      </w:r>
    </w:p>
    <w:p w14:paraId="3C49DB41">
      <w:pPr>
        <w:ind w:firstLine="480"/>
        <w:rPr>
          <w:color w:val="000000" w:themeColor="text1"/>
          <w:highlight w:val="none"/>
          <w14:textFill>
            <w14:solidFill>
              <w14:schemeClr w14:val="tx1"/>
            </w14:solidFill>
          </w14:textFill>
        </w:rPr>
      </w:pPr>
      <w:bookmarkStart w:id="35" w:name="_Toc531004268"/>
      <w:bookmarkStart w:id="36" w:name="_Toc309805603"/>
      <w:bookmarkStart w:id="37" w:name="_Toc312827039"/>
      <w:bookmarkStart w:id="38" w:name="_Toc309593279"/>
      <w:bookmarkStart w:id="39" w:name="_Toc441483968"/>
      <w:bookmarkStart w:id="40" w:name="_Toc531004214"/>
      <w:bookmarkStart w:id="41" w:name="_Toc309593208"/>
      <w:r>
        <w:rPr>
          <w:color w:val="000000" w:themeColor="text1"/>
          <w:highlight w:val="none"/>
          <w14:textFill>
            <w14:solidFill>
              <w14:schemeClr w14:val="tx1"/>
            </w14:solidFill>
          </w14:textFill>
        </w:rPr>
        <w:t>投标方</w:t>
      </w:r>
      <w:r>
        <w:rPr>
          <w:rFonts w:hint="eastAsia"/>
          <w:color w:val="000000" w:themeColor="text1"/>
          <w:highlight w:val="none"/>
          <w14:textFill>
            <w14:solidFill>
              <w14:schemeClr w14:val="tx1"/>
            </w14:solidFill>
          </w14:textFill>
        </w:rPr>
        <w:t>技术文件除按照招标文件要求编制外，还应包括以下内容：</w:t>
      </w:r>
    </w:p>
    <w:p w14:paraId="40DECB0B">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（1）投标方的项目团队详细情况（人员构成、各成员的专业方向及成就）。</w:t>
      </w:r>
    </w:p>
    <w:p w14:paraId="111E74C0">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（2）投标方在本项目相关技术领域发表的论文和专著，投标方所具备的软、硬件基础。</w:t>
      </w:r>
    </w:p>
    <w:p w14:paraId="0BC74CA2">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近3年承担的相关项目情况及证明材料，包括：项目来源、规模、项目主要研究内容、取得的成果、获得的奖项等；对于投标方已承担与本课题相似度高的项目在投标文件中进行详细阐述，内容包括：研究内容、执行情况、获得成果和奖励等；</w:t>
      </w:r>
    </w:p>
    <w:p w14:paraId="172CC19D">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（4）总体</w:t>
      </w:r>
      <w:r>
        <w:rPr>
          <w:color w:val="000000" w:themeColor="text1"/>
          <w:highlight w:val="none"/>
          <w14:textFill>
            <w14:solidFill>
              <w14:schemeClr w14:val="tx1"/>
            </w14:solidFill>
          </w14:textFill>
        </w:rPr>
        <w:t>技术方案</w:t>
      </w:r>
      <w:r>
        <w:rPr>
          <w:rFonts w:hint="eastAsia"/>
          <w:color w:val="000000" w:themeColor="text1"/>
          <w:highlight w:val="none"/>
          <w14:textFill>
            <w14:solidFill>
              <w14:schemeClr w14:val="tx1"/>
            </w14:solidFill>
          </w14:textFill>
        </w:rPr>
        <w:t>，包括：投标方对本课题研究现状的分析；主要研究思路或方法；详细技术方案描述，其中包括对本技术规范书已有内容的落实措施，以及对本课题研究内容（这些内容尽管有可能未在本技术规范书中具体明确的列出）的补充和拓展；</w:t>
      </w:r>
      <w:r>
        <w:rPr>
          <w:color w:val="000000" w:themeColor="text1"/>
          <w:highlight w:val="none"/>
          <w14:textFill>
            <w14:solidFill>
              <w14:schemeClr w14:val="tx1"/>
            </w14:solidFill>
          </w14:textFill>
        </w:rPr>
        <w:t>预期目标</w:t>
      </w:r>
      <w:r>
        <w:rPr>
          <w:rFonts w:hint="eastAsia"/>
          <w:color w:val="000000" w:themeColor="text1"/>
          <w:highlight w:val="none"/>
          <w14:textFill>
            <w14:solidFill>
              <w14:schemeClr w14:val="tx1"/>
            </w14:solidFill>
          </w14:textFill>
        </w:rPr>
        <w:t>和成果，主要技术难点、创新点及解决措施；人员分工和进度计划。</w:t>
      </w:r>
    </w:p>
    <w:p w14:paraId="7C468E8C">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（5）需</w:t>
      </w:r>
      <w:r>
        <w:rPr>
          <w:color w:val="000000" w:themeColor="text1"/>
          <w:highlight w:val="none"/>
          <w14:textFill>
            <w14:solidFill>
              <w14:schemeClr w14:val="tx1"/>
            </w14:solidFill>
          </w14:textFill>
        </w:rPr>
        <w:t>招标方配合的内容，包括人员、场地、提供的资料。</w:t>
      </w:r>
    </w:p>
    <w:p w14:paraId="63600DF5">
      <w:pPr>
        <w:pStyle w:val="2"/>
        <w:spacing w:before="312" w:after="1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工期进度要求</w:t>
      </w:r>
      <w:bookmarkEnd w:id="35"/>
      <w:bookmarkEnd w:id="36"/>
      <w:bookmarkEnd w:id="37"/>
      <w:bookmarkEnd w:id="38"/>
      <w:bookmarkEnd w:id="39"/>
      <w:bookmarkEnd w:id="40"/>
      <w:bookmarkEnd w:id="41"/>
    </w:p>
    <w:p w14:paraId="4608B3A2">
      <w:pPr>
        <w:ind w:left="7" w:leftChars="3"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本项目应按照下表所示进度安排开展</w:t>
      </w:r>
      <w:r>
        <w:rPr>
          <w:rFonts w:hint="eastAsia"/>
          <w:color w:val="000000" w:themeColor="text1"/>
          <w:highlight w:val="none"/>
          <w14:textFill>
            <w14:solidFill>
              <w14:schemeClr w14:val="tx1"/>
            </w14:solidFill>
          </w14:textFill>
        </w:rPr>
        <w:t>项目</w:t>
      </w:r>
      <w:r>
        <w:rPr>
          <w:color w:val="000000" w:themeColor="text1"/>
          <w:highlight w:val="none"/>
          <w14:textFill>
            <w14:solidFill>
              <w14:schemeClr w14:val="tx1"/>
            </w14:solidFill>
          </w14:textFill>
        </w:rPr>
        <w:t>研究工作：</w:t>
      </w:r>
    </w:p>
    <w:p w14:paraId="1274062B">
      <w:pPr>
        <w:pStyle w:val="3"/>
        <w:keepNext/>
        <w:ind w:firstLine="0" w:firstLineChars="0"/>
        <w:jc w:val="center"/>
        <w:rPr>
          <w:rFonts w:ascii="仿宋_GB2312" w:eastAsia="仿宋_GB2312"/>
          <w:color w:val="000000" w:themeColor="text1"/>
          <w:highlight w:val="none"/>
          <w14:textFill>
            <w14:solidFill>
              <w14:schemeClr w14:val="tx1"/>
            </w14:solidFill>
          </w14:textFill>
        </w:rPr>
      </w:pPr>
      <w:r>
        <w:rPr>
          <w:rFonts w:hint="eastAsia" w:ascii="仿宋_GB2312" w:eastAsia="仿宋_GB2312"/>
          <w:color w:val="000000" w:themeColor="text1"/>
          <w:highlight w:val="none"/>
          <w14:textFill>
            <w14:solidFill>
              <w14:schemeClr w14:val="tx1"/>
            </w14:solidFill>
          </w14:textFill>
        </w:rPr>
        <w:t xml:space="preserve">表 </w:t>
      </w:r>
      <w:r>
        <w:rPr>
          <w:rFonts w:hint="eastAsia" w:ascii="仿宋_GB2312" w:eastAsia="仿宋_GB2312"/>
          <w:color w:val="000000" w:themeColor="text1"/>
          <w:highlight w:val="none"/>
          <w14:textFill>
            <w14:solidFill>
              <w14:schemeClr w14:val="tx1"/>
            </w14:solidFill>
          </w14:textFill>
        </w:rPr>
        <w:fldChar w:fldCharType="begin"/>
      </w:r>
      <w:r>
        <w:rPr>
          <w:rFonts w:hint="eastAsia" w:ascii="仿宋_GB2312" w:eastAsia="仿宋_GB2312"/>
          <w:color w:val="000000" w:themeColor="text1"/>
          <w:highlight w:val="none"/>
          <w14:textFill>
            <w14:solidFill>
              <w14:schemeClr w14:val="tx1"/>
            </w14:solidFill>
          </w14:textFill>
        </w:rPr>
        <w:instrText xml:space="preserve"> STYLEREF 1 \s </w:instrText>
      </w:r>
      <w:r>
        <w:rPr>
          <w:rFonts w:hint="eastAsia" w:ascii="仿宋_GB2312" w:eastAsia="仿宋_GB2312"/>
          <w:color w:val="000000" w:themeColor="text1"/>
          <w:highlight w:val="none"/>
          <w14:textFill>
            <w14:solidFill>
              <w14:schemeClr w14:val="tx1"/>
            </w14:solidFill>
          </w14:textFill>
        </w:rPr>
        <w:fldChar w:fldCharType="separate"/>
      </w:r>
      <w:r>
        <w:rPr>
          <w:rFonts w:hint="eastAsia" w:ascii="仿宋_GB2312" w:eastAsia="仿宋_GB2312"/>
          <w:color w:val="000000" w:themeColor="text1"/>
          <w:highlight w:val="none"/>
          <w14:textFill>
            <w14:solidFill>
              <w14:schemeClr w14:val="tx1"/>
            </w14:solidFill>
          </w14:textFill>
        </w:rPr>
        <w:t>6</w:t>
      </w:r>
      <w:r>
        <w:rPr>
          <w:rFonts w:hint="eastAsia" w:ascii="仿宋_GB2312" w:eastAsia="仿宋_GB2312"/>
          <w:color w:val="000000" w:themeColor="text1"/>
          <w:highlight w:val="none"/>
          <w14:textFill>
            <w14:solidFill>
              <w14:schemeClr w14:val="tx1"/>
            </w14:solidFill>
          </w14:textFill>
        </w:rPr>
        <w:fldChar w:fldCharType="end"/>
      </w:r>
      <w:r>
        <w:rPr>
          <w:rFonts w:hint="eastAsia" w:ascii="仿宋_GB2312" w:eastAsia="仿宋_GB2312"/>
          <w:color w:val="000000" w:themeColor="text1"/>
          <w:highlight w:val="none"/>
          <w14:textFill>
            <w14:solidFill>
              <w14:schemeClr w14:val="tx1"/>
            </w14:solidFill>
          </w14:textFill>
        </w:rPr>
        <w:noBreakHyphen/>
      </w:r>
      <w:r>
        <w:rPr>
          <w:rFonts w:hint="eastAsia" w:ascii="仿宋_GB2312" w:eastAsia="仿宋_GB2312"/>
          <w:color w:val="000000" w:themeColor="text1"/>
          <w:highlight w:val="none"/>
          <w14:textFill>
            <w14:solidFill>
              <w14:schemeClr w14:val="tx1"/>
            </w14:solidFill>
          </w14:textFill>
        </w:rPr>
        <w:fldChar w:fldCharType="begin"/>
      </w:r>
      <w:r>
        <w:rPr>
          <w:rFonts w:hint="eastAsia" w:ascii="仿宋_GB2312" w:eastAsia="仿宋_GB2312"/>
          <w:color w:val="000000" w:themeColor="text1"/>
          <w:highlight w:val="none"/>
          <w14:textFill>
            <w14:solidFill>
              <w14:schemeClr w14:val="tx1"/>
            </w14:solidFill>
          </w14:textFill>
        </w:rPr>
        <w:instrText xml:space="preserve"> SEQ 表 \* ARABIC \s 1 </w:instrText>
      </w:r>
      <w:r>
        <w:rPr>
          <w:rFonts w:hint="eastAsia" w:ascii="仿宋_GB2312" w:eastAsia="仿宋_GB2312"/>
          <w:color w:val="000000" w:themeColor="text1"/>
          <w:highlight w:val="none"/>
          <w14:textFill>
            <w14:solidFill>
              <w14:schemeClr w14:val="tx1"/>
            </w14:solidFill>
          </w14:textFill>
        </w:rPr>
        <w:fldChar w:fldCharType="separate"/>
      </w:r>
      <w:r>
        <w:rPr>
          <w:rFonts w:hint="eastAsia" w:ascii="仿宋_GB2312" w:eastAsia="仿宋_GB2312"/>
          <w:color w:val="000000" w:themeColor="text1"/>
          <w:highlight w:val="none"/>
          <w14:textFill>
            <w14:solidFill>
              <w14:schemeClr w14:val="tx1"/>
            </w14:solidFill>
          </w14:textFill>
        </w:rPr>
        <w:t>1</w:t>
      </w:r>
      <w:r>
        <w:rPr>
          <w:rFonts w:hint="eastAsia" w:ascii="仿宋_GB2312" w:eastAsia="仿宋_GB2312"/>
          <w:color w:val="000000" w:themeColor="text1"/>
          <w:highlight w:val="none"/>
          <w14:textFill>
            <w14:solidFill>
              <w14:schemeClr w14:val="tx1"/>
            </w14:solidFill>
          </w14:textFill>
        </w:rPr>
        <w:fldChar w:fldCharType="end"/>
      </w:r>
      <w:r>
        <w:rPr>
          <w:rFonts w:hint="eastAsia" w:ascii="仿宋_GB2312" w:eastAsia="仿宋_GB2312"/>
          <w:color w:val="000000" w:themeColor="text1"/>
          <w:highlight w:val="none"/>
          <w14:textFill>
            <w14:solidFill>
              <w14:schemeClr w14:val="tx1"/>
            </w14:solidFill>
          </w14:textFill>
        </w:rPr>
        <w:t>项目进度安排</w:t>
      </w:r>
    </w:p>
    <w:tbl>
      <w:tblPr>
        <w:tblStyle w:val="11"/>
        <w:tblW w:w="8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8"/>
        <w:gridCol w:w="1448"/>
        <w:gridCol w:w="5347"/>
      </w:tblGrid>
      <w:tr w14:paraId="1D63C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8" w:type="dxa"/>
            <w:vAlign w:val="center"/>
          </w:tcPr>
          <w:p w14:paraId="3FF05C3D">
            <w:pPr>
              <w:spacing w:line="240" w:lineRule="auto"/>
              <w:ind w:firstLine="0" w:firstLineChars="0"/>
              <w:jc w:val="center"/>
              <w:rPr>
                <w:rFonts w:ascii="宋体" w:hAnsi="宋体"/>
                <w:b/>
                <w:color w:val="auto"/>
                <w:sz w:val="21"/>
                <w:szCs w:val="21"/>
                <w:highlight w:val="none"/>
              </w:rPr>
            </w:pPr>
            <w:r>
              <w:rPr>
                <w:rFonts w:hint="eastAsia" w:ascii="宋体" w:hAnsi="宋体"/>
                <w:b/>
                <w:color w:val="auto"/>
                <w:sz w:val="21"/>
                <w:szCs w:val="21"/>
                <w:highlight w:val="none"/>
              </w:rPr>
              <w:t>任务名称</w:t>
            </w:r>
          </w:p>
        </w:tc>
        <w:tc>
          <w:tcPr>
            <w:tcW w:w="1448" w:type="dxa"/>
            <w:vAlign w:val="center"/>
          </w:tcPr>
          <w:p w14:paraId="342AC14C">
            <w:pPr>
              <w:spacing w:line="240" w:lineRule="auto"/>
              <w:ind w:firstLine="0" w:firstLineChars="0"/>
              <w:jc w:val="center"/>
              <w:rPr>
                <w:rFonts w:ascii="宋体" w:hAnsi="宋体"/>
                <w:b/>
                <w:color w:val="auto"/>
                <w:sz w:val="21"/>
                <w:szCs w:val="21"/>
                <w:highlight w:val="none"/>
              </w:rPr>
            </w:pPr>
            <w:r>
              <w:rPr>
                <w:rFonts w:hint="eastAsia" w:ascii="宋体" w:hAnsi="宋体"/>
                <w:b/>
                <w:color w:val="auto"/>
                <w:sz w:val="21"/>
                <w:szCs w:val="21"/>
                <w:highlight w:val="none"/>
              </w:rPr>
              <w:t>时间要求</w:t>
            </w:r>
          </w:p>
        </w:tc>
        <w:tc>
          <w:tcPr>
            <w:tcW w:w="5347" w:type="dxa"/>
            <w:vAlign w:val="center"/>
          </w:tcPr>
          <w:p w14:paraId="700CAE2B">
            <w:pPr>
              <w:spacing w:line="240" w:lineRule="auto"/>
              <w:ind w:firstLine="0" w:firstLineChars="0"/>
              <w:jc w:val="center"/>
              <w:rPr>
                <w:rFonts w:ascii="宋体" w:hAnsi="宋体"/>
                <w:b/>
                <w:color w:val="auto"/>
                <w:sz w:val="21"/>
                <w:szCs w:val="21"/>
                <w:highlight w:val="none"/>
              </w:rPr>
            </w:pPr>
            <w:r>
              <w:rPr>
                <w:rFonts w:hint="eastAsia" w:ascii="宋体" w:hAnsi="宋体"/>
                <w:b/>
                <w:color w:val="auto"/>
                <w:sz w:val="21"/>
                <w:szCs w:val="21"/>
                <w:highlight w:val="none"/>
              </w:rPr>
              <w:t>主要内容及交付项</w:t>
            </w:r>
          </w:p>
        </w:tc>
      </w:tr>
      <w:tr w14:paraId="4863A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8" w:type="dxa"/>
            <w:vAlign w:val="center"/>
          </w:tcPr>
          <w:p w14:paraId="65A147BD">
            <w:pPr>
              <w:spacing w:line="240" w:lineRule="auto"/>
              <w:ind w:firstLine="0" w:firstLineChars="0"/>
              <w:jc w:val="center"/>
              <w:rPr>
                <w:rFonts w:ascii="宋体" w:hAnsi="宋体"/>
                <w:color w:val="auto"/>
                <w:sz w:val="21"/>
                <w:szCs w:val="21"/>
                <w:highlight w:val="none"/>
              </w:rPr>
            </w:pPr>
            <w:r>
              <w:rPr>
                <w:rFonts w:hint="eastAsia" w:ascii="宋体" w:hAnsi="宋体"/>
                <w:color w:val="auto"/>
                <w:sz w:val="21"/>
                <w:szCs w:val="21"/>
                <w:highlight w:val="none"/>
              </w:rPr>
              <w:t>项目实施方案编写</w:t>
            </w:r>
          </w:p>
        </w:tc>
        <w:tc>
          <w:tcPr>
            <w:tcW w:w="1448" w:type="dxa"/>
            <w:vAlign w:val="center"/>
          </w:tcPr>
          <w:p w14:paraId="1CA8AA4A">
            <w:pPr>
              <w:spacing w:line="240" w:lineRule="auto"/>
              <w:ind w:firstLine="0" w:firstLineChars="0"/>
              <w:jc w:val="center"/>
              <w:rPr>
                <w:rFonts w:ascii="宋体" w:hAnsi="宋体"/>
                <w:color w:val="auto"/>
                <w:sz w:val="21"/>
                <w:szCs w:val="21"/>
                <w:highlight w:val="none"/>
              </w:rPr>
            </w:pPr>
            <w:r>
              <w:rPr>
                <w:rFonts w:hint="eastAsia"/>
                <w:color w:val="auto"/>
                <w:sz w:val="21"/>
                <w:highlight w:val="none"/>
              </w:rPr>
              <w:t>合同签订后15日</w:t>
            </w:r>
          </w:p>
        </w:tc>
        <w:tc>
          <w:tcPr>
            <w:tcW w:w="5347" w:type="dxa"/>
            <w:vAlign w:val="center"/>
          </w:tcPr>
          <w:p w14:paraId="4AAAB85C">
            <w:pPr>
              <w:spacing w:line="240" w:lineRule="auto"/>
              <w:ind w:firstLine="0" w:firstLineChars="0"/>
              <w:jc w:val="both"/>
              <w:rPr>
                <w:rFonts w:ascii="宋体" w:hAnsi="宋体"/>
                <w:color w:val="auto"/>
                <w:sz w:val="21"/>
                <w:szCs w:val="21"/>
                <w:highlight w:val="none"/>
              </w:rPr>
            </w:pPr>
            <w:r>
              <w:rPr>
                <w:rFonts w:hint="eastAsia" w:ascii="宋体" w:hAnsi="宋体"/>
                <w:b/>
                <w:color w:val="auto"/>
                <w:sz w:val="21"/>
                <w:szCs w:val="21"/>
                <w:highlight w:val="none"/>
              </w:rPr>
              <w:t>主要内容</w:t>
            </w:r>
            <w:r>
              <w:rPr>
                <w:rFonts w:hint="eastAsia" w:ascii="宋体" w:hAnsi="宋体"/>
                <w:color w:val="auto"/>
                <w:sz w:val="21"/>
                <w:szCs w:val="21"/>
                <w:highlight w:val="none"/>
              </w:rPr>
              <w:t>：</w:t>
            </w:r>
          </w:p>
          <w:p w14:paraId="7E27683B">
            <w:pPr>
              <w:spacing w:line="240" w:lineRule="auto"/>
              <w:ind w:firstLine="199" w:firstLineChars="95"/>
              <w:jc w:val="both"/>
              <w:rPr>
                <w:rFonts w:ascii="宋体" w:hAnsi="宋体"/>
                <w:color w:val="auto"/>
                <w:sz w:val="21"/>
                <w:szCs w:val="21"/>
                <w:highlight w:val="none"/>
              </w:rPr>
            </w:pPr>
            <w:r>
              <w:rPr>
                <w:rFonts w:hint="eastAsia" w:ascii="宋体" w:hAnsi="宋体"/>
                <w:color w:val="auto"/>
                <w:sz w:val="21"/>
                <w:szCs w:val="21"/>
                <w:highlight w:val="none"/>
              </w:rPr>
              <w:t>（1）成立项目组，制定工作计划；</w:t>
            </w:r>
          </w:p>
          <w:p w14:paraId="711EF640">
            <w:pPr>
              <w:spacing w:line="240" w:lineRule="auto"/>
              <w:ind w:firstLine="199" w:firstLineChars="95"/>
              <w:jc w:val="both"/>
              <w:rPr>
                <w:rFonts w:ascii="宋体" w:hAnsi="宋体"/>
                <w:color w:val="auto"/>
                <w:sz w:val="21"/>
                <w:szCs w:val="21"/>
                <w:highlight w:val="none"/>
              </w:rPr>
            </w:pPr>
            <w:r>
              <w:rPr>
                <w:rFonts w:hint="eastAsia" w:ascii="宋体" w:hAnsi="宋体"/>
                <w:color w:val="auto"/>
                <w:sz w:val="21"/>
                <w:szCs w:val="21"/>
                <w:highlight w:val="none"/>
              </w:rPr>
              <w:t>（2）编写项目实施方案。</w:t>
            </w:r>
          </w:p>
          <w:p w14:paraId="0F1C678B">
            <w:pPr>
              <w:spacing w:line="240" w:lineRule="auto"/>
              <w:ind w:firstLine="0" w:firstLineChars="0"/>
              <w:jc w:val="both"/>
              <w:rPr>
                <w:rFonts w:ascii="宋体" w:hAnsi="宋体"/>
                <w:b/>
                <w:color w:val="auto"/>
                <w:sz w:val="21"/>
                <w:szCs w:val="21"/>
                <w:highlight w:val="none"/>
              </w:rPr>
            </w:pPr>
            <w:r>
              <w:rPr>
                <w:rFonts w:hint="eastAsia" w:ascii="宋体" w:hAnsi="宋体"/>
                <w:b/>
                <w:color w:val="auto"/>
                <w:sz w:val="21"/>
                <w:szCs w:val="21"/>
                <w:highlight w:val="none"/>
              </w:rPr>
              <w:t>交付项：</w:t>
            </w:r>
          </w:p>
          <w:p w14:paraId="07D0F7A0">
            <w:pPr>
              <w:spacing w:line="240" w:lineRule="auto"/>
              <w:ind w:firstLine="409" w:firstLineChars="195"/>
              <w:jc w:val="both"/>
              <w:rPr>
                <w:rFonts w:ascii="宋体" w:hAnsi="宋体"/>
                <w:color w:val="auto"/>
                <w:sz w:val="21"/>
                <w:szCs w:val="21"/>
                <w:highlight w:val="none"/>
              </w:rPr>
            </w:pPr>
            <w:r>
              <w:rPr>
                <w:rFonts w:hint="eastAsia" w:ascii="宋体" w:hAnsi="宋体"/>
                <w:color w:val="auto"/>
                <w:sz w:val="21"/>
                <w:szCs w:val="21"/>
                <w:highlight w:val="none"/>
              </w:rPr>
              <w:t>项目实施方案。</w:t>
            </w:r>
          </w:p>
        </w:tc>
      </w:tr>
      <w:tr w14:paraId="05EF7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8" w:type="dxa"/>
            <w:vAlign w:val="center"/>
          </w:tcPr>
          <w:p w14:paraId="7B59D59E">
            <w:pPr>
              <w:spacing w:line="240" w:lineRule="auto"/>
              <w:ind w:firstLine="0" w:firstLineChars="0"/>
              <w:jc w:val="center"/>
              <w:rPr>
                <w:rFonts w:ascii="宋体" w:hAnsi="宋体"/>
                <w:color w:val="auto"/>
                <w:sz w:val="21"/>
                <w:szCs w:val="21"/>
                <w:highlight w:val="none"/>
              </w:rPr>
            </w:pPr>
            <w:r>
              <w:rPr>
                <w:rFonts w:hint="eastAsia" w:ascii="宋体" w:hAnsi="宋体"/>
                <w:color w:val="auto"/>
                <w:sz w:val="21"/>
                <w:szCs w:val="21"/>
                <w:highlight w:val="none"/>
              </w:rPr>
              <w:t>风偏综合影响分析算法研究</w:t>
            </w:r>
          </w:p>
        </w:tc>
        <w:tc>
          <w:tcPr>
            <w:tcW w:w="1448" w:type="dxa"/>
            <w:vAlign w:val="center"/>
          </w:tcPr>
          <w:p w14:paraId="39FEF927">
            <w:pPr>
              <w:spacing w:line="240" w:lineRule="auto"/>
              <w:ind w:firstLine="0" w:firstLineChars="0"/>
              <w:jc w:val="center"/>
              <w:rPr>
                <w:rFonts w:ascii="宋体" w:hAnsi="宋体"/>
                <w:snapToGrid w:val="0"/>
                <w:color w:val="auto"/>
                <w:kern w:val="0"/>
                <w:sz w:val="21"/>
                <w:szCs w:val="21"/>
                <w:highlight w:val="none"/>
              </w:rPr>
            </w:pPr>
            <w:r>
              <w:rPr>
                <w:rFonts w:hint="eastAsia" w:ascii="宋体" w:hAnsi="宋体"/>
                <w:color w:val="auto"/>
                <w:sz w:val="21"/>
                <w:szCs w:val="21"/>
                <w:highlight w:val="none"/>
              </w:rPr>
              <w:t>合同签订后</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个月</w:t>
            </w:r>
          </w:p>
        </w:tc>
        <w:tc>
          <w:tcPr>
            <w:tcW w:w="5347" w:type="dxa"/>
            <w:vAlign w:val="center"/>
          </w:tcPr>
          <w:p w14:paraId="3C887D0C">
            <w:pPr>
              <w:spacing w:line="240" w:lineRule="auto"/>
              <w:ind w:firstLine="0" w:firstLineChars="0"/>
              <w:jc w:val="both"/>
              <w:rPr>
                <w:rFonts w:ascii="宋体" w:hAnsi="宋体"/>
                <w:b/>
                <w:color w:val="auto"/>
                <w:sz w:val="21"/>
                <w:szCs w:val="21"/>
                <w:highlight w:val="none"/>
              </w:rPr>
            </w:pPr>
            <w:r>
              <w:rPr>
                <w:rFonts w:hint="eastAsia" w:ascii="宋体" w:hAnsi="宋体"/>
                <w:b/>
                <w:color w:val="auto"/>
                <w:sz w:val="21"/>
                <w:szCs w:val="21"/>
                <w:highlight w:val="none"/>
              </w:rPr>
              <w:t>主要内容：</w:t>
            </w:r>
          </w:p>
          <w:p w14:paraId="540F496E">
            <w:pPr>
              <w:spacing w:line="240" w:lineRule="auto"/>
              <w:ind w:firstLine="420"/>
              <w:jc w:val="both"/>
              <w:rPr>
                <w:rFonts w:ascii="宋体" w:hAnsi="宋体"/>
                <w:color w:val="auto"/>
                <w:sz w:val="21"/>
                <w:szCs w:val="21"/>
                <w:highlight w:val="none"/>
              </w:rPr>
            </w:pPr>
            <w:r>
              <w:rPr>
                <w:rFonts w:hint="eastAsia" w:ascii="宋体" w:hAnsi="宋体"/>
                <w:color w:val="auto"/>
                <w:sz w:val="21"/>
                <w:szCs w:val="21"/>
                <w:highlight w:val="none"/>
              </w:rPr>
              <w:t>研究海量数据处理与特征工程大数据技术，评估风偏影响线路范围和程度，实现多源数据融合的实时风偏隐患精准评估。</w:t>
            </w:r>
          </w:p>
          <w:p w14:paraId="1D9C49D8">
            <w:pPr>
              <w:spacing w:line="240" w:lineRule="auto"/>
              <w:ind w:firstLine="0" w:firstLineChars="0"/>
              <w:jc w:val="both"/>
              <w:rPr>
                <w:rFonts w:ascii="宋体" w:hAnsi="宋体"/>
                <w:b/>
                <w:color w:val="auto"/>
                <w:sz w:val="21"/>
                <w:szCs w:val="21"/>
                <w:highlight w:val="none"/>
              </w:rPr>
            </w:pPr>
            <w:r>
              <w:rPr>
                <w:rFonts w:hint="eastAsia" w:ascii="宋体" w:hAnsi="宋体"/>
                <w:b/>
                <w:color w:val="auto"/>
                <w:sz w:val="21"/>
                <w:szCs w:val="21"/>
                <w:highlight w:val="none"/>
              </w:rPr>
              <w:t>交付项：</w:t>
            </w:r>
          </w:p>
          <w:p w14:paraId="50DF3D58">
            <w:pPr>
              <w:spacing w:line="240" w:lineRule="auto"/>
              <w:ind w:firstLine="210" w:firstLineChars="100"/>
              <w:jc w:val="both"/>
              <w:rPr>
                <w:rFonts w:ascii="宋体" w:hAnsi="宋体"/>
                <w:color w:val="FF0000"/>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完成算法技术报告风偏综合影响分析算法部分</w:t>
            </w:r>
            <w:r>
              <w:rPr>
                <w:rFonts w:hint="eastAsia" w:ascii="宋体" w:hAnsi="宋体"/>
                <w:color w:val="auto"/>
                <w:sz w:val="21"/>
                <w:szCs w:val="21"/>
                <w:highlight w:val="none"/>
              </w:rPr>
              <w:t>。</w:t>
            </w:r>
          </w:p>
        </w:tc>
      </w:tr>
      <w:tr w14:paraId="2CF9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8" w:type="dxa"/>
            <w:vAlign w:val="center"/>
          </w:tcPr>
          <w:p w14:paraId="31C8C950">
            <w:pPr>
              <w:spacing w:line="240" w:lineRule="auto"/>
              <w:ind w:firstLine="0" w:firstLineChars="0"/>
              <w:jc w:val="center"/>
              <w:rPr>
                <w:rFonts w:hint="eastAsia" w:ascii="宋体" w:hAnsi="宋体"/>
                <w:color w:val="auto"/>
                <w:sz w:val="21"/>
                <w:szCs w:val="21"/>
                <w:highlight w:val="none"/>
              </w:rPr>
            </w:pPr>
            <w:r>
              <w:rPr>
                <w:rFonts w:hint="eastAsia" w:ascii="宋体" w:hAnsi="宋体"/>
                <w:color w:val="auto"/>
                <w:sz w:val="21"/>
                <w:szCs w:val="21"/>
                <w:highlight w:val="none"/>
              </w:rPr>
              <w:t>污闪综合影响分析算法研究</w:t>
            </w:r>
          </w:p>
        </w:tc>
        <w:tc>
          <w:tcPr>
            <w:tcW w:w="1448" w:type="dxa"/>
            <w:vAlign w:val="center"/>
          </w:tcPr>
          <w:p w14:paraId="4CDA642D">
            <w:pPr>
              <w:spacing w:line="240" w:lineRule="auto"/>
              <w:ind w:firstLine="0" w:firstLineChars="0"/>
              <w:jc w:val="center"/>
              <w:rPr>
                <w:rFonts w:hint="eastAsia" w:ascii="宋体" w:hAnsi="宋体"/>
                <w:color w:val="auto"/>
                <w:sz w:val="21"/>
                <w:szCs w:val="21"/>
                <w:highlight w:val="none"/>
              </w:rPr>
            </w:pPr>
            <w:r>
              <w:rPr>
                <w:rFonts w:hint="eastAsia" w:ascii="宋体" w:hAnsi="宋体"/>
                <w:color w:val="auto"/>
                <w:sz w:val="21"/>
                <w:szCs w:val="21"/>
                <w:highlight w:val="none"/>
              </w:rPr>
              <w:t>合同签订后</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个月</w:t>
            </w:r>
          </w:p>
        </w:tc>
        <w:tc>
          <w:tcPr>
            <w:tcW w:w="5347" w:type="dxa"/>
            <w:vAlign w:val="center"/>
          </w:tcPr>
          <w:p w14:paraId="6D16790D">
            <w:pPr>
              <w:spacing w:line="240" w:lineRule="auto"/>
              <w:ind w:firstLine="0" w:firstLineChars="0"/>
              <w:jc w:val="both"/>
              <w:rPr>
                <w:rFonts w:ascii="宋体" w:hAnsi="宋体"/>
                <w:b/>
                <w:color w:val="auto"/>
                <w:sz w:val="21"/>
                <w:szCs w:val="21"/>
                <w:highlight w:val="none"/>
              </w:rPr>
            </w:pPr>
            <w:r>
              <w:rPr>
                <w:rFonts w:hint="eastAsia" w:ascii="宋体" w:hAnsi="宋体"/>
                <w:b/>
                <w:color w:val="auto"/>
                <w:sz w:val="21"/>
                <w:szCs w:val="21"/>
                <w:highlight w:val="none"/>
              </w:rPr>
              <w:t>主要内容：</w:t>
            </w:r>
          </w:p>
          <w:p w14:paraId="5397BA85">
            <w:pPr>
              <w:spacing w:line="240" w:lineRule="auto"/>
              <w:ind w:firstLine="420"/>
              <w:jc w:val="both"/>
              <w:rPr>
                <w:rFonts w:ascii="宋体" w:hAnsi="宋体"/>
                <w:color w:val="auto"/>
                <w:sz w:val="21"/>
                <w:szCs w:val="21"/>
                <w:highlight w:val="none"/>
              </w:rPr>
            </w:pPr>
            <w:r>
              <w:rPr>
                <w:rFonts w:hint="eastAsia" w:ascii="宋体" w:hAnsi="宋体"/>
                <w:color w:val="auto"/>
                <w:sz w:val="21"/>
                <w:szCs w:val="21"/>
                <w:highlight w:val="none"/>
              </w:rPr>
              <w:t>研究海量数据处理与特征工程大数据技术，评估污闪影响线路范围和程度，实现多源数据融合的实时污闪隐患精准评估。</w:t>
            </w:r>
          </w:p>
          <w:p w14:paraId="78EAFC08">
            <w:pPr>
              <w:spacing w:line="240" w:lineRule="auto"/>
              <w:ind w:firstLine="0" w:firstLineChars="0"/>
              <w:jc w:val="both"/>
              <w:rPr>
                <w:rFonts w:ascii="宋体" w:hAnsi="宋体"/>
                <w:b/>
                <w:color w:val="auto"/>
                <w:sz w:val="21"/>
                <w:szCs w:val="21"/>
                <w:highlight w:val="none"/>
              </w:rPr>
            </w:pPr>
            <w:r>
              <w:rPr>
                <w:rFonts w:hint="eastAsia" w:ascii="宋体" w:hAnsi="宋体"/>
                <w:b/>
                <w:color w:val="auto"/>
                <w:sz w:val="21"/>
                <w:szCs w:val="21"/>
                <w:highlight w:val="none"/>
              </w:rPr>
              <w:t>交付项：</w:t>
            </w:r>
          </w:p>
          <w:p w14:paraId="00287E8B">
            <w:pPr>
              <w:spacing w:line="240" w:lineRule="auto"/>
              <w:ind w:firstLine="210" w:firstLineChars="100"/>
              <w:jc w:val="both"/>
              <w:rPr>
                <w:rFonts w:hint="eastAsia"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完成算法技术报告污闪综合影响分析算法部分</w:t>
            </w:r>
            <w:r>
              <w:rPr>
                <w:rFonts w:hint="eastAsia" w:ascii="宋体" w:hAnsi="宋体"/>
                <w:color w:val="auto"/>
                <w:sz w:val="21"/>
                <w:szCs w:val="21"/>
                <w:highlight w:val="none"/>
              </w:rPr>
              <w:t>。</w:t>
            </w:r>
          </w:p>
        </w:tc>
      </w:tr>
      <w:tr w14:paraId="5405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8" w:type="dxa"/>
            <w:vAlign w:val="center"/>
          </w:tcPr>
          <w:p w14:paraId="55DA2C4F">
            <w:pPr>
              <w:spacing w:line="240" w:lineRule="auto"/>
              <w:ind w:firstLine="0" w:firstLineChars="0"/>
              <w:jc w:val="center"/>
              <w:rPr>
                <w:rFonts w:hint="eastAsia" w:ascii="宋体" w:hAnsi="宋体"/>
                <w:color w:val="auto"/>
                <w:sz w:val="21"/>
                <w:szCs w:val="21"/>
                <w:highlight w:val="none"/>
              </w:rPr>
            </w:pPr>
            <w:r>
              <w:rPr>
                <w:rFonts w:hint="eastAsia" w:ascii="宋体" w:hAnsi="宋体"/>
                <w:color w:val="auto"/>
                <w:sz w:val="21"/>
                <w:szCs w:val="21"/>
                <w:highlight w:val="none"/>
              </w:rPr>
              <w:t>输电大数据算法应用开发</w:t>
            </w:r>
            <w:r>
              <w:rPr>
                <w:rFonts w:hint="eastAsia" w:ascii="宋体" w:hAnsi="宋体"/>
                <w:color w:val="auto"/>
                <w:sz w:val="21"/>
                <w:szCs w:val="21"/>
                <w:highlight w:val="none"/>
                <w:lang w:val="en-US" w:eastAsia="zh-CN"/>
              </w:rPr>
              <w:t>以及试点应用</w:t>
            </w:r>
          </w:p>
        </w:tc>
        <w:tc>
          <w:tcPr>
            <w:tcW w:w="1448" w:type="dxa"/>
            <w:vAlign w:val="center"/>
          </w:tcPr>
          <w:p w14:paraId="5E3C2ED5">
            <w:pPr>
              <w:spacing w:line="240" w:lineRule="auto"/>
              <w:ind w:firstLine="0" w:firstLineChars="0"/>
              <w:jc w:val="center"/>
              <w:rPr>
                <w:rFonts w:hint="eastAsia" w:ascii="宋体" w:hAnsi="宋体"/>
                <w:color w:val="auto"/>
                <w:sz w:val="21"/>
                <w:szCs w:val="21"/>
                <w:highlight w:val="none"/>
              </w:rPr>
            </w:pPr>
            <w:r>
              <w:rPr>
                <w:rFonts w:hint="eastAsia" w:ascii="宋体" w:hAnsi="宋体"/>
                <w:color w:val="auto"/>
                <w:sz w:val="21"/>
                <w:szCs w:val="21"/>
                <w:highlight w:val="none"/>
              </w:rPr>
              <w:t>合同签订后</w:t>
            </w:r>
            <w:r>
              <w:rPr>
                <w:rFonts w:hint="eastAsia" w:ascii="宋体" w:hAnsi="宋体"/>
                <w:color w:val="auto"/>
                <w:sz w:val="21"/>
                <w:szCs w:val="21"/>
                <w:highlight w:val="none"/>
                <w:lang w:val="en-US" w:eastAsia="zh-CN"/>
              </w:rPr>
              <w:t>9</w:t>
            </w:r>
            <w:r>
              <w:rPr>
                <w:rFonts w:hint="eastAsia" w:ascii="宋体" w:hAnsi="宋体"/>
                <w:color w:val="auto"/>
                <w:sz w:val="21"/>
                <w:szCs w:val="21"/>
                <w:highlight w:val="none"/>
              </w:rPr>
              <w:t>个月</w:t>
            </w:r>
          </w:p>
        </w:tc>
        <w:tc>
          <w:tcPr>
            <w:tcW w:w="5347" w:type="dxa"/>
            <w:vAlign w:val="center"/>
          </w:tcPr>
          <w:p w14:paraId="60ED9D0E">
            <w:pPr>
              <w:spacing w:line="240" w:lineRule="auto"/>
              <w:ind w:firstLine="0" w:firstLineChars="0"/>
              <w:jc w:val="both"/>
              <w:rPr>
                <w:rFonts w:ascii="宋体" w:hAnsi="宋体"/>
                <w:b/>
                <w:color w:val="auto"/>
                <w:sz w:val="21"/>
                <w:szCs w:val="21"/>
                <w:highlight w:val="none"/>
              </w:rPr>
            </w:pPr>
            <w:r>
              <w:rPr>
                <w:rFonts w:hint="eastAsia" w:ascii="宋体" w:hAnsi="宋体"/>
                <w:b/>
                <w:color w:val="auto"/>
                <w:sz w:val="21"/>
                <w:szCs w:val="21"/>
                <w:highlight w:val="none"/>
              </w:rPr>
              <w:t>主要内容：</w:t>
            </w:r>
          </w:p>
          <w:p w14:paraId="1F3BFF69">
            <w:pPr>
              <w:spacing w:line="240" w:lineRule="auto"/>
              <w:ind w:firstLine="420"/>
              <w:jc w:val="both"/>
              <w:rPr>
                <w:rFonts w:ascii="宋体" w:hAnsi="宋体"/>
                <w:color w:val="auto"/>
                <w:sz w:val="21"/>
                <w:szCs w:val="21"/>
                <w:highlight w:val="none"/>
              </w:rPr>
            </w:pPr>
            <w:r>
              <w:rPr>
                <w:rFonts w:hint="eastAsia" w:ascii="宋体" w:hAnsi="宋体"/>
                <w:color w:val="auto"/>
                <w:sz w:val="21"/>
                <w:szCs w:val="21"/>
                <w:highlight w:val="none"/>
              </w:rPr>
              <w:t>实现台账数据自动提取，自动关联，减少人工重复录用。验证、优化模型并最终实现指导运维单位开展防灾减灾隐患清理，减少输电通道跳闸的效果。</w:t>
            </w:r>
          </w:p>
          <w:p w14:paraId="54F4F023">
            <w:pPr>
              <w:spacing w:line="240" w:lineRule="auto"/>
              <w:ind w:firstLine="0" w:firstLineChars="0"/>
              <w:jc w:val="both"/>
              <w:rPr>
                <w:rFonts w:ascii="宋体" w:hAnsi="宋体"/>
                <w:b/>
                <w:color w:val="auto"/>
                <w:sz w:val="21"/>
                <w:szCs w:val="21"/>
                <w:highlight w:val="none"/>
              </w:rPr>
            </w:pPr>
            <w:r>
              <w:rPr>
                <w:rFonts w:hint="eastAsia" w:ascii="宋体" w:hAnsi="宋体"/>
                <w:b/>
                <w:color w:val="auto"/>
                <w:sz w:val="21"/>
                <w:szCs w:val="21"/>
                <w:highlight w:val="none"/>
              </w:rPr>
              <w:t>交付项：</w:t>
            </w:r>
          </w:p>
          <w:p w14:paraId="45C2394E">
            <w:pPr>
              <w:spacing w:line="240" w:lineRule="auto"/>
              <w:ind w:firstLine="210" w:firstLineChars="100"/>
              <w:jc w:val="both"/>
              <w:rPr>
                <w:rFonts w:hint="eastAsia"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完善算法技术报告。</w:t>
            </w:r>
          </w:p>
        </w:tc>
      </w:tr>
      <w:tr w14:paraId="5B28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48" w:type="dxa"/>
            <w:vAlign w:val="center"/>
          </w:tcPr>
          <w:p w14:paraId="3A21D8C1">
            <w:pPr>
              <w:spacing w:line="240" w:lineRule="auto"/>
              <w:ind w:firstLine="0" w:firstLineChars="0"/>
              <w:jc w:val="center"/>
              <w:rPr>
                <w:rFonts w:ascii="宋体" w:hAnsi="宋体"/>
                <w:color w:val="auto"/>
                <w:sz w:val="21"/>
                <w:szCs w:val="21"/>
                <w:highlight w:val="none"/>
              </w:rPr>
            </w:pPr>
            <w:r>
              <w:rPr>
                <w:rFonts w:hint="eastAsia" w:ascii="宋体" w:hAnsi="宋体"/>
                <w:color w:val="auto"/>
                <w:sz w:val="21"/>
                <w:szCs w:val="21"/>
                <w:highlight w:val="none"/>
                <w:lang w:eastAsia="zh-CN"/>
              </w:rPr>
              <w:t>合同</w:t>
            </w:r>
            <w:r>
              <w:rPr>
                <w:rFonts w:hint="eastAsia" w:ascii="宋体" w:hAnsi="宋体"/>
                <w:color w:val="auto"/>
                <w:sz w:val="21"/>
                <w:szCs w:val="21"/>
                <w:highlight w:val="none"/>
              </w:rPr>
              <w:t>验收</w:t>
            </w:r>
          </w:p>
        </w:tc>
        <w:tc>
          <w:tcPr>
            <w:tcW w:w="1448" w:type="dxa"/>
            <w:vAlign w:val="center"/>
          </w:tcPr>
          <w:p w14:paraId="2E02DDDB">
            <w:pPr>
              <w:spacing w:line="240" w:lineRule="auto"/>
              <w:ind w:firstLine="0" w:firstLineChars="0"/>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rPr>
              <w:t>合同签订后</w:t>
            </w:r>
            <w:r>
              <w:rPr>
                <w:rFonts w:hint="eastAsia" w:ascii="宋体" w:hAnsi="宋体"/>
                <w:color w:val="auto"/>
                <w:sz w:val="21"/>
                <w:szCs w:val="21"/>
                <w:highlight w:val="none"/>
                <w:lang w:val="en-US" w:eastAsia="zh-CN"/>
              </w:rPr>
              <w:t>12</w:t>
            </w:r>
            <w:r>
              <w:rPr>
                <w:rFonts w:hint="eastAsia" w:ascii="宋体" w:hAnsi="宋体"/>
                <w:color w:val="auto"/>
                <w:sz w:val="21"/>
                <w:szCs w:val="21"/>
                <w:highlight w:val="none"/>
              </w:rPr>
              <w:t>个月</w:t>
            </w:r>
          </w:p>
        </w:tc>
        <w:tc>
          <w:tcPr>
            <w:tcW w:w="5347" w:type="dxa"/>
            <w:vAlign w:val="center"/>
          </w:tcPr>
          <w:p w14:paraId="2E47798D">
            <w:pPr>
              <w:spacing w:line="240" w:lineRule="auto"/>
              <w:ind w:firstLine="0" w:firstLineChars="0"/>
              <w:jc w:val="both"/>
              <w:rPr>
                <w:rFonts w:ascii="宋体" w:hAnsi="宋体"/>
                <w:b/>
                <w:color w:val="auto"/>
                <w:sz w:val="21"/>
                <w:szCs w:val="21"/>
                <w:highlight w:val="none"/>
              </w:rPr>
            </w:pPr>
            <w:r>
              <w:rPr>
                <w:rFonts w:hint="eastAsia" w:ascii="宋体" w:hAnsi="宋体"/>
                <w:b/>
                <w:color w:val="auto"/>
                <w:sz w:val="21"/>
                <w:szCs w:val="21"/>
                <w:highlight w:val="none"/>
              </w:rPr>
              <w:t>主要内容：</w:t>
            </w:r>
          </w:p>
          <w:p w14:paraId="74BEED29">
            <w:pPr>
              <w:spacing w:line="240" w:lineRule="auto"/>
              <w:ind w:firstLine="210" w:firstLineChars="100"/>
              <w:jc w:val="both"/>
              <w:rPr>
                <w:rFonts w:ascii="宋体" w:hAnsi="宋体"/>
                <w:color w:val="auto"/>
                <w:sz w:val="21"/>
                <w:szCs w:val="21"/>
                <w:highlight w:val="none"/>
              </w:rPr>
            </w:pPr>
            <w:r>
              <w:rPr>
                <w:rFonts w:hint="eastAsia" w:ascii="宋体" w:hAnsi="宋体"/>
                <w:color w:val="auto"/>
                <w:sz w:val="21"/>
                <w:szCs w:val="21"/>
                <w:highlight w:val="none"/>
              </w:rPr>
              <w:t>（1）整理、编写相关验收材料；</w:t>
            </w:r>
          </w:p>
          <w:p w14:paraId="745C8239">
            <w:pPr>
              <w:spacing w:line="240" w:lineRule="auto"/>
              <w:ind w:firstLine="210" w:firstLineChars="100"/>
              <w:jc w:val="both"/>
              <w:rPr>
                <w:rFonts w:ascii="宋体" w:hAnsi="宋体"/>
                <w:color w:val="auto"/>
                <w:sz w:val="21"/>
                <w:szCs w:val="21"/>
                <w:highlight w:val="none"/>
              </w:rPr>
            </w:pPr>
            <w:r>
              <w:rPr>
                <w:rFonts w:hint="eastAsia" w:ascii="宋体" w:hAnsi="宋体"/>
                <w:color w:val="auto"/>
                <w:sz w:val="21"/>
                <w:szCs w:val="21"/>
                <w:highlight w:val="none"/>
              </w:rPr>
              <w:t>（2）按既定考核方法及考核指标，组织专家对项目材料及研究成果进行评审、验收。</w:t>
            </w:r>
          </w:p>
          <w:p w14:paraId="2208E32E">
            <w:pPr>
              <w:spacing w:line="240" w:lineRule="auto"/>
              <w:ind w:firstLine="0" w:firstLineChars="0"/>
              <w:jc w:val="both"/>
              <w:rPr>
                <w:rFonts w:ascii="宋体" w:hAnsi="宋体"/>
                <w:b/>
                <w:color w:val="auto"/>
                <w:sz w:val="21"/>
                <w:szCs w:val="21"/>
                <w:highlight w:val="none"/>
              </w:rPr>
            </w:pPr>
            <w:r>
              <w:rPr>
                <w:rFonts w:hint="eastAsia" w:ascii="宋体" w:hAnsi="宋体"/>
                <w:b/>
                <w:color w:val="auto"/>
                <w:sz w:val="21"/>
                <w:szCs w:val="21"/>
                <w:highlight w:val="none"/>
              </w:rPr>
              <w:t>交付项：</w:t>
            </w:r>
          </w:p>
          <w:p w14:paraId="72B37C2C">
            <w:pPr>
              <w:spacing w:line="240" w:lineRule="auto"/>
              <w:ind w:firstLine="199" w:firstLineChars="95"/>
              <w:jc w:val="both"/>
              <w:rPr>
                <w:rFonts w:ascii="宋体" w:hAnsi="宋体"/>
                <w:color w:val="auto"/>
                <w:sz w:val="21"/>
                <w:szCs w:val="21"/>
                <w:highlight w:val="none"/>
              </w:rPr>
            </w:pPr>
            <w:r>
              <w:rPr>
                <w:rFonts w:hint="eastAsia" w:ascii="宋体" w:hAnsi="宋体"/>
                <w:color w:val="auto"/>
                <w:sz w:val="21"/>
                <w:szCs w:val="21"/>
                <w:highlight w:val="none"/>
              </w:rPr>
              <w:t>（1）完整的项目技术研究报告1份；</w:t>
            </w:r>
          </w:p>
          <w:p w14:paraId="35FB6ED8">
            <w:pPr>
              <w:spacing w:line="240" w:lineRule="auto"/>
              <w:ind w:firstLine="199" w:firstLineChars="95"/>
              <w:jc w:val="both"/>
              <w:rPr>
                <w:rFonts w:hint="default" w:ascii="宋体" w:hAnsi="宋体"/>
                <w:color w:val="auto"/>
                <w:sz w:val="21"/>
                <w:szCs w:val="21"/>
                <w:highlight w:val="none"/>
                <w:lang w:val="en-US" w:eastAsia="zh-CN"/>
              </w:rPr>
            </w:pPr>
            <w:r>
              <w:rPr>
                <w:rFonts w:hint="eastAsia" w:ascii="宋体" w:hAnsi="宋体"/>
                <w:color w:val="auto"/>
                <w:sz w:val="21"/>
                <w:szCs w:val="21"/>
                <w:highlight w:val="none"/>
              </w:rPr>
              <w:t>（2）项目审核验收相关材料</w:t>
            </w:r>
            <w:r>
              <w:rPr>
                <w:rFonts w:hint="eastAsia" w:ascii="宋体" w:hAnsi="宋体"/>
                <w:color w:val="auto"/>
                <w:sz w:val="21"/>
                <w:szCs w:val="21"/>
                <w:highlight w:val="none"/>
                <w:lang w:eastAsia="zh-CN"/>
              </w:rPr>
              <w:t>；</w:t>
            </w:r>
          </w:p>
        </w:tc>
      </w:tr>
    </w:tbl>
    <w:p w14:paraId="333CB17C">
      <w:pPr>
        <w:pStyle w:val="2"/>
        <w:spacing w:before="312" w:after="156"/>
        <w:rPr>
          <w:color w:val="000000" w:themeColor="text1"/>
          <w:highlight w:val="none"/>
          <w14:textFill>
            <w14:solidFill>
              <w14:schemeClr w14:val="tx1"/>
            </w14:solidFill>
          </w14:textFill>
        </w:rPr>
      </w:pPr>
      <w:bookmarkStart w:id="42" w:name="_Toc312827040"/>
      <w:bookmarkStart w:id="43" w:name="_Toc531004215"/>
      <w:bookmarkStart w:id="44" w:name="_Toc309593280"/>
      <w:bookmarkStart w:id="45" w:name="_Toc309593209"/>
      <w:bookmarkStart w:id="46" w:name="_Toc441483969"/>
      <w:bookmarkStart w:id="47" w:name="_Toc531004269"/>
      <w:bookmarkStart w:id="48" w:name="_Toc309805604"/>
      <w:r>
        <w:rPr>
          <w:color w:val="000000" w:themeColor="text1"/>
          <w:highlight w:val="none"/>
          <w14:textFill>
            <w14:solidFill>
              <w14:schemeClr w14:val="tx1"/>
            </w14:solidFill>
          </w14:textFill>
        </w:rPr>
        <w:t>项目验收、交付和技术服务</w:t>
      </w:r>
      <w:bookmarkEnd w:id="42"/>
      <w:bookmarkEnd w:id="43"/>
      <w:bookmarkEnd w:id="44"/>
      <w:bookmarkEnd w:id="45"/>
      <w:bookmarkEnd w:id="46"/>
      <w:bookmarkEnd w:id="47"/>
      <w:bookmarkEnd w:id="48"/>
    </w:p>
    <w:p w14:paraId="20E307E6">
      <w:pPr>
        <w:pStyle w:val="23"/>
        <w:spacing w:before="156" w:after="156"/>
        <w:rPr>
          <w:color w:val="000000" w:themeColor="text1"/>
          <w:highlight w:val="none"/>
          <w14:textFill>
            <w14:solidFill>
              <w14:schemeClr w14:val="tx1"/>
            </w14:solidFill>
          </w14:textFill>
        </w:rPr>
      </w:pPr>
      <w:bookmarkStart w:id="49" w:name="_Toc312827041"/>
      <w:bookmarkStart w:id="50" w:name="_Toc309805605"/>
      <w:bookmarkStart w:id="51" w:name="_Toc309593281"/>
      <w:bookmarkStart w:id="52" w:name="_Toc309593210"/>
      <w:r>
        <w:rPr>
          <w:rFonts w:hint="eastAsia"/>
          <w:color w:val="000000" w:themeColor="text1"/>
          <w:highlight w:val="none"/>
          <w14:textFill>
            <w14:solidFill>
              <w14:schemeClr w14:val="tx1"/>
            </w14:solidFill>
          </w14:textFill>
        </w:rPr>
        <w:t>7.1项目验收</w:t>
      </w:r>
    </w:p>
    <w:p w14:paraId="17F47F40">
      <w:pPr>
        <w:ind w:left="7" w:leftChars="3"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方在自评具备验收条件后提出验收申请，招标方在收到验收申请后组织专家对所有项目材料和相关成果进行评审，开展项目验收。验收按照招标方制定的验收方案具体实施，方案将包括验收项目、验收目的、验收标准、验收人员等。项目验收后，验收人员将根据实际情况提出验收报告，如若有需要整改的内容，投标方在验收后应主动配合招标方严格按照整改意见进行整改完善。</w:t>
      </w:r>
    </w:p>
    <w:p w14:paraId="17FBCE99">
      <w:pPr>
        <w:pStyle w:val="23"/>
        <w:spacing w:before="156" w:after="15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7.2</w:t>
      </w:r>
      <w:r>
        <w:rPr>
          <w:color w:val="000000" w:themeColor="text1"/>
          <w:highlight w:val="none"/>
          <w14:textFill>
            <w14:solidFill>
              <w14:schemeClr w14:val="tx1"/>
            </w14:solidFill>
          </w14:textFill>
        </w:rPr>
        <w:t>项目交付</w:t>
      </w:r>
    </w:p>
    <w:p w14:paraId="0610A840">
      <w:pPr>
        <w:ind w:left="7" w:leftChars="3" w:firstLine="480"/>
        <w:rPr>
          <w:color w:val="auto"/>
          <w:highlight w:val="none"/>
        </w:rPr>
      </w:pPr>
      <w:r>
        <w:rPr>
          <w:rFonts w:hint="eastAsia"/>
          <w:color w:val="auto"/>
          <w:highlight w:val="none"/>
        </w:rPr>
        <w:t>投标方</w:t>
      </w:r>
      <w:r>
        <w:rPr>
          <w:color w:val="auto"/>
          <w:highlight w:val="none"/>
        </w:rPr>
        <w:t>应在合同规定时间内，将</w:t>
      </w:r>
      <w:r>
        <w:rPr>
          <w:rFonts w:hint="eastAsia"/>
          <w:color w:val="auto"/>
          <w:highlight w:val="none"/>
        </w:rPr>
        <w:t>本技术规范书</w:t>
      </w:r>
      <w:r>
        <w:rPr>
          <w:color w:val="auto"/>
          <w:highlight w:val="none"/>
        </w:rPr>
        <w:t>所界定的工作完成，并在通过双方认可的验收后，交付给</w:t>
      </w:r>
      <w:r>
        <w:rPr>
          <w:rFonts w:hint="eastAsia"/>
          <w:color w:val="auto"/>
          <w:highlight w:val="none"/>
        </w:rPr>
        <w:t>招标方。</w:t>
      </w:r>
    </w:p>
    <w:p w14:paraId="7C580F4B">
      <w:pPr>
        <w:ind w:left="7" w:leftChars="3" w:firstLine="480"/>
        <w:rPr>
          <w:rFonts w:hint="eastAsia"/>
          <w:color w:val="auto"/>
          <w:highlight w:val="none"/>
        </w:rPr>
      </w:pPr>
      <w:r>
        <w:rPr>
          <w:color w:val="auto"/>
          <w:highlight w:val="none"/>
        </w:rPr>
        <w:t>交付项主要包括以下项目：</w:t>
      </w:r>
    </w:p>
    <w:p w14:paraId="2C931628">
      <w:pPr>
        <w:ind w:left="7" w:leftChars="3" w:firstLine="480"/>
        <w:rPr>
          <w:rFonts w:hint="eastAsia"/>
          <w:color w:val="auto"/>
          <w:highlight w:val="none"/>
        </w:rPr>
      </w:pPr>
      <w:r>
        <w:rPr>
          <w:rFonts w:hint="eastAsia"/>
          <w:color w:val="auto"/>
          <w:highlight w:val="none"/>
        </w:rPr>
        <w:t>（1）算法模型技术研究报告1份：含风偏、污闪算法原理、模型架构、特征工程方法、训练与验证过程、准确率测试结果等（如涉及台风、山火、地质灾害部分，应基于前期</w:t>
      </w:r>
      <w:bookmarkStart w:id="60" w:name="_GoBack"/>
      <w:bookmarkEnd w:id="60"/>
      <w:r>
        <w:rPr>
          <w:rFonts w:hint="eastAsia"/>
          <w:color w:val="auto"/>
          <w:highlight w:val="none"/>
        </w:rPr>
        <w:t>成果进行整合说明）。</w:t>
      </w:r>
    </w:p>
    <w:p w14:paraId="214DE932">
      <w:pPr>
        <w:ind w:left="7" w:leftChars="3" w:firstLine="480"/>
        <w:rPr>
          <w:rFonts w:hint="eastAsia"/>
          <w:color w:val="auto"/>
          <w:highlight w:val="none"/>
        </w:rPr>
      </w:pPr>
      <w:r>
        <w:rPr>
          <w:rFonts w:hint="eastAsia"/>
          <w:color w:val="auto"/>
          <w:highlight w:val="none"/>
        </w:rPr>
        <w:t>（2）台风风险预警软件开发环境及软件源代码：含完整可编译/可部署的源代码、代码注释、依赖环境清单及部署说明。</w:t>
      </w:r>
    </w:p>
    <w:p w14:paraId="0FEFC027">
      <w:pPr>
        <w:ind w:left="7" w:leftChars="3" w:firstLine="480"/>
        <w:rPr>
          <w:rFonts w:hint="eastAsia"/>
          <w:color w:val="auto"/>
          <w:highlight w:val="none"/>
        </w:rPr>
      </w:pPr>
      <w:r>
        <w:rPr>
          <w:rFonts w:hint="eastAsia"/>
          <w:color w:val="auto"/>
          <w:highlight w:val="none"/>
        </w:rPr>
        <w:t>（3）山火风险告警软件开发环境及软件源代码：含完整可编译/可部署的源代码、代码注释、依赖环境清单及部署说明。</w:t>
      </w:r>
    </w:p>
    <w:p w14:paraId="0D686117">
      <w:pPr>
        <w:ind w:left="7" w:leftChars="3" w:firstLine="480"/>
        <w:rPr>
          <w:rFonts w:hint="eastAsia"/>
          <w:color w:val="auto"/>
          <w:highlight w:val="none"/>
        </w:rPr>
      </w:pPr>
      <w:r>
        <w:rPr>
          <w:rFonts w:hint="eastAsia"/>
          <w:color w:val="auto"/>
          <w:highlight w:val="none"/>
        </w:rPr>
        <w:t>（4）风偏校核软件开发环境及软件源代码：含完整可编译/可部署的源代码、代码注释、依赖环境清单及部署说明。</w:t>
      </w:r>
    </w:p>
    <w:p w14:paraId="5E63B37B">
      <w:pPr>
        <w:ind w:left="7" w:leftChars="3" w:firstLine="480"/>
        <w:rPr>
          <w:rFonts w:hint="eastAsia"/>
          <w:color w:val="auto"/>
          <w:highlight w:val="none"/>
        </w:rPr>
      </w:pPr>
      <w:r>
        <w:rPr>
          <w:rFonts w:hint="eastAsia"/>
          <w:color w:val="auto"/>
          <w:highlight w:val="none"/>
        </w:rPr>
        <w:t>（5）地质灾害软件开发环境及软件源代码：含完整可编译/可部署的源代码、代码注释、依赖环境清单及部署说明。</w:t>
      </w:r>
    </w:p>
    <w:p w14:paraId="251CC93E">
      <w:pPr>
        <w:ind w:left="7" w:leftChars="3" w:firstLine="480"/>
        <w:rPr>
          <w:rFonts w:hint="eastAsia"/>
          <w:color w:val="auto"/>
          <w:highlight w:val="none"/>
        </w:rPr>
      </w:pPr>
      <w:r>
        <w:rPr>
          <w:rFonts w:hint="eastAsia"/>
          <w:color w:val="auto"/>
          <w:highlight w:val="none"/>
        </w:rPr>
        <w:t>（6）污闪预警软件开发环境及软件源代码：含完整可编译/可部署的源代码、代码注释、依赖环境清单及部署说明。</w:t>
      </w:r>
    </w:p>
    <w:p w14:paraId="3F9D75AA">
      <w:pPr>
        <w:ind w:left="7" w:leftChars="3" w:firstLine="480"/>
        <w:rPr>
          <w:rFonts w:hint="eastAsia" w:eastAsia="宋体"/>
          <w:color w:val="auto"/>
          <w:highlight w:val="none"/>
          <w:lang w:eastAsia="zh-CN"/>
        </w:rPr>
      </w:pPr>
      <w:r>
        <w:rPr>
          <w:rFonts w:hint="eastAsia"/>
          <w:color w:val="auto"/>
          <w:highlight w:val="none"/>
        </w:rPr>
        <w:t>（7）接口规范文档1份</w:t>
      </w:r>
      <w:r>
        <w:rPr>
          <w:rFonts w:hint="eastAsia"/>
          <w:color w:val="auto"/>
          <w:highlight w:val="none"/>
          <w:lang w:eastAsia="zh-CN"/>
        </w:rPr>
        <w:t>。</w:t>
      </w:r>
    </w:p>
    <w:p w14:paraId="04158AAC">
      <w:pPr>
        <w:ind w:left="7" w:leftChars="3" w:firstLine="480"/>
        <w:rPr>
          <w:rFonts w:hint="eastAsia" w:eastAsia="宋体"/>
          <w:color w:val="auto"/>
          <w:highlight w:val="none"/>
          <w:lang w:eastAsia="zh-CN"/>
        </w:rPr>
      </w:pPr>
      <w:r>
        <w:rPr>
          <w:rFonts w:hint="eastAsia"/>
          <w:color w:val="auto"/>
          <w:highlight w:val="none"/>
        </w:rPr>
        <w:t>（</w:t>
      </w:r>
      <w:r>
        <w:rPr>
          <w:rFonts w:hint="eastAsia"/>
          <w:color w:val="auto"/>
          <w:highlight w:val="none"/>
          <w:lang w:val="en-US" w:eastAsia="zh-CN"/>
        </w:rPr>
        <w:t>8</w:t>
      </w:r>
      <w:r>
        <w:rPr>
          <w:rFonts w:hint="eastAsia"/>
          <w:color w:val="auto"/>
          <w:highlight w:val="none"/>
        </w:rPr>
        <w:t>）用户操作手册1份</w:t>
      </w:r>
      <w:r>
        <w:rPr>
          <w:rFonts w:hint="eastAsia"/>
          <w:color w:val="auto"/>
          <w:highlight w:val="none"/>
          <w:lang w:eastAsia="zh-CN"/>
        </w:rPr>
        <w:t>。</w:t>
      </w:r>
    </w:p>
    <w:p w14:paraId="1018A7D8">
      <w:pPr>
        <w:ind w:left="7" w:leftChars="3" w:firstLine="480"/>
        <w:rPr>
          <w:rFonts w:hint="eastAsia"/>
          <w:color w:val="auto"/>
          <w:highlight w:val="none"/>
        </w:rPr>
      </w:pPr>
      <w:r>
        <w:rPr>
          <w:rFonts w:hint="eastAsia"/>
          <w:color w:val="auto"/>
          <w:highlight w:val="none"/>
        </w:rPr>
        <w:t>（</w:t>
      </w:r>
      <w:r>
        <w:rPr>
          <w:rFonts w:hint="eastAsia"/>
          <w:color w:val="auto"/>
          <w:highlight w:val="none"/>
          <w:lang w:val="en-US" w:eastAsia="zh-CN"/>
        </w:rPr>
        <w:t>9</w:t>
      </w:r>
      <w:r>
        <w:rPr>
          <w:rFonts w:hint="eastAsia"/>
          <w:color w:val="auto"/>
          <w:highlight w:val="none"/>
        </w:rPr>
        <w:t>）项目验收所需</w:t>
      </w:r>
      <w:r>
        <w:rPr>
          <w:rFonts w:hint="eastAsia"/>
          <w:color w:val="auto"/>
          <w:highlight w:val="none"/>
          <w:lang w:eastAsia="zh-CN"/>
        </w:rPr>
        <w:t>其他</w:t>
      </w:r>
      <w:r>
        <w:rPr>
          <w:rFonts w:hint="eastAsia"/>
          <w:color w:val="auto"/>
          <w:highlight w:val="none"/>
        </w:rPr>
        <w:t>相关材料。</w:t>
      </w:r>
    </w:p>
    <w:p w14:paraId="59DE6FF8">
      <w:pPr>
        <w:ind w:left="7" w:leftChars="3" w:firstLine="480"/>
        <w:rPr>
          <w:rFonts w:hint="eastAsia"/>
          <w:color w:val="auto"/>
          <w:highlight w:val="none"/>
          <w:lang w:eastAsia="zh-CN"/>
        </w:rPr>
      </w:pPr>
      <w:r>
        <w:rPr>
          <w:rFonts w:hint="eastAsia"/>
          <w:color w:val="auto"/>
          <w:highlight w:val="none"/>
          <w:lang w:eastAsia="zh-CN"/>
        </w:rPr>
        <w:t>成果落地要求：</w:t>
      </w:r>
    </w:p>
    <w:p w14:paraId="4FEA1196">
      <w:pPr>
        <w:ind w:left="7" w:leftChars="3" w:firstLine="480"/>
        <w:rPr>
          <w:rFonts w:hint="eastAsia"/>
          <w:color w:val="auto"/>
          <w:highlight w:val="none"/>
          <w:lang w:eastAsia="zh-CN"/>
        </w:rPr>
      </w:pPr>
      <w:r>
        <w:rPr>
          <w:rFonts w:hint="eastAsia"/>
          <w:color w:val="auto"/>
          <w:highlight w:val="none"/>
          <w:lang w:eastAsia="zh-CN"/>
        </w:rPr>
        <w:t>（1）项目成果及相关软件须在招标方指定的输电智慧辅助决策系统上完成部署，并投入实际运行。</w:t>
      </w:r>
    </w:p>
    <w:p w14:paraId="62DB5864">
      <w:pPr>
        <w:ind w:left="7" w:leftChars="3" w:firstLine="480"/>
        <w:rPr>
          <w:rFonts w:hint="eastAsia"/>
          <w:color w:val="auto"/>
          <w:highlight w:val="none"/>
          <w:lang w:eastAsia="zh-CN"/>
        </w:rPr>
      </w:pPr>
      <w:r>
        <w:rPr>
          <w:rFonts w:hint="eastAsia"/>
          <w:color w:val="auto"/>
          <w:highlight w:val="none"/>
          <w:lang w:eastAsia="zh-CN"/>
        </w:rPr>
        <w:t>（2）相关算法须封装为标准服务接口，部署至招标方指定的人工智能平台，供其他业务系统调用。</w:t>
      </w:r>
    </w:p>
    <w:p w14:paraId="0BF92483">
      <w:pPr>
        <w:ind w:left="7" w:leftChars="3" w:firstLine="480"/>
        <w:rPr>
          <w:rFonts w:hint="eastAsia"/>
          <w:color w:val="auto"/>
          <w:highlight w:val="none"/>
          <w:lang w:eastAsia="zh-CN"/>
        </w:rPr>
      </w:pPr>
      <w:r>
        <w:rPr>
          <w:rFonts w:hint="eastAsia"/>
          <w:color w:val="auto"/>
          <w:highlight w:val="none"/>
          <w:lang w:eastAsia="zh-CN"/>
        </w:rPr>
        <w:t>（3）投标方在部署实施阶段，应配合招标方完成系统对接、接口调试及联调测试等工作，确保算法与已建模块的兼容性。</w:t>
      </w:r>
    </w:p>
    <w:p w14:paraId="2C20DFE7">
      <w:pPr>
        <w:ind w:left="7" w:leftChars="3" w:firstLine="480"/>
        <w:rPr>
          <w:rFonts w:hint="eastAsia"/>
          <w:color w:val="auto"/>
          <w:highlight w:val="none"/>
          <w:lang w:eastAsia="zh-CN"/>
        </w:rPr>
      </w:pPr>
      <w:r>
        <w:rPr>
          <w:rFonts w:hint="eastAsia"/>
          <w:color w:val="auto"/>
          <w:highlight w:val="none"/>
          <w:lang w:eastAsia="zh-CN"/>
        </w:rPr>
        <w:t>（4）项目验收通过后，投标方应提供12个月的技术咨询、系统维护、系统消缺与功能完善等服务。</w:t>
      </w:r>
    </w:p>
    <w:p w14:paraId="6449D74C">
      <w:pPr>
        <w:pStyle w:val="23"/>
        <w:spacing w:before="156" w:after="15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7.3技术服务</w:t>
      </w:r>
    </w:p>
    <w:p w14:paraId="4A07A7DF">
      <w:pPr>
        <w:ind w:left="7" w:leftChars="3"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投标方应说明本项目实施组织方式、服务模式以及售后服务的开展方式。</w:t>
      </w:r>
    </w:p>
    <w:p w14:paraId="75057173">
      <w:pPr>
        <w:ind w:left="7" w:leftChars="3"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在项目实施期间，</w:t>
      </w:r>
      <w:r>
        <w:rPr>
          <w:rFonts w:hint="eastAsia"/>
          <w:color w:val="000000" w:themeColor="text1"/>
          <w:highlight w:val="none"/>
          <w:lang w:val="en-US" w:eastAsia="zh-CN"/>
          <w14:textFill>
            <w14:solidFill>
              <w14:schemeClr w14:val="tx1"/>
            </w14:solidFill>
          </w14:textFill>
        </w:rPr>
        <w:t>招标</w:t>
      </w:r>
      <w:r>
        <w:rPr>
          <w:rFonts w:hint="eastAsia"/>
          <w:color w:val="000000" w:themeColor="text1"/>
          <w:highlight w:val="none"/>
          <w14:textFill>
            <w14:solidFill>
              <w14:schemeClr w14:val="tx1"/>
            </w14:solidFill>
          </w14:textFill>
        </w:rPr>
        <w:t>方可以派出技术人员参加项目的管理及实施</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投标方有责任对其进行指导；在项目成果的运用期间，投标方应根据需要，派遣咨询人员到现场进行指导。</w:t>
      </w:r>
    </w:p>
    <w:p w14:paraId="2339F405">
      <w:pPr>
        <w:ind w:left="7" w:leftChars="3"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投标方需提供项目成果验收通过后12个月内</w:t>
      </w:r>
      <w:r>
        <w:rPr>
          <w:rFonts w:hint="eastAsia"/>
          <w:color w:val="000000" w:themeColor="text1"/>
          <w:highlight w:val="none"/>
          <w:lang w:eastAsia="zh-CN"/>
          <w14:textFill>
            <w14:solidFill>
              <w14:schemeClr w14:val="tx1"/>
            </w14:solidFill>
          </w14:textFill>
        </w:rPr>
        <w:t>的</w:t>
      </w:r>
      <w:r>
        <w:rPr>
          <w:rFonts w:hint="eastAsia"/>
          <w:color w:val="000000" w:themeColor="text1"/>
          <w:highlight w:val="none"/>
          <w14:textFill>
            <w14:solidFill>
              <w14:schemeClr w14:val="tx1"/>
            </w14:solidFill>
          </w14:textFill>
        </w:rPr>
        <w:t>技术咨询、系统维护、系统消缺与功能完善</w:t>
      </w:r>
      <w:r>
        <w:rPr>
          <w:rFonts w:hint="eastAsia"/>
          <w:color w:val="000000" w:themeColor="text1"/>
          <w:highlight w:val="none"/>
          <w:lang w:eastAsia="zh-CN"/>
          <w14:textFill>
            <w14:solidFill>
              <w14:schemeClr w14:val="tx1"/>
            </w14:solidFill>
          </w14:textFill>
        </w:rPr>
        <w:t>等</w:t>
      </w:r>
      <w:r>
        <w:rPr>
          <w:rFonts w:hint="eastAsia"/>
          <w:color w:val="000000" w:themeColor="text1"/>
          <w:highlight w:val="none"/>
          <w14:textFill>
            <w14:solidFill>
              <w14:schemeClr w14:val="tx1"/>
            </w14:solidFill>
          </w14:textFill>
        </w:rPr>
        <w:t>服务。</w:t>
      </w:r>
    </w:p>
    <w:p w14:paraId="21B2CDF8">
      <w:pPr>
        <w:ind w:left="7" w:leftChars="3"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投标方根据招标方需求，在项目实施阶段为投标方提供现场驻点服务。</w:t>
      </w:r>
    </w:p>
    <w:bookmarkEnd w:id="49"/>
    <w:bookmarkEnd w:id="50"/>
    <w:bookmarkEnd w:id="51"/>
    <w:bookmarkEnd w:id="52"/>
    <w:p w14:paraId="13CCD661">
      <w:pPr>
        <w:pStyle w:val="2"/>
        <w:spacing w:before="312" w:after="156"/>
        <w:rPr>
          <w:color w:val="000000" w:themeColor="text1"/>
          <w:highlight w:val="none"/>
          <w14:textFill>
            <w14:solidFill>
              <w14:schemeClr w14:val="tx1"/>
            </w14:solidFill>
          </w14:textFill>
        </w:rPr>
      </w:pPr>
      <w:bookmarkStart w:id="53" w:name="_Toc309593214"/>
      <w:bookmarkStart w:id="54" w:name="_Toc309805609"/>
      <w:bookmarkStart w:id="55" w:name="_Toc531004270"/>
      <w:bookmarkStart w:id="56" w:name="_Toc531004216"/>
      <w:bookmarkStart w:id="57" w:name="_Toc441483970"/>
      <w:bookmarkStart w:id="58" w:name="_Toc309593285"/>
      <w:bookmarkStart w:id="59" w:name="_Toc312827045"/>
      <w:r>
        <w:rPr>
          <w:color w:val="000000" w:themeColor="text1"/>
          <w:highlight w:val="none"/>
          <w14:textFill>
            <w14:solidFill>
              <w14:schemeClr w14:val="tx1"/>
            </w14:solidFill>
          </w14:textFill>
        </w:rPr>
        <w:t>其他</w:t>
      </w:r>
      <w:bookmarkEnd w:id="53"/>
      <w:bookmarkEnd w:id="54"/>
      <w:bookmarkEnd w:id="55"/>
      <w:bookmarkEnd w:id="56"/>
      <w:bookmarkEnd w:id="57"/>
      <w:bookmarkEnd w:id="58"/>
      <w:bookmarkEnd w:id="59"/>
    </w:p>
    <w:p w14:paraId="5B0130D1">
      <w:pPr>
        <w:ind w:left="7" w:leftChars="3" w:firstLine="480"/>
        <w:jc w:val="both"/>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eastAsia="zh-CN"/>
          <w14:textFill>
            <w14:solidFill>
              <w14:schemeClr w14:val="tx1"/>
            </w14:solidFill>
          </w14:textFill>
        </w:rPr>
        <w:t>（</w:t>
      </w:r>
      <w:r>
        <w:rPr>
          <w:rFonts w:hint="eastAsia" w:ascii="Times New Roman" w:hAnsi="Times New Roman" w:cs="Times New Roman"/>
          <w:color w:val="000000" w:themeColor="text1"/>
          <w:highlight w:val="none"/>
          <w:lang w:val="en-US" w:eastAsia="zh-CN"/>
          <w14:textFill>
            <w14:solidFill>
              <w14:schemeClr w14:val="tx1"/>
            </w14:solidFill>
          </w14:textFill>
        </w:rPr>
        <w:t>1</w:t>
      </w:r>
      <w:r>
        <w:rPr>
          <w:rFonts w:hint="eastAsia" w:ascii="Times New Roman" w:hAnsi="Times New Roman" w:cs="Times New Roman"/>
          <w:color w:val="000000" w:themeColor="text1"/>
          <w:highlight w:val="none"/>
          <w:lang w:eastAsia="zh-CN"/>
          <w14:textFill>
            <w14:solidFill>
              <w14:schemeClr w14:val="tx1"/>
            </w14:solidFill>
          </w14:textFill>
        </w:rPr>
        <w:t>）招标完成后，双方</w:t>
      </w:r>
      <w:r>
        <w:rPr>
          <w:rFonts w:hint="eastAsia" w:ascii="Times New Roman" w:hAnsi="Times New Roman" w:cs="Times New Roman"/>
          <w:color w:val="000000" w:themeColor="text1"/>
          <w:highlight w:val="none"/>
          <w14:textFill>
            <w14:solidFill>
              <w14:schemeClr w14:val="tx1"/>
            </w14:solidFill>
          </w14:textFill>
        </w:rPr>
        <w:t>保证对在履行</w:t>
      </w:r>
      <w:r>
        <w:rPr>
          <w:rFonts w:hint="eastAsia" w:ascii="Times New Roman" w:hAnsi="Times New Roman" w:cs="Times New Roman"/>
          <w:color w:val="000000" w:themeColor="text1"/>
          <w:highlight w:val="none"/>
          <w:lang w:eastAsia="zh-CN"/>
          <w14:textFill>
            <w14:solidFill>
              <w14:schemeClr w14:val="tx1"/>
            </w14:solidFill>
          </w14:textFill>
        </w:rPr>
        <w:t>此项目</w:t>
      </w:r>
      <w:r>
        <w:rPr>
          <w:rFonts w:hint="eastAsia" w:ascii="Times New Roman" w:hAnsi="Times New Roman" w:cs="Times New Roman"/>
          <w:color w:val="000000" w:themeColor="text1"/>
          <w:highlight w:val="none"/>
          <w14:textFill>
            <w14:solidFill>
              <w14:schemeClr w14:val="tx1"/>
            </w14:solidFill>
          </w14:textFill>
        </w:rPr>
        <w:t>合同过程中所获悉的属于对方的商业秘密、技术秘密和其他经营管理信息、技术信息</w:t>
      </w:r>
      <w:r>
        <w:rPr>
          <w:rFonts w:hint="eastAsia" w:ascii="Times New Roman" w:hAnsi="Times New Roman" w:cs="Times New Roman"/>
          <w:color w:val="000000" w:themeColor="text1"/>
          <w:highlight w:val="none"/>
          <w:lang w:eastAsia="zh-CN"/>
          <w14:textFill>
            <w14:solidFill>
              <w14:schemeClr w14:val="tx1"/>
            </w14:solidFill>
          </w14:textFill>
        </w:rPr>
        <w:t>（包含：双方签订的合同及协议、相关的技术研究报告、相关的研究数据、图纸及研究方法</w:t>
      </w:r>
      <w:r>
        <w:rPr>
          <w:rFonts w:hint="eastAsia" w:ascii="Times New Roman" w:hAnsi="Times New Roman" w:cs="Times New Roman"/>
          <w:color w:val="000000" w:themeColor="text1"/>
          <w:highlight w:val="none"/>
          <w14:textFill>
            <w14:solidFill>
              <w14:schemeClr w14:val="tx1"/>
            </w14:solidFill>
          </w14:textFill>
        </w:rPr>
        <w:t>等</w:t>
      </w:r>
      <w:r>
        <w:rPr>
          <w:rFonts w:hint="eastAsia" w:ascii="Times New Roman" w:hAnsi="Times New Roman" w:cs="Times New Roman"/>
          <w:color w:val="000000" w:themeColor="text1"/>
          <w:highlight w:val="none"/>
          <w:lang w:eastAsia="zh-CN"/>
          <w14:textFill>
            <w14:solidFill>
              <w14:schemeClr w14:val="tx1"/>
            </w14:solidFill>
          </w14:textFill>
        </w:rPr>
        <w:t>）等内容</w:t>
      </w:r>
      <w:r>
        <w:rPr>
          <w:rFonts w:hint="eastAsia" w:ascii="Times New Roman" w:hAnsi="Times New Roman" w:cs="Times New Roman"/>
          <w:color w:val="000000" w:themeColor="text1"/>
          <w:highlight w:val="none"/>
          <w14:textFill>
            <w14:solidFill>
              <w14:schemeClr w14:val="tx1"/>
            </w14:solidFill>
          </w14:textFill>
        </w:rPr>
        <w:t>予以保密。未经一方同意，另一方不得向任何第三方泄露。无论</w:t>
      </w:r>
      <w:r>
        <w:rPr>
          <w:rFonts w:hint="eastAsia" w:ascii="Times New Roman" w:hAnsi="Times New Roman" w:cs="Times New Roman"/>
          <w:color w:val="000000" w:themeColor="text1"/>
          <w:highlight w:val="none"/>
          <w:lang w:eastAsia="zh-CN"/>
          <w14:textFill>
            <w14:solidFill>
              <w14:schemeClr w14:val="tx1"/>
            </w14:solidFill>
          </w14:textFill>
        </w:rPr>
        <w:t>此项目</w:t>
      </w:r>
      <w:r>
        <w:rPr>
          <w:rFonts w:hint="eastAsia" w:ascii="Times New Roman" w:hAnsi="Times New Roman" w:cs="Times New Roman"/>
          <w:color w:val="000000" w:themeColor="text1"/>
          <w:highlight w:val="none"/>
          <w14:textFill>
            <w14:solidFill>
              <w14:schemeClr w14:val="tx1"/>
            </w14:solidFill>
          </w14:textFill>
        </w:rPr>
        <w:t>合同是否生效、被撤销、变更、解除或终止，双方仍应执行本保密条款。如有需要，双方另行签订保密协议。</w:t>
      </w:r>
    </w:p>
    <w:p w14:paraId="66CA6C67">
      <w:pPr>
        <w:ind w:left="7" w:leftChars="3" w:firstLine="480"/>
        <w:jc w:val="both"/>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eastAsia="zh-CN"/>
          <w14:textFill>
            <w14:solidFill>
              <w14:schemeClr w14:val="tx1"/>
            </w14:solidFill>
          </w14:textFill>
        </w:rPr>
        <w:t>（</w:t>
      </w:r>
      <w:r>
        <w:rPr>
          <w:rFonts w:hint="eastAsia" w:ascii="Times New Roman" w:hAnsi="Times New Roman" w:cs="Times New Roman"/>
          <w:color w:val="000000" w:themeColor="text1"/>
          <w:highlight w:val="none"/>
          <w:lang w:val="en-US" w:eastAsia="zh-CN"/>
          <w14:textFill>
            <w14:solidFill>
              <w14:schemeClr w14:val="tx1"/>
            </w14:solidFill>
          </w14:textFill>
        </w:rPr>
        <w:t>2</w:t>
      </w:r>
      <w:r>
        <w:rPr>
          <w:rFonts w:hint="eastAsia" w:ascii="Times New Roman" w:hAnsi="Times New Roman" w:cs="Times New Roman"/>
          <w:color w:val="000000" w:themeColor="text1"/>
          <w:highlight w:val="none"/>
          <w:lang w:eastAsia="zh-CN"/>
          <w14:textFill>
            <w14:solidFill>
              <w14:schemeClr w14:val="tx1"/>
            </w14:solidFill>
          </w14:textFill>
        </w:rPr>
        <w:t>）</w:t>
      </w:r>
      <w:r>
        <w:rPr>
          <w:rFonts w:hint="eastAsia" w:ascii="Times New Roman" w:hAnsi="Times New Roman" w:cs="Times New Roman"/>
          <w:color w:val="000000" w:themeColor="text1"/>
          <w:highlight w:val="none"/>
          <w14:textFill>
            <w14:solidFill>
              <w14:schemeClr w14:val="tx1"/>
            </w14:solidFill>
          </w14:textFill>
        </w:rPr>
        <w:t>在合同签订后3个月内，技术服务提供方应向所在地区的技术合同登记机构提出合同认定登记申请，并取得登记证明</w:t>
      </w:r>
      <w:r>
        <w:rPr>
          <w:rFonts w:hint="eastAsia" w:ascii="Times New Roman" w:hAnsi="Times New Roman" w:cs="Times New Roman"/>
          <w:color w:val="000000" w:themeColor="text1"/>
          <w:highlight w:val="none"/>
          <w:lang w:eastAsia="zh-CN"/>
          <w14:textFill>
            <w14:solidFill>
              <w14:schemeClr w14:val="tx1"/>
            </w14:solidFill>
          </w14:textFill>
        </w:rPr>
        <w:t>。</w:t>
      </w:r>
    </w:p>
    <w:p w14:paraId="29532C38">
      <w:pPr>
        <w:ind w:left="7" w:leftChars="3" w:firstLine="480"/>
        <w:jc w:val="both"/>
        <w:rPr>
          <w:rFonts w:hint="eastAsia" w:ascii="Times New Roman" w:hAnsi="Times New Roman" w:cs="Times New Roman"/>
          <w:b w:val="0"/>
          <w:bCs w:val="0"/>
          <w:color w:val="auto"/>
          <w:highlight w:val="none"/>
        </w:rPr>
      </w:pPr>
      <w:r>
        <w:rPr>
          <w:rFonts w:hint="eastAsia" w:ascii="Times New Roman" w:hAnsi="Times New Roman" w:cs="Times New Roman"/>
          <w:b w:val="0"/>
          <w:bCs w:val="0"/>
          <w:color w:val="auto"/>
          <w:highlight w:val="none"/>
          <w:lang w:eastAsia="zh-CN"/>
        </w:rPr>
        <w:t>（</w:t>
      </w:r>
      <w:r>
        <w:rPr>
          <w:rFonts w:hint="eastAsia" w:ascii="Times New Roman" w:hAnsi="Times New Roman" w:cs="Times New Roman"/>
          <w:b w:val="0"/>
          <w:bCs w:val="0"/>
          <w:color w:val="auto"/>
          <w:highlight w:val="none"/>
          <w:lang w:val="en-US" w:eastAsia="zh-CN"/>
        </w:rPr>
        <w:t>3</w:t>
      </w:r>
      <w:r>
        <w:rPr>
          <w:rFonts w:hint="eastAsia" w:ascii="Times New Roman" w:hAnsi="Times New Roman" w:cs="Times New Roman"/>
          <w:b w:val="0"/>
          <w:bCs w:val="0"/>
          <w:color w:val="auto"/>
          <w:highlight w:val="none"/>
          <w:lang w:eastAsia="zh-CN"/>
        </w:rPr>
        <w:t>）</w:t>
      </w:r>
      <w:r>
        <w:rPr>
          <w:rFonts w:hint="eastAsia" w:ascii="Times New Roman" w:hAnsi="Times New Roman" w:cs="Times New Roman"/>
          <w:b w:val="0"/>
          <w:bCs w:val="0"/>
          <w:color w:val="auto"/>
          <w:highlight w:val="none"/>
        </w:rPr>
        <w:t>本技术规范书中的未尽事宜，请与中国南方电网超高压输电公司</w:t>
      </w:r>
      <w:r>
        <w:rPr>
          <w:rFonts w:hint="eastAsia" w:cs="Times New Roman"/>
          <w:b w:val="0"/>
          <w:bCs w:val="0"/>
          <w:color w:val="auto"/>
          <w:highlight w:val="none"/>
          <w:lang w:val="en-US" w:eastAsia="zh-CN"/>
        </w:rPr>
        <w:t>广州</w:t>
      </w:r>
      <w:r>
        <w:rPr>
          <w:rFonts w:hint="eastAsia" w:ascii="Times New Roman" w:hAnsi="Times New Roman" w:cs="Times New Roman"/>
          <w:b w:val="0"/>
          <w:bCs w:val="0"/>
          <w:color w:val="auto"/>
          <w:highlight w:val="none"/>
          <w:lang w:val="en-US" w:eastAsia="zh-CN"/>
        </w:rPr>
        <w:t>局</w:t>
      </w:r>
      <w:r>
        <w:rPr>
          <w:rFonts w:hint="eastAsia" w:ascii="Times New Roman" w:hAnsi="Times New Roman" w:cs="Times New Roman"/>
          <w:b w:val="0"/>
          <w:bCs w:val="0"/>
          <w:color w:val="auto"/>
          <w:highlight w:val="none"/>
        </w:rPr>
        <w:t>联系。</w:t>
      </w:r>
    </w:p>
    <w:sectPr>
      <w:footerReference r:id="rId11"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3305D">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54D58">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110F5">
    <w:pPr>
      <w:pStyle w:val="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B0C63">
    <w:pPr>
      <w:pStyle w:val="7"/>
      <w:ind w:firstLine="360"/>
      <w:jc w:val="center"/>
    </w:pPr>
    <w:r>
      <w:fldChar w:fldCharType="begin"/>
    </w:r>
    <w:r>
      <w:instrText xml:space="preserve"> PAGE   \* MERGEFORMAT </w:instrText>
    </w:r>
    <w:r>
      <w:fldChar w:fldCharType="separate"/>
    </w:r>
    <w:r>
      <w:t>9</w:t>
    </w:r>
    <w:r>
      <w:fldChar w:fldCharType="end"/>
    </w:r>
  </w:p>
  <w:p w14:paraId="0023A381">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062C0">
    <w:pPr>
      <w:pStyle w:val="8"/>
      <w:pBdr>
        <w:bottom w:val="none" w:color="auto" w:sz="0" w:space="0"/>
      </w:pBdr>
      <w:ind w:firstLine="0" w:firstLineChars="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55B23">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14DAB">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2"/>
      <w:suff w:val="space"/>
      <w:lvlText w:val="%1."/>
      <w:lvlJc w:val="left"/>
      <w:pPr>
        <w:ind w:left="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01F03FC2"/>
    <w:multiLevelType w:val="singleLevel"/>
    <w:tmpl w:val="01F03FC2"/>
    <w:lvl w:ilvl="0" w:tentative="0">
      <w:start w:val="1"/>
      <w:numFmt w:val="decimal"/>
      <w:suff w:val="nothing"/>
      <w:lvlText w:val="（%1）"/>
      <w:lvlJc w:val="left"/>
    </w:lvl>
  </w:abstractNum>
  <w:abstractNum w:abstractNumId="2">
    <w:nsid w:val="1E0C9737"/>
    <w:multiLevelType w:val="singleLevel"/>
    <w:tmpl w:val="1E0C9737"/>
    <w:lvl w:ilvl="0" w:tentative="0">
      <w:start w:val="2"/>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9"/>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RkMzczYTQ4MDA4NzEzMDkxMjI4OTYyY2E2ZmQ0YzAifQ=="/>
  </w:docVars>
  <w:rsids>
    <w:rsidRoot w:val="00172A27"/>
    <w:rsid w:val="00004157"/>
    <w:rsid w:val="000052EC"/>
    <w:rsid w:val="000258D4"/>
    <w:rsid w:val="00030479"/>
    <w:rsid w:val="00032717"/>
    <w:rsid w:val="00033440"/>
    <w:rsid w:val="00033F7F"/>
    <w:rsid w:val="00035681"/>
    <w:rsid w:val="00035D33"/>
    <w:rsid w:val="00044CDB"/>
    <w:rsid w:val="00050BDA"/>
    <w:rsid w:val="00054AA8"/>
    <w:rsid w:val="00055E63"/>
    <w:rsid w:val="00056767"/>
    <w:rsid w:val="000661E0"/>
    <w:rsid w:val="00070856"/>
    <w:rsid w:val="00072157"/>
    <w:rsid w:val="000802B5"/>
    <w:rsid w:val="00085586"/>
    <w:rsid w:val="000874A2"/>
    <w:rsid w:val="00095CB6"/>
    <w:rsid w:val="00096F1E"/>
    <w:rsid w:val="000A263D"/>
    <w:rsid w:val="000A722B"/>
    <w:rsid w:val="000B3BEC"/>
    <w:rsid w:val="000B435C"/>
    <w:rsid w:val="000B4BE8"/>
    <w:rsid w:val="000B5F9E"/>
    <w:rsid w:val="000D090E"/>
    <w:rsid w:val="000D5CC4"/>
    <w:rsid w:val="000E0616"/>
    <w:rsid w:val="000E0E62"/>
    <w:rsid w:val="000E5032"/>
    <w:rsid w:val="000E5C42"/>
    <w:rsid w:val="000F0767"/>
    <w:rsid w:val="00104CFA"/>
    <w:rsid w:val="00111650"/>
    <w:rsid w:val="001148D6"/>
    <w:rsid w:val="00122043"/>
    <w:rsid w:val="00122E5E"/>
    <w:rsid w:val="00122E78"/>
    <w:rsid w:val="00124416"/>
    <w:rsid w:val="00124504"/>
    <w:rsid w:val="00135D83"/>
    <w:rsid w:val="00150A8E"/>
    <w:rsid w:val="00151D98"/>
    <w:rsid w:val="0016086E"/>
    <w:rsid w:val="001626EF"/>
    <w:rsid w:val="00166883"/>
    <w:rsid w:val="001668FD"/>
    <w:rsid w:val="00171826"/>
    <w:rsid w:val="00172A27"/>
    <w:rsid w:val="00176332"/>
    <w:rsid w:val="001825A1"/>
    <w:rsid w:val="0018662B"/>
    <w:rsid w:val="001945DC"/>
    <w:rsid w:val="00197251"/>
    <w:rsid w:val="001A79DB"/>
    <w:rsid w:val="001B531B"/>
    <w:rsid w:val="001C4316"/>
    <w:rsid w:val="001C52D8"/>
    <w:rsid w:val="001C5D9F"/>
    <w:rsid w:val="001D1368"/>
    <w:rsid w:val="001D73FA"/>
    <w:rsid w:val="001D7C43"/>
    <w:rsid w:val="001E16E7"/>
    <w:rsid w:val="001E240F"/>
    <w:rsid w:val="001E5350"/>
    <w:rsid w:val="001E56E3"/>
    <w:rsid w:val="001F1B3A"/>
    <w:rsid w:val="001F2E26"/>
    <w:rsid w:val="001F5E12"/>
    <w:rsid w:val="00200344"/>
    <w:rsid w:val="00204DDE"/>
    <w:rsid w:val="00206CA6"/>
    <w:rsid w:val="002129DB"/>
    <w:rsid w:val="00215454"/>
    <w:rsid w:val="00215C24"/>
    <w:rsid w:val="002170DB"/>
    <w:rsid w:val="00221DD8"/>
    <w:rsid w:val="00223528"/>
    <w:rsid w:val="00227267"/>
    <w:rsid w:val="002272F7"/>
    <w:rsid w:val="00232F10"/>
    <w:rsid w:val="002447E5"/>
    <w:rsid w:val="00244A2F"/>
    <w:rsid w:val="00244F7C"/>
    <w:rsid w:val="00254812"/>
    <w:rsid w:val="0025554B"/>
    <w:rsid w:val="00256DFA"/>
    <w:rsid w:val="002578A1"/>
    <w:rsid w:val="00263624"/>
    <w:rsid w:val="0026366A"/>
    <w:rsid w:val="00273D45"/>
    <w:rsid w:val="0027655A"/>
    <w:rsid w:val="00277AB6"/>
    <w:rsid w:val="00281CC3"/>
    <w:rsid w:val="00286DFD"/>
    <w:rsid w:val="00293207"/>
    <w:rsid w:val="00296ABB"/>
    <w:rsid w:val="00297FC6"/>
    <w:rsid w:val="002A2204"/>
    <w:rsid w:val="002A3CE3"/>
    <w:rsid w:val="002B11FE"/>
    <w:rsid w:val="002B3FC8"/>
    <w:rsid w:val="002B6605"/>
    <w:rsid w:val="002C3F8E"/>
    <w:rsid w:val="002C416A"/>
    <w:rsid w:val="002C6F94"/>
    <w:rsid w:val="00303976"/>
    <w:rsid w:val="00304504"/>
    <w:rsid w:val="003056CF"/>
    <w:rsid w:val="00323D15"/>
    <w:rsid w:val="00331942"/>
    <w:rsid w:val="003374FB"/>
    <w:rsid w:val="00337E95"/>
    <w:rsid w:val="0035398A"/>
    <w:rsid w:val="00370CBE"/>
    <w:rsid w:val="00374D73"/>
    <w:rsid w:val="00383D96"/>
    <w:rsid w:val="00384DD9"/>
    <w:rsid w:val="00387572"/>
    <w:rsid w:val="00390743"/>
    <w:rsid w:val="003B71DA"/>
    <w:rsid w:val="003C474C"/>
    <w:rsid w:val="003D2D90"/>
    <w:rsid w:val="003D518E"/>
    <w:rsid w:val="003D5A88"/>
    <w:rsid w:val="003E1652"/>
    <w:rsid w:val="003E7211"/>
    <w:rsid w:val="003F3D66"/>
    <w:rsid w:val="003F6647"/>
    <w:rsid w:val="0041096A"/>
    <w:rsid w:val="00414022"/>
    <w:rsid w:val="004141AF"/>
    <w:rsid w:val="00420404"/>
    <w:rsid w:val="00424010"/>
    <w:rsid w:val="004319DD"/>
    <w:rsid w:val="00431A70"/>
    <w:rsid w:val="0043697B"/>
    <w:rsid w:val="0044008D"/>
    <w:rsid w:val="004428FF"/>
    <w:rsid w:val="004460FA"/>
    <w:rsid w:val="0046254A"/>
    <w:rsid w:val="00464CA7"/>
    <w:rsid w:val="004656FF"/>
    <w:rsid w:val="004715E2"/>
    <w:rsid w:val="00481534"/>
    <w:rsid w:val="004824FD"/>
    <w:rsid w:val="00483253"/>
    <w:rsid w:val="00486E6D"/>
    <w:rsid w:val="00490469"/>
    <w:rsid w:val="00496968"/>
    <w:rsid w:val="004977C0"/>
    <w:rsid w:val="004A3092"/>
    <w:rsid w:val="004A5258"/>
    <w:rsid w:val="004B422D"/>
    <w:rsid w:val="004B73DC"/>
    <w:rsid w:val="004B7665"/>
    <w:rsid w:val="004C2C32"/>
    <w:rsid w:val="004C679B"/>
    <w:rsid w:val="004D40D4"/>
    <w:rsid w:val="004D4E92"/>
    <w:rsid w:val="004D5806"/>
    <w:rsid w:val="004D632E"/>
    <w:rsid w:val="004E0AD2"/>
    <w:rsid w:val="004E1EF8"/>
    <w:rsid w:val="004E7B53"/>
    <w:rsid w:val="004F5CCD"/>
    <w:rsid w:val="00503AB9"/>
    <w:rsid w:val="005067D0"/>
    <w:rsid w:val="00510D9A"/>
    <w:rsid w:val="00515454"/>
    <w:rsid w:val="005200C1"/>
    <w:rsid w:val="0052107D"/>
    <w:rsid w:val="00521DD7"/>
    <w:rsid w:val="00525600"/>
    <w:rsid w:val="00532496"/>
    <w:rsid w:val="0053627F"/>
    <w:rsid w:val="00542F5A"/>
    <w:rsid w:val="0054505D"/>
    <w:rsid w:val="00546480"/>
    <w:rsid w:val="0055140F"/>
    <w:rsid w:val="005546AC"/>
    <w:rsid w:val="00555060"/>
    <w:rsid w:val="005550E0"/>
    <w:rsid w:val="00570A2E"/>
    <w:rsid w:val="00575B70"/>
    <w:rsid w:val="00576175"/>
    <w:rsid w:val="005770D1"/>
    <w:rsid w:val="00577103"/>
    <w:rsid w:val="005808E9"/>
    <w:rsid w:val="0058651D"/>
    <w:rsid w:val="00594E70"/>
    <w:rsid w:val="005950C1"/>
    <w:rsid w:val="005B5AAA"/>
    <w:rsid w:val="005B7391"/>
    <w:rsid w:val="005C0E9A"/>
    <w:rsid w:val="005C42F8"/>
    <w:rsid w:val="005C45D2"/>
    <w:rsid w:val="005C5FA1"/>
    <w:rsid w:val="005D1816"/>
    <w:rsid w:val="005D3538"/>
    <w:rsid w:val="005D3C76"/>
    <w:rsid w:val="005D5795"/>
    <w:rsid w:val="005D7E95"/>
    <w:rsid w:val="005E1C0A"/>
    <w:rsid w:val="005E4AF6"/>
    <w:rsid w:val="005F0D01"/>
    <w:rsid w:val="005F5385"/>
    <w:rsid w:val="005F642B"/>
    <w:rsid w:val="005F6C08"/>
    <w:rsid w:val="00602D5B"/>
    <w:rsid w:val="006120BA"/>
    <w:rsid w:val="00615391"/>
    <w:rsid w:val="00616713"/>
    <w:rsid w:val="00620489"/>
    <w:rsid w:val="00621C69"/>
    <w:rsid w:val="006316A0"/>
    <w:rsid w:val="006346A1"/>
    <w:rsid w:val="00634AA5"/>
    <w:rsid w:val="0063794D"/>
    <w:rsid w:val="00640D51"/>
    <w:rsid w:val="006449DC"/>
    <w:rsid w:val="00651BDE"/>
    <w:rsid w:val="00654782"/>
    <w:rsid w:val="00660BAE"/>
    <w:rsid w:val="006620B3"/>
    <w:rsid w:val="0066639C"/>
    <w:rsid w:val="00667765"/>
    <w:rsid w:val="0067357A"/>
    <w:rsid w:val="00674005"/>
    <w:rsid w:val="00684EB5"/>
    <w:rsid w:val="006856EE"/>
    <w:rsid w:val="00685814"/>
    <w:rsid w:val="00687E51"/>
    <w:rsid w:val="006961CC"/>
    <w:rsid w:val="0069730B"/>
    <w:rsid w:val="006A050D"/>
    <w:rsid w:val="006A0C95"/>
    <w:rsid w:val="006A32DC"/>
    <w:rsid w:val="006A3E2E"/>
    <w:rsid w:val="006B7B48"/>
    <w:rsid w:val="006C3FD9"/>
    <w:rsid w:val="006C431A"/>
    <w:rsid w:val="006D1FF4"/>
    <w:rsid w:val="006D569D"/>
    <w:rsid w:val="006E0A4A"/>
    <w:rsid w:val="006F0594"/>
    <w:rsid w:val="006F1E19"/>
    <w:rsid w:val="006F53B4"/>
    <w:rsid w:val="0070068F"/>
    <w:rsid w:val="0070113F"/>
    <w:rsid w:val="00702201"/>
    <w:rsid w:val="0071238D"/>
    <w:rsid w:val="007131CA"/>
    <w:rsid w:val="0071489E"/>
    <w:rsid w:val="00714D09"/>
    <w:rsid w:val="007157EB"/>
    <w:rsid w:val="0071769C"/>
    <w:rsid w:val="00725DF9"/>
    <w:rsid w:val="00733A12"/>
    <w:rsid w:val="007423F8"/>
    <w:rsid w:val="007429C8"/>
    <w:rsid w:val="007475B0"/>
    <w:rsid w:val="00751F29"/>
    <w:rsid w:val="0075277E"/>
    <w:rsid w:val="00755E29"/>
    <w:rsid w:val="00761415"/>
    <w:rsid w:val="00764ABD"/>
    <w:rsid w:val="00770633"/>
    <w:rsid w:val="0078561A"/>
    <w:rsid w:val="00785A56"/>
    <w:rsid w:val="00785EFB"/>
    <w:rsid w:val="00795F84"/>
    <w:rsid w:val="0079699C"/>
    <w:rsid w:val="007B1B67"/>
    <w:rsid w:val="007C3F03"/>
    <w:rsid w:val="007D2307"/>
    <w:rsid w:val="007D649B"/>
    <w:rsid w:val="007F2444"/>
    <w:rsid w:val="007F4718"/>
    <w:rsid w:val="007F5D7D"/>
    <w:rsid w:val="007F6999"/>
    <w:rsid w:val="00815AC7"/>
    <w:rsid w:val="008232D4"/>
    <w:rsid w:val="00843392"/>
    <w:rsid w:val="00843E35"/>
    <w:rsid w:val="008457D7"/>
    <w:rsid w:val="00846536"/>
    <w:rsid w:val="00856A73"/>
    <w:rsid w:val="00857C8F"/>
    <w:rsid w:val="008602E4"/>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C6C"/>
    <w:rsid w:val="008C020E"/>
    <w:rsid w:val="008C26D9"/>
    <w:rsid w:val="008C342F"/>
    <w:rsid w:val="008D0CA5"/>
    <w:rsid w:val="008E3EC8"/>
    <w:rsid w:val="00901522"/>
    <w:rsid w:val="00911DA9"/>
    <w:rsid w:val="00915C4F"/>
    <w:rsid w:val="00925041"/>
    <w:rsid w:val="00925365"/>
    <w:rsid w:val="00932F76"/>
    <w:rsid w:val="00933388"/>
    <w:rsid w:val="0093674E"/>
    <w:rsid w:val="00940243"/>
    <w:rsid w:val="00952503"/>
    <w:rsid w:val="00955B4E"/>
    <w:rsid w:val="00957002"/>
    <w:rsid w:val="009628F5"/>
    <w:rsid w:val="009673C9"/>
    <w:rsid w:val="00976C40"/>
    <w:rsid w:val="00981E3E"/>
    <w:rsid w:val="00984CEB"/>
    <w:rsid w:val="00986BB2"/>
    <w:rsid w:val="009B081C"/>
    <w:rsid w:val="009B4C85"/>
    <w:rsid w:val="009B61D9"/>
    <w:rsid w:val="009C0827"/>
    <w:rsid w:val="009C24DF"/>
    <w:rsid w:val="009D5878"/>
    <w:rsid w:val="009D5B5D"/>
    <w:rsid w:val="009E0FE9"/>
    <w:rsid w:val="009E23F4"/>
    <w:rsid w:val="009E5BFB"/>
    <w:rsid w:val="009F04C9"/>
    <w:rsid w:val="009F2843"/>
    <w:rsid w:val="009F2B89"/>
    <w:rsid w:val="009F4C8D"/>
    <w:rsid w:val="009F7F98"/>
    <w:rsid w:val="00A02D44"/>
    <w:rsid w:val="00A0383B"/>
    <w:rsid w:val="00A12B0B"/>
    <w:rsid w:val="00A1763A"/>
    <w:rsid w:val="00A21FC7"/>
    <w:rsid w:val="00A24519"/>
    <w:rsid w:val="00A27151"/>
    <w:rsid w:val="00A34954"/>
    <w:rsid w:val="00A349BC"/>
    <w:rsid w:val="00A41D34"/>
    <w:rsid w:val="00A54CE4"/>
    <w:rsid w:val="00A6014B"/>
    <w:rsid w:val="00A642C5"/>
    <w:rsid w:val="00A82E92"/>
    <w:rsid w:val="00A84A0D"/>
    <w:rsid w:val="00A86CD6"/>
    <w:rsid w:val="00AA3762"/>
    <w:rsid w:val="00AA3949"/>
    <w:rsid w:val="00AB2957"/>
    <w:rsid w:val="00AC262B"/>
    <w:rsid w:val="00AC4AA8"/>
    <w:rsid w:val="00AD5385"/>
    <w:rsid w:val="00AE174D"/>
    <w:rsid w:val="00AE467A"/>
    <w:rsid w:val="00AF4B61"/>
    <w:rsid w:val="00AF56F2"/>
    <w:rsid w:val="00AF6D39"/>
    <w:rsid w:val="00B000D2"/>
    <w:rsid w:val="00B014D1"/>
    <w:rsid w:val="00B0578B"/>
    <w:rsid w:val="00B06D17"/>
    <w:rsid w:val="00B1695C"/>
    <w:rsid w:val="00B20308"/>
    <w:rsid w:val="00B332D9"/>
    <w:rsid w:val="00B35E5D"/>
    <w:rsid w:val="00B35FCE"/>
    <w:rsid w:val="00B36D6A"/>
    <w:rsid w:val="00B44C64"/>
    <w:rsid w:val="00B4557C"/>
    <w:rsid w:val="00B47E7F"/>
    <w:rsid w:val="00B5337C"/>
    <w:rsid w:val="00B53BC3"/>
    <w:rsid w:val="00B559B7"/>
    <w:rsid w:val="00B61A55"/>
    <w:rsid w:val="00B65B69"/>
    <w:rsid w:val="00B677F9"/>
    <w:rsid w:val="00B7364F"/>
    <w:rsid w:val="00B94945"/>
    <w:rsid w:val="00B97175"/>
    <w:rsid w:val="00BA0AF7"/>
    <w:rsid w:val="00BA37BB"/>
    <w:rsid w:val="00BA4322"/>
    <w:rsid w:val="00BA6AEB"/>
    <w:rsid w:val="00BB0D8D"/>
    <w:rsid w:val="00BB204F"/>
    <w:rsid w:val="00BB3130"/>
    <w:rsid w:val="00BC1DF0"/>
    <w:rsid w:val="00BD3953"/>
    <w:rsid w:val="00BF3D2F"/>
    <w:rsid w:val="00BF520A"/>
    <w:rsid w:val="00C0619F"/>
    <w:rsid w:val="00C074A9"/>
    <w:rsid w:val="00C12CF2"/>
    <w:rsid w:val="00C172C3"/>
    <w:rsid w:val="00C25569"/>
    <w:rsid w:val="00C302FA"/>
    <w:rsid w:val="00C30946"/>
    <w:rsid w:val="00C334C5"/>
    <w:rsid w:val="00C34AE5"/>
    <w:rsid w:val="00C40698"/>
    <w:rsid w:val="00C451EA"/>
    <w:rsid w:val="00C517D1"/>
    <w:rsid w:val="00C53028"/>
    <w:rsid w:val="00C542F7"/>
    <w:rsid w:val="00C56DEE"/>
    <w:rsid w:val="00C600C7"/>
    <w:rsid w:val="00C636B7"/>
    <w:rsid w:val="00C66A18"/>
    <w:rsid w:val="00C7216E"/>
    <w:rsid w:val="00C921CD"/>
    <w:rsid w:val="00C93C34"/>
    <w:rsid w:val="00CA30C0"/>
    <w:rsid w:val="00CB1AD1"/>
    <w:rsid w:val="00CB4083"/>
    <w:rsid w:val="00CB7961"/>
    <w:rsid w:val="00CC555F"/>
    <w:rsid w:val="00CC6711"/>
    <w:rsid w:val="00CD16D2"/>
    <w:rsid w:val="00CD1731"/>
    <w:rsid w:val="00CD7BD4"/>
    <w:rsid w:val="00CD7DA4"/>
    <w:rsid w:val="00CF46C9"/>
    <w:rsid w:val="00CF66A6"/>
    <w:rsid w:val="00CF6719"/>
    <w:rsid w:val="00D03B03"/>
    <w:rsid w:val="00D06041"/>
    <w:rsid w:val="00D128FD"/>
    <w:rsid w:val="00D1332B"/>
    <w:rsid w:val="00D24E2D"/>
    <w:rsid w:val="00D30F60"/>
    <w:rsid w:val="00D42328"/>
    <w:rsid w:val="00D46B74"/>
    <w:rsid w:val="00D548D9"/>
    <w:rsid w:val="00D56005"/>
    <w:rsid w:val="00D6301D"/>
    <w:rsid w:val="00D74DA6"/>
    <w:rsid w:val="00D770CD"/>
    <w:rsid w:val="00D86FBA"/>
    <w:rsid w:val="00D877D8"/>
    <w:rsid w:val="00D92539"/>
    <w:rsid w:val="00D9290E"/>
    <w:rsid w:val="00D936B8"/>
    <w:rsid w:val="00DA06B5"/>
    <w:rsid w:val="00DA4723"/>
    <w:rsid w:val="00DA4A72"/>
    <w:rsid w:val="00DB06E8"/>
    <w:rsid w:val="00DB6A2A"/>
    <w:rsid w:val="00DB781A"/>
    <w:rsid w:val="00DC3AA5"/>
    <w:rsid w:val="00DC4367"/>
    <w:rsid w:val="00DC4368"/>
    <w:rsid w:val="00DC53BB"/>
    <w:rsid w:val="00DD2F52"/>
    <w:rsid w:val="00DD4126"/>
    <w:rsid w:val="00DD6EC5"/>
    <w:rsid w:val="00DE41CF"/>
    <w:rsid w:val="00DF3C0C"/>
    <w:rsid w:val="00DF57F5"/>
    <w:rsid w:val="00DF58D7"/>
    <w:rsid w:val="00E033D5"/>
    <w:rsid w:val="00E046DA"/>
    <w:rsid w:val="00E137EF"/>
    <w:rsid w:val="00E24F8F"/>
    <w:rsid w:val="00E24F93"/>
    <w:rsid w:val="00E327BA"/>
    <w:rsid w:val="00E4290E"/>
    <w:rsid w:val="00E47476"/>
    <w:rsid w:val="00E5152A"/>
    <w:rsid w:val="00E524C1"/>
    <w:rsid w:val="00E65502"/>
    <w:rsid w:val="00E67E90"/>
    <w:rsid w:val="00E7510A"/>
    <w:rsid w:val="00E80769"/>
    <w:rsid w:val="00E8103A"/>
    <w:rsid w:val="00E8536E"/>
    <w:rsid w:val="00E87412"/>
    <w:rsid w:val="00E914F5"/>
    <w:rsid w:val="00E92D2F"/>
    <w:rsid w:val="00EA076D"/>
    <w:rsid w:val="00EA1090"/>
    <w:rsid w:val="00EA1201"/>
    <w:rsid w:val="00EA35A1"/>
    <w:rsid w:val="00EB702A"/>
    <w:rsid w:val="00EB7D0B"/>
    <w:rsid w:val="00EC1C6D"/>
    <w:rsid w:val="00EC6991"/>
    <w:rsid w:val="00EC6A5C"/>
    <w:rsid w:val="00EC6C7B"/>
    <w:rsid w:val="00ED58A5"/>
    <w:rsid w:val="00ED76F8"/>
    <w:rsid w:val="00EE7B24"/>
    <w:rsid w:val="00EF07D2"/>
    <w:rsid w:val="00F10131"/>
    <w:rsid w:val="00F11B25"/>
    <w:rsid w:val="00F21728"/>
    <w:rsid w:val="00F306AF"/>
    <w:rsid w:val="00F34F40"/>
    <w:rsid w:val="00F354F3"/>
    <w:rsid w:val="00F35CA2"/>
    <w:rsid w:val="00F36D3A"/>
    <w:rsid w:val="00F41E93"/>
    <w:rsid w:val="00F76968"/>
    <w:rsid w:val="00F83D9D"/>
    <w:rsid w:val="00F871A0"/>
    <w:rsid w:val="00F87440"/>
    <w:rsid w:val="00F9269A"/>
    <w:rsid w:val="00F94332"/>
    <w:rsid w:val="00F943CC"/>
    <w:rsid w:val="00FB0EC3"/>
    <w:rsid w:val="00FB1093"/>
    <w:rsid w:val="00FC2BA1"/>
    <w:rsid w:val="00FD532A"/>
    <w:rsid w:val="00FD75F1"/>
    <w:rsid w:val="00FE3E95"/>
    <w:rsid w:val="00FE55AE"/>
    <w:rsid w:val="00FF15D5"/>
    <w:rsid w:val="00FF7B7F"/>
    <w:rsid w:val="0175001E"/>
    <w:rsid w:val="01890D0B"/>
    <w:rsid w:val="01963062"/>
    <w:rsid w:val="01AC1887"/>
    <w:rsid w:val="01F55FA8"/>
    <w:rsid w:val="020578DD"/>
    <w:rsid w:val="02415EF7"/>
    <w:rsid w:val="027A2971"/>
    <w:rsid w:val="028606DA"/>
    <w:rsid w:val="02C9546D"/>
    <w:rsid w:val="04305357"/>
    <w:rsid w:val="044B50D2"/>
    <w:rsid w:val="04CC4470"/>
    <w:rsid w:val="04DD0CB1"/>
    <w:rsid w:val="04ED66A4"/>
    <w:rsid w:val="0553753E"/>
    <w:rsid w:val="059D2DF8"/>
    <w:rsid w:val="05F91C97"/>
    <w:rsid w:val="07713C35"/>
    <w:rsid w:val="07B63B11"/>
    <w:rsid w:val="081F390C"/>
    <w:rsid w:val="082A6B46"/>
    <w:rsid w:val="08C46F44"/>
    <w:rsid w:val="08E001B0"/>
    <w:rsid w:val="09563C3F"/>
    <w:rsid w:val="09BB55BA"/>
    <w:rsid w:val="0A18464F"/>
    <w:rsid w:val="0A366207"/>
    <w:rsid w:val="0AA049F3"/>
    <w:rsid w:val="0AD84285"/>
    <w:rsid w:val="0ADC03EB"/>
    <w:rsid w:val="0B441098"/>
    <w:rsid w:val="0B95124F"/>
    <w:rsid w:val="0BBD1D37"/>
    <w:rsid w:val="0C073E59"/>
    <w:rsid w:val="0F1D14D5"/>
    <w:rsid w:val="0F3048C7"/>
    <w:rsid w:val="0FD51371"/>
    <w:rsid w:val="0FDB4A43"/>
    <w:rsid w:val="0FDE3679"/>
    <w:rsid w:val="10AD2295"/>
    <w:rsid w:val="11332C1D"/>
    <w:rsid w:val="115434A7"/>
    <w:rsid w:val="11893269"/>
    <w:rsid w:val="11DA6313"/>
    <w:rsid w:val="11F67716"/>
    <w:rsid w:val="120E6D62"/>
    <w:rsid w:val="12BC3060"/>
    <w:rsid w:val="12C50ED6"/>
    <w:rsid w:val="12EB7263"/>
    <w:rsid w:val="13352C8C"/>
    <w:rsid w:val="134B775D"/>
    <w:rsid w:val="134E01D7"/>
    <w:rsid w:val="13624C7F"/>
    <w:rsid w:val="13B25860"/>
    <w:rsid w:val="13B25C31"/>
    <w:rsid w:val="13DB2AF9"/>
    <w:rsid w:val="141B1331"/>
    <w:rsid w:val="14324EA6"/>
    <w:rsid w:val="14DD31E2"/>
    <w:rsid w:val="15A05198"/>
    <w:rsid w:val="15BA2D4A"/>
    <w:rsid w:val="168F1DFA"/>
    <w:rsid w:val="16A9400E"/>
    <w:rsid w:val="16D30CDD"/>
    <w:rsid w:val="17156845"/>
    <w:rsid w:val="1757657C"/>
    <w:rsid w:val="17932850"/>
    <w:rsid w:val="17D040B3"/>
    <w:rsid w:val="17D849D6"/>
    <w:rsid w:val="180E527E"/>
    <w:rsid w:val="18246CA7"/>
    <w:rsid w:val="182C673E"/>
    <w:rsid w:val="18B94904"/>
    <w:rsid w:val="18D218DA"/>
    <w:rsid w:val="18F33943"/>
    <w:rsid w:val="192405E7"/>
    <w:rsid w:val="19600305"/>
    <w:rsid w:val="19753246"/>
    <w:rsid w:val="19CC2CC4"/>
    <w:rsid w:val="1A2C3DD7"/>
    <w:rsid w:val="1A6B245E"/>
    <w:rsid w:val="1AAE5A45"/>
    <w:rsid w:val="1AAF59FC"/>
    <w:rsid w:val="1AEB1A05"/>
    <w:rsid w:val="1B205A92"/>
    <w:rsid w:val="1B6C5B53"/>
    <w:rsid w:val="1B6F13B3"/>
    <w:rsid w:val="1BC35998"/>
    <w:rsid w:val="1C3310A9"/>
    <w:rsid w:val="1CBB00C5"/>
    <w:rsid w:val="1D3532F8"/>
    <w:rsid w:val="1D40117C"/>
    <w:rsid w:val="1D785B20"/>
    <w:rsid w:val="1DA805C1"/>
    <w:rsid w:val="1DDF5840"/>
    <w:rsid w:val="1E033CFE"/>
    <w:rsid w:val="1EA76978"/>
    <w:rsid w:val="1EE73B09"/>
    <w:rsid w:val="1F316326"/>
    <w:rsid w:val="1F5D4A06"/>
    <w:rsid w:val="1F964F4E"/>
    <w:rsid w:val="1FB92045"/>
    <w:rsid w:val="20C34F92"/>
    <w:rsid w:val="21315378"/>
    <w:rsid w:val="2184139D"/>
    <w:rsid w:val="218F1C0A"/>
    <w:rsid w:val="2191233E"/>
    <w:rsid w:val="221F6235"/>
    <w:rsid w:val="226B066F"/>
    <w:rsid w:val="22E10344"/>
    <w:rsid w:val="22E942A6"/>
    <w:rsid w:val="22F45DE8"/>
    <w:rsid w:val="22F63598"/>
    <w:rsid w:val="22FF76A7"/>
    <w:rsid w:val="236E082B"/>
    <w:rsid w:val="246C0C34"/>
    <w:rsid w:val="26C239CA"/>
    <w:rsid w:val="26C90E2D"/>
    <w:rsid w:val="26D747CC"/>
    <w:rsid w:val="270B25DA"/>
    <w:rsid w:val="273705EE"/>
    <w:rsid w:val="2827575A"/>
    <w:rsid w:val="28B46433"/>
    <w:rsid w:val="29032BEF"/>
    <w:rsid w:val="2A1B0D71"/>
    <w:rsid w:val="2A4C7902"/>
    <w:rsid w:val="2A6A39E8"/>
    <w:rsid w:val="2B4F2A6E"/>
    <w:rsid w:val="2BCD490E"/>
    <w:rsid w:val="2BED6F1A"/>
    <w:rsid w:val="2C255C58"/>
    <w:rsid w:val="2C2F59DD"/>
    <w:rsid w:val="2CC41C04"/>
    <w:rsid w:val="2CF40263"/>
    <w:rsid w:val="2DAF14AD"/>
    <w:rsid w:val="2E7620ED"/>
    <w:rsid w:val="2EE724DC"/>
    <w:rsid w:val="2F0D20DE"/>
    <w:rsid w:val="2F5D30B3"/>
    <w:rsid w:val="2F7009B1"/>
    <w:rsid w:val="2FA07728"/>
    <w:rsid w:val="2FC002D5"/>
    <w:rsid w:val="302E6AE1"/>
    <w:rsid w:val="306A6A79"/>
    <w:rsid w:val="30E1433C"/>
    <w:rsid w:val="30E82380"/>
    <w:rsid w:val="315453F8"/>
    <w:rsid w:val="31D21342"/>
    <w:rsid w:val="31FA6300"/>
    <w:rsid w:val="32170A8D"/>
    <w:rsid w:val="32814A0A"/>
    <w:rsid w:val="32AF23C2"/>
    <w:rsid w:val="32EE1A36"/>
    <w:rsid w:val="32F10D36"/>
    <w:rsid w:val="337624A0"/>
    <w:rsid w:val="342D1BFF"/>
    <w:rsid w:val="342F480F"/>
    <w:rsid w:val="3475581F"/>
    <w:rsid w:val="347E1DA2"/>
    <w:rsid w:val="349B682B"/>
    <w:rsid w:val="34B34830"/>
    <w:rsid w:val="34C649F1"/>
    <w:rsid w:val="3503309E"/>
    <w:rsid w:val="35435064"/>
    <w:rsid w:val="35E30B2B"/>
    <w:rsid w:val="3620672B"/>
    <w:rsid w:val="365B1287"/>
    <w:rsid w:val="36831F44"/>
    <w:rsid w:val="37B86AAF"/>
    <w:rsid w:val="37C14982"/>
    <w:rsid w:val="37DB3ACA"/>
    <w:rsid w:val="3810525E"/>
    <w:rsid w:val="3875617F"/>
    <w:rsid w:val="388B3822"/>
    <w:rsid w:val="389573C2"/>
    <w:rsid w:val="39066F35"/>
    <w:rsid w:val="391F6C66"/>
    <w:rsid w:val="39CF1681"/>
    <w:rsid w:val="39DF13C4"/>
    <w:rsid w:val="3A1E08C5"/>
    <w:rsid w:val="3A8332F9"/>
    <w:rsid w:val="3AD2258E"/>
    <w:rsid w:val="3AD62764"/>
    <w:rsid w:val="3B135B6F"/>
    <w:rsid w:val="3B4B6B6F"/>
    <w:rsid w:val="3B4F1DA6"/>
    <w:rsid w:val="3B510544"/>
    <w:rsid w:val="3BCF3DE2"/>
    <w:rsid w:val="3C6E7B33"/>
    <w:rsid w:val="3CB516F6"/>
    <w:rsid w:val="3CE06878"/>
    <w:rsid w:val="3DC70DA6"/>
    <w:rsid w:val="3E336DBB"/>
    <w:rsid w:val="3E433531"/>
    <w:rsid w:val="3E8D51C5"/>
    <w:rsid w:val="3E911ED8"/>
    <w:rsid w:val="3F345912"/>
    <w:rsid w:val="3F456AA7"/>
    <w:rsid w:val="3FE86074"/>
    <w:rsid w:val="404350E0"/>
    <w:rsid w:val="40A33F45"/>
    <w:rsid w:val="41694E7F"/>
    <w:rsid w:val="42857E42"/>
    <w:rsid w:val="42F775E0"/>
    <w:rsid w:val="432934FC"/>
    <w:rsid w:val="433B7B45"/>
    <w:rsid w:val="438F36C0"/>
    <w:rsid w:val="442C26BD"/>
    <w:rsid w:val="44463ADF"/>
    <w:rsid w:val="44C70737"/>
    <w:rsid w:val="45AF7D25"/>
    <w:rsid w:val="4642740B"/>
    <w:rsid w:val="46985A97"/>
    <w:rsid w:val="46E23A2A"/>
    <w:rsid w:val="47356D0C"/>
    <w:rsid w:val="47D30BCB"/>
    <w:rsid w:val="490E7AA5"/>
    <w:rsid w:val="494012EE"/>
    <w:rsid w:val="496F7C6C"/>
    <w:rsid w:val="498948AA"/>
    <w:rsid w:val="49F243DB"/>
    <w:rsid w:val="4A780610"/>
    <w:rsid w:val="4A8E676D"/>
    <w:rsid w:val="4BA25344"/>
    <w:rsid w:val="4BEB36BA"/>
    <w:rsid w:val="4BEF33B4"/>
    <w:rsid w:val="4C2F38A5"/>
    <w:rsid w:val="4C7306FC"/>
    <w:rsid w:val="4C7C5EF5"/>
    <w:rsid w:val="4CF514BF"/>
    <w:rsid w:val="4D1717E9"/>
    <w:rsid w:val="4D287306"/>
    <w:rsid w:val="4E6C7A73"/>
    <w:rsid w:val="4ECF2AD4"/>
    <w:rsid w:val="4F273FBE"/>
    <w:rsid w:val="4F31194C"/>
    <w:rsid w:val="4F602AB3"/>
    <w:rsid w:val="4FF5172F"/>
    <w:rsid w:val="5082298F"/>
    <w:rsid w:val="50C231AF"/>
    <w:rsid w:val="5145397C"/>
    <w:rsid w:val="52242D7E"/>
    <w:rsid w:val="52255532"/>
    <w:rsid w:val="527313D2"/>
    <w:rsid w:val="52A5133D"/>
    <w:rsid w:val="52BA6550"/>
    <w:rsid w:val="52C36E5D"/>
    <w:rsid w:val="53466052"/>
    <w:rsid w:val="54013AED"/>
    <w:rsid w:val="542D56BA"/>
    <w:rsid w:val="54F3048A"/>
    <w:rsid w:val="55D97B52"/>
    <w:rsid w:val="5624334F"/>
    <w:rsid w:val="570329BD"/>
    <w:rsid w:val="5704401B"/>
    <w:rsid w:val="58650B29"/>
    <w:rsid w:val="587A21D2"/>
    <w:rsid w:val="59142B31"/>
    <w:rsid w:val="59594278"/>
    <w:rsid w:val="595B7AB0"/>
    <w:rsid w:val="5A3D2DC3"/>
    <w:rsid w:val="5ACB5EC5"/>
    <w:rsid w:val="5B0A558E"/>
    <w:rsid w:val="5B327420"/>
    <w:rsid w:val="5B5B06A3"/>
    <w:rsid w:val="5BAB33C9"/>
    <w:rsid w:val="5C000D60"/>
    <w:rsid w:val="5C0564B8"/>
    <w:rsid w:val="5C1C1980"/>
    <w:rsid w:val="5C751D60"/>
    <w:rsid w:val="5CC45B4D"/>
    <w:rsid w:val="5D09221E"/>
    <w:rsid w:val="5D206A74"/>
    <w:rsid w:val="5D494E95"/>
    <w:rsid w:val="5DB56F1E"/>
    <w:rsid w:val="5DC32AF4"/>
    <w:rsid w:val="5DEB6E57"/>
    <w:rsid w:val="5F563F98"/>
    <w:rsid w:val="5FB33FD2"/>
    <w:rsid w:val="5FBE1B5B"/>
    <w:rsid w:val="60C95C15"/>
    <w:rsid w:val="61334426"/>
    <w:rsid w:val="622C0E17"/>
    <w:rsid w:val="62605093"/>
    <w:rsid w:val="6482678D"/>
    <w:rsid w:val="649B3B9B"/>
    <w:rsid w:val="65253FDA"/>
    <w:rsid w:val="65300472"/>
    <w:rsid w:val="65347A1E"/>
    <w:rsid w:val="65452F82"/>
    <w:rsid w:val="6560518B"/>
    <w:rsid w:val="65DA79A0"/>
    <w:rsid w:val="664F5B77"/>
    <w:rsid w:val="677F6F74"/>
    <w:rsid w:val="67B40B6D"/>
    <w:rsid w:val="685D00F6"/>
    <w:rsid w:val="693105D7"/>
    <w:rsid w:val="69386092"/>
    <w:rsid w:val="69401DEB"/>
    <w:rsid w:val="69840267"/>
    <w:rsid w:val="6A192046"/>
    <w:rsid w:val="6B786294"/>
    <w:rsid w:val="6BA03046"/>
    <w:rsid w:val="6BA749C1"/>
    <w:rsid w:val="6BC7249D"/>
    <w:rsid w:val="6BDC20C6"/>
    <w:rsid w:val="6C9F05FC"/>
    <w:rsid w:val="6CD90EC6"/>
    <w:rsid w:val="6DDD3F44"/>
    <w:rsid w:val="6DF76D93"/>
    <w:rsid w:val="6E737672"/>
    <w:rsid w:val="6EDD2A32"/>
    <w:rsid w:val="6FB04A89"/>
    <w:rsid w:val="6FCA78EF"/>
    <w:rsid w:val="70804DCE"/>
    <w:rsid w:val="71785618"/>
    <w:rsid w:val="719173FA"/>
    <w:rsid w:val="72AD133E"/>
    <w:rsid w:val="72F14A43"/>
    <w:rsid w:val="733E6754"/>
    <w:rsid w:val="73572888"/>
    <w:rsid w:val="737D0B03"/>
    <w:rsid w:val="747D4685"/>
    <w:rsid w:val="749F94F5"/>
    <w:rsid w:val="7550560B"/>
    <w:rsid w:val="757906F5"/>
    <w:rsid w:val="762F1A8F"/>
    <w:rsid w:val="763C2FCD"/>
    <w:rsid w:val="77281135"/>
    <w:rsid w:val="7743475F"/>
    <w:rsid w:val="775A26DD"/>
    <w:rsid w:val="784D2C1B"/>
    <w:rsid w:val="78CC6C6A"/>
    <w:rsid w:val="791372BB"/>
    <w:rsid w:val="7A123748"/>
    <w:rsid w:val="7A345D59"/>
    <w:rsid w:val="7A9E7923"/>
    <w:rsid w:val="7AEA32BE"/>
    <w:rsid w:val="7B2737E9"/>
    <w:rsid w:val="7B5733E2"/>
    <w:rsid w:val="7C3A18F2"/>
    <w:rsid w:val="7C60423E"/>
    <w:rsid w:val="7C7554D3"/>
    <w:rsid w:val="7E345FE1"/>
    <w:rsid w:val="7E3B3A15"/>
    <w:rsid w:val="7E80234E"/>
    <w:rsid w:val="7EDC30B8"/>
    <w:rsid w:val="7F2A14D1"/>
    <w:rsid w:val="7F4852A7"/>
    <w:rsid w:val="7F520F0F"/>
    <w:rsid w:val="7F614579"/>
    <w:rsid w:val="7F972282"/>
    <w:rsid w:val="97B66E64"/>
    <w:rsid w:val="B5FFE165"/>
    <w:rsid w:val="FBDF49B3"/>
    <w:rsid w:val="FE7F06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2">
    <w:name w:val="heading 1"/>
    <w:next w:val="1"/>
    <w:link w:val="17"/>
    <w:qFormat/>
    <w:uiPriority w:val="0"/>
    <w:pPr>
      <w:keepNext/>
      <w:numPr>
        <w:ilvl w:val="0"/>
        <w:numId w:val="1"/>
      </w:numPr>
      <w:spacing w:before="100" w:beforeLines="100" w:after="50" w:afterLines="50" w:line="360" w:lineRule="auto"/>
      <w:outlineLvl w:val="0"/>
    </w:pPr>
    <w:rPr>
      <w:rFonts w:ascii="宋体" w:hAnsi="宋体" w:eastAsia="宋体" w:cs="Times New Roman"/>
      <w:b/>
      <w:bCs/>
      <w:kern w:val="24"/>
      <w:sz w:val="30"/>
      <w:szCs w:val="24"/>
      <w:u w:color="000000"/>
      <w:lang w:val="en-US" w:eastAsia="zh-CN" w:bidi="ar-SA"/>
    </w:rPr>
  </w:style>
  <w:style w:type="character" w:default="1" w:styleId="13">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3">
    <w:name w:val="caption"/>
    <w:basedOn w:val="1"/>
    <w:next w:val="1"/>
    <w:unhideWhenUsed/>
    <w:qFormat/>
    <w:uiPriority w:val="35"/>
    <w:rPr>
      <w:rFonts w:eastAsia="黑体" w:asciiTheme="majorHAnsi" w:hAnsiTheme="majorHAnsi" w:cstheme="majorBidi"/>
      <w:sz w:val="20"/>
      <w:szCs w:val="20"/>
    </w:rPr>
  </w:style>
  <w:style w:type="paragraph" w:styleId="4">
    <w:name w:val="Document Map"/>
    <w:basedOn w:val="1"/>
    <w:qFormat/>
    <w:uiPriority w:val="0"/>
    <w:pPr>
      <w:shd w:val="clear" w:color="auto" w:fill="000080"/>
    </w:pPr>
  </w:style>
  <w:style w:type="paragraph" w:styleId="5">
    <w:name w:val="annotation text"/>
    <w:basedOn w:val="1"/>
    <w:link w:val="19"/>
    <w:qFormat/>
    <w:uiPriority w:val="0"/>
  </w:style>
  <w:style w:type="paragraph" w:styleId="6">
    <w:name w:val="Balloon Text"/>
    <w:basedOn w:val="1"/>
    <w:link w:val="20"/>
    <w:qFormat/>
    <w:uiPriority w:val="0"/>
    <w:rPr>
      <w:sz w:val="18"/>
      <w:szCs w:val="18"/>
    </w:rPr>
  </w:style>
  <w:style w:type="paragraph" w:styleId="7">
    <w:name w:val="footer"/>
    <w:basedOn w:val="1"/>
    <w:link w:val="16"/>
    <w:qFormat/>
    <w:uiPriority w:val="0"/>
    <w:pPr>
      <w:tabs>
        <w:tab w:val="center" w:pos="4153"/>
        <w:tab w:val="right" w:pos="8306"/>
      </w:tabs>
      <w:snapToGrid w:val="0"/>
    </w:pPr>
    <w:rPr>
      <w:sz w:val="18"/>
    </w:rPr>
  </w:style>
  <w:style w:type="paragraph" w:styleId="8">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pPr>
      <w:spacing w:line="240" w:lineRule="auto"/>
      <w:ind w:firstLine="0" w:firstLineChars="0"/>
    </w:pPr>
    <w:rPr>
      <w:sz w:val="21"/>
    </w:rPr>
  </w:style>
  <w:style w:type="paragraph" w:styleId="10">
    <w:name w:val="annotation subject"/>
    <w:basedOn w:val="5"/>
    <w:next w:val="5"/>
    <w:link w:val="21"/>
    <w:qFormat/>
    <w:uiPriority w:val="0"/>
    <w:rPr>
      <w:b/>
      <w:bCs/>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qFormat/>
    <w:uiPriority w:val="99"/>
    <w:rPr>
      <w:color w:val="0000FF"/>
      <w:u w:val="single"/>
    </w:rPr>
  </w:style>
  <w:style w:type="character" w:styleId="15">
    <w:name w:val="annotation reference"/>
    <w:qFormat/>
    <w:uiPriority w:val="0"/>
    <w:rPr>
      <w:sz w:val="21"/>
      <w:szCs w:val="21"/>
    </w:rPr>
  </w:style>
  <w:style w:type="character" w:customStyle="1" w:styleId="16">
    <w:name w:val="页脚 Char"/>
    <w:link w:val="7"/>
    <w:qFormat/>
    <w:uiPriority w:val="0"/>
    <w:rPr>
      <w:rFonts w:ascii="Times New Roman" w:hAnsi="Times New Roman" w:eastAsia="宋体" w:cs="Times New Roman"/>
      <w:sz w:val="18"/>
      <w:szCs w:val="24"/>
    </w:rPr>
  </w:style>
  <w:style w:type="character" w:customStyle="1" w:styleId="17">
    <w:name w:val="标题 1 Char"/>
    <w:link w:val="2"/>
    <w:qFormat/>
    <w:uiPriority w:val="0"/>
    <w:rPr>
      <w:rFonts w:ascii="宋体" w:hAnsi="宋体"/>
      <w:b/>
      <w:bCs/>
      <w:kern w:val="24"/>
      <w:sz w:val="30"/>
      <w:szCs w:val="24"/>
      <w:u w:color="000000"/>
    </w:rPr>
  </w:style>
  <w:style w:type="character" w:customStyle="1" w:styleId="18">
    <w:name w:val="页眉 Char"/>
    <w:link w:val="8"/>
    <w:qFormat/>
    <w:uiPriority w:val="0"/>
    <w:rPr>
      <w:rFonts w:ascii="Times New Roman" w:hAnsi="Times New Roman" w:eastAsia="宋体" w:cs="Times New Roman"/>
      <w:sz w:val="18"/>
      <w:szCs w:val="18"/>
    </w:rPr>
  </w:style>
  <w:style w:type="character" w:customStyle="1" w:styleId="19">
    <w:name w:val="批注文字 Char"/>
    <w:link w:val="5"/>
    <w:qFormat/>
    <w:uiPriority w:val="0"/>
    <w:rPr>
      <w:rFonts w:ascii="Times New Roman" w:hAnsi="Times New Roman"/>
      <w:kern w:val="2"/>
      <w:sz w:val="21"/>
      <w:szCs w:val="24"/>
    </w:rPr>
  </w:style>
  <w:style w:type="character" w:customStyle="1" w:styleId="20">
    <w:name w:val="批注框文本 Char"/>
    <w:link w:val="6"/>
    <w:qFormat/>
    <w:uiPriority w:val="0"/>
    <w:rPr>
      <w:rFonts w:ascii="Times New Roman" w:hAnsi="Times New Roman"/>
      <w:kern w:val="2"/>
      <w:sz w:val="18"/>
      <w:szCs w:val="18"/>
    </w:rPr>
  </w:style>
  <w:style w:type="character" w:customStyle="1" w:styleId="21">
    <w:name w:val="批注主题 Char"/>
    <w:link w:val="10"/>
    <w:qFormat/>
    <w:uiPriority w:val="0"/>
    <w:rPr>
      <w:rFonts w:ascii="Times New Roman" w:hAnsi="Times New Roman"/>
      <w:b/>
      <w:bCs/>
      <w:kern w:val="2"/>
      <w:sz w:val="21"/>
      <w:szCs w:val="24"/>
    </w:rPr>
  </w:style>
  <w:style w:type="paragraph" w:customStyle="1" w:styleId="22">
    <w:name w:val="修订1"/>
    <w:qFormat/>
    <w:uiPriority w:val="0"/>
    <w:rPr>
      <w:rFonts w:ascii="Times New Roman" w:hAnsi="Times New Roman" w:eastAsia="宋体" w:cs="Times New Roman"/>
      <w:kern w:val="2"/>
      <w:sz w:val="21"/>
      <w:szCs w:val="24"/>
      <w:lang w:val="en-US" w:eastAsia="zh-CN" w:bidi="ar-SA"/>
    </w:rPr>
  </w:style>
  <w:style w:type="paragraph" w:customStyle="1" w:styleId="23">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2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9824FE2C-79D0-4AD2-9BC4-B1648EE61F6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15</Pages>
  <Words>105</Words>
  <Characters>113</Characters>
  <Lines>46</Lines>
  <Paragraphs>13</Paragraphs>
  <TotalTime>0</TotalTime>
  <ScaleCrop>false</ScaleCrop>
  <LinksUpToDate>false</LinksUpToDate>
  <CharactersWithSpaces>129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2018-12-04T08:42:00Z</dcterms:created>
  <dc:creator>Chen Xiangyu</dc:creator>
  <cp:lastModifiedBy>ZL</cp:lastModifiedBy>
  <cp:lastPrinted>2019-01-03T05:57:00Z</cp:lastPrinted>
  <dcterms:modified xsi:type="dcterms:W3CDTF">2026-08-19T06:28:01Z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0B31227B8B2041588FD94C6699E94FAE_13</vt:lpwstr>
  </property>
  <property fmtid="{D5CDD505-2E9C-101B-9397-08002B2CF9AE}" pid="4" name="KSOTemplateDocerSaveRecord">
    <vt:lpwstr>eyJoZGlkIjoiZjRkNzRiMGI5NTcxNzU2Y2Q1YzM4ZDU1ZWI0ZmNhYWEiLCJ1c2VySWQiOiI3NDc1MTA0MzIifQ==</vt:lpwstr>
  </property>
</Properties>
</file>