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9CBB04">
      <w:pPr>
        <w:pStyle w:val="4"/>
        <w:spacing w:before="0" w:after="0" w:line="360" w:lineRule="auto"/>
        <w:jc w:val="both"/>
        <w:rPr>
          <w:rFonts w:hint="default" w:ascii="黑体" w:hAnsi="黑体" w:eastAsia="黑体" w:cs="黑体"/>
          <w:b/>
          <w:bCs/>
          <w:color w:val="auto"/>
          <w:kern w:val="2"/>
          <w:sz w:val="32"/>
          <w:szCs w:val="32"/>
          <w:highlight w:val="none"/>
          <w:lang w:val="en-US" w:eastAsia="zh-CN"/>
        </w:rPr>
      </w:pPr>
      <w:bookmarkStart w:id="0" w:name="_Toc15706"/>
      <w:r>
        <w:rPr>
          <w:rFonts w:hint="eastAsia" w:ascii="黑体" w:hAnsi="黑体" w:eastAsia="黑体" w:cs="黑体"/>
          <w:b/>
          <w:bCs/>
          <w:color w:val="auto"/>
          <w:kern w:val="2"/>
          <w:sz w:val="32"/>
          <w:szCs w:val="32"/>
          <w:highlight w:val="none"/>
          <w:lang w:val="en-US" w:eastAsia="zh-CN"/>
        </w:rPr>
        <w:t>附录H</w:t>
      </w:r>
      <w:bookmarkEnd w:id="0"/>
    </w:p>
    <w:p w14:paraId="788F9E76">
      <w:pPr>
        <w:pageBreakBefore w:val="0"/>
        <w:widowControl w:val="0"/>
        <w:kinsoku/>
        <w:wordWrap/>
        <w:overflowPunct/>
        <w:topLinePunct w:val="0"/>
        <w:bidi w:val="0"/>
        <w:snapToGrid/>
        <w:spacing w:before="0" w:after="0" w:line="600" w:lineRule="exact"/>
        <w:jc w:val="center"/>
        <w:textAlignment w:val="auto"/>
        <w:outlineLvl w:val="9"/>
        <w:rPr>
          <w:rFonts w:hint="default" w:ascii="黑体" w:hAnsi="黑体" w:eastAsia="黑体" w:cs="黑体"/>
          <w:b w:val="0"/>
          <w:bCs w:val="0"/>
          <w:color w:val="auto"/>
          <w:kern w:val="2"/>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rPr>
        <w:t>零星采购项目要求模版</w:t>
      </w:r>
    </w:p>
    <w:tbl>
      <w:tblPr>
        <w:tblStyle w:val="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003"/>
        <w:gridCol w:w="441"/>
        <w:gridCol w:w="1545"/>
        <w:gridCol w:w="1674"/>
        <w:gridCol w:w="785"/>
        <w:gridCol w:w="555"/>
        <w:gridCol w:w="867"/>
        <w:gridCol w:w="984"/>
        <w:gridCol w:w="1434"/>
      </w:tblGrid>
      <w:tr w14:paraId="2B11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74" w:hRule="atLeast"/>
          <w:jc w:val="center"/>
        </w:trPr>
        <w:tc>
          <w:tcPr>
            <w:tcW w:w="1003" w:type="dxa"/>
            <w:tcBorders>
              <w:tl2br w:val="nil"/>
              <w:tr2bl w:val="nil"/>
            </w:tcBorders>
            <w:shd w:val="clear" w:color="auto" w:fill="FFFFFF" w:themeFill="background1"/>
            <w:vAlign w:val="center"/>
          </w:tcPr>
          <w:p w14:paraId="09041E4E">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3660" w:type="dxa"/>
            <w:gridSpan w:val="3"/>
            <w:tcBorders>
              <w:tl2br w:val="nil"/>
              <w:tr2bl w:val="nil"/>
            </w:tcBorders>
            <w:shd w:val="clear" w:color="auto" w:fill="FFFFFF" w:themeFill="background1"/>
            <w:vAlign w:val="center"/>
          </w:tcPr>
          <w:p w14:paraId="18BC3F74">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海南电网有限责任公司陵水供电局</w:t>
            </w:r>
          </w:p>
        </w:tc>
        <w:tc>
          <w:tcPr>
            <w:tcW w:w="1340" w:type="dxa"/>
            <w:gridSpan w:val="2"/>
            <w:tcBorders>
              <w:tl2br w:val="nil"/>
              <w:tr2bl w:val="nil"/>
            </w:tcBorders>
            <w:shd w:val="clear" w:color="auto" w:fill="FFFFFF" w:themeFill="background1"/>
            <w:vAlign w:val="center"/>
          </w:tcPr>
          <w:p w14:paraId="42FB18FF">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3285" w:type="dxa"/>
            <w:gridSpan w:val="3"/>
            <w:tcBorders>
              <w:tl2br w:val="nil"/>
              <w:tr2bl w:val="nil"/>
            </w:tcBorders>
            <w:shd w:val="clear" w:color="auto" w:fill="FFFFFF" w:themeFill="background1"/>
            <w:vAlign w:val="center"/>
          </w:tcPr>
          <w:p w14:paraId="4D766A54">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市场营销部</w:t>
            </w:r>
          </w:p>
        </w:tc>
      </w:tr>
      <w:tr w14:paraId="3B62F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003" w:type="dxa"/>
            <w:tcBorders>
              <w:tl2br w:val="nil"/>
              <w:tr2bl w:val="nil"/>
            </w:tcBorders>
            <w:shd w:val="clear" w:color="auto" w:fill="FFFFFF" w:themeFill="background1"/>
            <w:vAlign w:val="center"/>
          </w:tcPr>
          <w:p w14:paraId="1D1C0AF0">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3660" w:type="dxa"/>
            <w:gridSpan w:val="3"/>
            <w:tcBorders>
              <w:tl2br w:val="nil"/>
              <w:tr2bl w:val="nil"/>
            </w:tcBorders>
            <w:shd w:val="clear" w:color="auto" w:fill="FFFFFF" w:themeFill="background1"/>
            <w:vAlign w:val="center"/>
          </w:tcPr>
          <w:p w14:paraId="258D04F0">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海南电网有限责任公司陵水供电局2026年客户满意度综合能力提升培训班</w:t>
            </w:r>
          </w:p>
        </w:tc>
        <w:tc>
          <w:tcPr>
            <w:tcW w:w="1340" w:type="dxa"/>
            <w:gridSpan w:val="2"/>
            <w:tcBorders>
              <w:tl2br w:val="nil"/>
              <w:tr2bl w:val="nil"/>
            </w:tcBorders>
            <w:shd w:val="clear" w:color="auto" w:fill="FFFFFF" w:themeFill="background1"/>
            <w:vAlign w:val="center"/>
          </w:tcPr>
          <w:p w14:paraId="1C00AE96">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14:paraId="1497EC21">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3285" w:type="dxa"/>
            <w:gridSpan w:val="3"/>
            <w:tcBorders>
              <w:tl2br w:val="nil"/>
              <w:tr2bl w:val="nil"/>
            </w:tcBorders>
            <w:shd w:val="clear" w:color="auto" w:fill="FFFFFF" w:themeFill="background1"/>
            <w:vAlign w:val="center"/>
          </w:tcPr>
          <w:p w14:paraId="7C5346E1">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4.5</w:t>
            </w:r>
          </w:p>
        </w:tc>
      </w:tr>
      <w:tr w14:paraId="30FE1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tcBorders>
              <w:tl2br w:val="nil"/>
              <w:tr2bl w:val="nil"/>
            </w:tcBorders>
            <w:shd w:val="clear" w:color="auto" w:fill="FFFFFF" w:themeFill="background1"/>
            <w:vAlign w:val="center"/>
          </w:tcPr>
          <w:p w14:paraId="264B9CDF">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3660" w:type="dxa"/>
            <w:gridSpan w:val="3"/>
            <w:tcBorders>
              <w:tl2br w:val="nil"/>
              <w:tr2bl w:val="nil"/>
            </w:tcBorders>
            <w:shd w:val="clear" w:color="auto" w:fill="FFFFFF" w:themeFill="background1"/>
            <w:vAlign w:val="center"/>
          </w:tcPr>
          <w:p w14:paraId="566F757E">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□工程  </w:t>
            </w:r>
            <w:r>
              <w:rPr>
                <w:rFonts w:hint="eastAsia" w:asciiTheme="minorEastAsia" w:hAnsiTheme="minorEastAsia" w:eastAsiaTheme="minorEastAsia" w:cstheme="minorEastAsia"/>
                <w:sz w:val="18"/>
                <w:szCs w:val="18"/>
              </w:rPr>
              <w:sym w:font="Wingdings 2" w:char="00A3"/>
            </w:r>
            <w:r>
              <w:rPr>
                <w:rFonts w:hint="eastAsia" w:asciiTheme="minorEastAsia" w:hAnsiTheme="minorEastAsia" w:eastAsiaTheme="minorEastAsia" w:cstheme="minorEastAsia"/>
                <w:sz w:val="18"/>
                <w:szCs w:val="18"/>
              </w:rPr>
              <w:t xml:space="preserve">货物  </w:t>
            </w:r>
            <w:r>
              <w:rPr>
                <w:rFonts w:hint="eastAsia" w:asciiTheme="minorEastAsia" w:hAnsiTheme="minorEastAsia" w:eastAsiaTheme="minorEastAsia" w:cstheme="minorEastAsia"/>
                <w:sz w:val="18"/>
                <w:szCs w:val="18"/>
                <w:lang w:eastAsia="zh-CN"/>
              </w:rPr>
              <w:sym w:font="Wingdings 2" w:char="0052"/>
            </w:r>
            <w:r>
              <w:rPr>
                <w:rFonts w:hint="eastAsia" w:asciiTheme="minorEastAsia" w:hAnsiTheme="minorEastAsia" w:eastAsiaTheme="minorEastAsia" w:cstheme="minorEastAsia"/>
                <w:sz w:val="18"/>
                <w:szCs w:val="18"/>
              </w:rPr>
              <w:t>服务</w:t>
            </w:r>
          </w:p>
        </w:tc>
        <w:tc>
          <w:tcPr>
            <w:tcW w:w="1340" w:type="dxa"/>
            <w:gridSpan w:val="2"/>
            <w:tcBorders>
              <w:tl2br w:val="nil"/>
              <w:tr2bl w:val="nil"/>
            </w:tcBorders>
            <w:shd w:val="clear" w:color="auto" w:fill="FFFFFF" w:themeFill="background1"/>
            <w:vAlign w:val="center"/>
          </w:tcPr>
          <w:p w14:paraId="283A73CB">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3285" w:type="dxa"/>
            <w:gridSpan w:val="3"/>
            <w:tcBorders>
              <w:tl2br w:val="nil"/>
              <w:tr2bl w:val="nil"/>
            </w:tcBorders>
            <w:shd w:val="clear" w:color="auto" w:fill="FFFFFF" w:themeFill="background1"/>
            <w:vAlign w:val="center"/>
          </w:tcPr>
          <w:p w14:paraId="3E386296">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成本费用</w:t>
            </w:r>
          </w:p>
        </w:tc>
      </w:tr>
      <w:tr w14:paraId="2212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vMerge w:val="restart"/>
            <w:tcBorders>
              <w:tl2br w:val="nil"/>
              <w:tr2bl w:val="nil"/>
            </w:tcBorders>
            <w:shd w:val="clear" w:color="auto" w:fill="FFFFFF" w:themeFill="background1"/>
            <w:vAlign w:val="center"/>
          </w:tcPr>
          <w:p w14:paraId="0D249403">
            <w:pPr>
              <w:snapToGrid w:val="0"/>
              <w:spacing w:line="200" w:lineRule="exact"/>
              <w:jc w:val="center"/>
              <w:rPr>
                <w:rFonts w:asciiTheme="minorEastAsia" w:hAnsiTheme="minorEastAsia" w:eastAsiaTheme="minorEastAsia" w:cstheme="minorEastAsia"/>
                <w:sz w:val="18"/>
                <w:szCs w:val="18"/>
              </w:rPr>
            </w:pPr>
            <w:bookmarkStart w:id="1" w:name="OLE_LINK1" w:colFirst="0" w:colLast="7"/>
            <w:r>
              <w:rPr>
                <w:rFonts w:hint="eastAsia" w:asciiTheme="minorEastAsia" w:hAnsiTheme="minorEastAsia" w:eastAsiaTheme="minorEastAsia" w:cstheme="minorEastAsia"/>
                <w:b/>
                <w:bCs/>
                <w:sz w:val="18"/>
                <w:szCs w:val="18"/>
              </w:rPr>
              <w:t>采购品类及数量</w:t>
            </w:r>
          </w:p>
        </w:tc>
        <w:tc>
          <w:tcPr>
            <w:tcW w:w="441" w:type="dxa"/>
            <w:tcBorders>
              <w:tl2br w:val="nil"/>
              <w:tr2bl w:val="nil"/>
            </w:tcBorders>
            <w:shd w:val="clear" w:color="auto" w:fill="FFFFFF" w:themeFill="background1"/>
            <w:vAlign w:val="center"/>
          </w:tcPr>
          <w:p w14:paraId="5EA1F826">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545" w:type="dxa"/>
            <w:tcBorders>
              <w:tl2br w:val="nil"/>
              <w:tr2bl w:val="nil"/>
            </w:tcBorders>
            <w:shd w:val="clear" w:color="auto" w:fill="FFFFFF" w:themeFill="background1"/>
            <w:vAlign w:val="center"/>
          </w:tcPr>
          <w:p w14:paraId="5C4B5CA6">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674" w:type="dxa"/>
            <w:tcBorders>
              <w:tl2br w:val="nil"/>
              <w:tr2bl w:val="nil"/>
            </w:tcBorders>
            <w:shd w:val="clear" w:color="auto" w:fill="FFFFFF" w:themeFill="background1"/>
            <w:vAlign w:val="center"/>
          </w:tcPr>
          <w:p w14:paraId="67664963">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785" w:type="dxa"/>
            <w:tcBorders>
              <w:tl2br w:val="nil"/>
              <w:tr2bl w:val="nil"/>
            </w:tcBorders>
            <w:shd w:val="clear" w:color="auto" w:fill="FFFFFF" w:themeFill="background1"/>
            <w:vAlign w:val="center"/>
          </w:tcPr>
          <w:p w14:paraId="0D8AE2DD">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55" w:type="dxa"/>
            <w:tcBorders>
              <w:tl2br w:val="nil"/>
              <w:tr2bl w:val="nil"/>
            </w:tcBorders>
            <w:shd w:val="clear" w:color="auto" w:fill="FFFFFF" w:themeFill="background1"/>
            <w:vAlign w:val="center"/>
          </w:tcPr>
          <w:p w14:paraId="33C1B6BE">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867" w:type="dxa"/>
            <w:tcBorders>
              <w:tl2br w:val="nil"/>
              <w:tr2bl w:val="nil"/>
            </w:tcBorders>
            <w:shd w:val="clear" w:color="auto" w:fill="FFFFFF" w:themeFill="background1"/>
            <w:vAlign w:val="center"/>
          </w:tcPr>
          <w:p w14:paraId="01642663">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984" w:type="dxa"/>
            <w:tcBorders>
              <w:tl2br w:val="nil"/>
              <w:tr2bl w:val="nil"/>
            </w:tcBorders>
            <w:shd w:val="clear" w:color="auto" w:fill="FFFFFF" w:themeFill="background1"/>
            <w:vAlign w:val="center"/>
          </w:tcPr>
          <w:p w14:paraId="1F5A7163">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1434" w:type="dxa"/>
            <w:tcBorders>
              <w:tl2br w:val="nil"/>
              <w:tr2bl w:val="nil"/>
            </w:tcBorders>
            <w:shd w:val="clear" w:color="auto" w:fill="FFFFFF" w:themeFill="background1"/>
            <w:vAlign w:val="center"/>
          </w:tcPr>
          <w:p w14:paraId="086F6130">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14:paraId="6AFF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14:paraId="17072C54">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14:paraId="3A205F4C">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lang w:val="en-US" w:eastAsia="zh-CN"/>
              </w:rPr>
            </w:pPr>
            <w:r>
              <w:rPr>
                <w:rFonts w:hint="eastAsia" w:ascii="仿宋" w:hAnsi="仿宋" w:eastAsia="仿宋" w:cs="仿宋"/>
                <w:b/>
                <w:bCs/>
                <w:color w:val="auto"/>
                <w:sz w:val="18"/>
                <w:szCs w:val="18"/>
                <w:highlight w:val="none"/>
                <w:lang w:val="en-US" w:eastAsia="zh-CN"/>
              </w:rPr>
              <w:t>1</w:t>
            </w:r>
          </w:p>
        </w:tc>
        <w:tc>
          <w:tcPr>
            <w:tcW w:w="1545" w:type="dxa"/>
            <w:tcBorders>
              <w:tl2br w:val="nil"/>
              <w:tr2bl w:val="nil"/>
            </w:tcBorders>
            <w:shd w:val="clear" w:color="auto" w:fill="FFFFFF" w:themeFill="background1"/>
            <w:vAlign w:val="center"/>
          </w:tcPr>
          <w:p w14:paraId="6CF7ACEA">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仿宋" w:hAnsi="仿宋" w:eastAsia="仿宋" w:cs="仿宋"/>
                <w:b w:val="0"/>
                <w:bCs w:val="0"/>
                <w:sz w:val="18"/>
                <w:szCs w:val="18"/>
                <w:highlight w:val="none"/>
              </w:rPr>
              <w:t>2026年客户满意度综合能力提升培训班</w:t>
            </w:r>
            <w:r>
              <w:rPr>
                <w:rFonts w:hint="eastAsia" w:ascii="仿宋" w:hAnsi="仿宋" w:eastAsia="仿宋" w:cs="仿宋"/>
                <w:b w:val="0"/>
                <w:bCs w:val="0"/>
                <w:sz w:val="18"/>
                <w:szCs w:val="18"/>
                <w:highlight w:val="none"/>
                <w:lang w:val="en-US" w:eastAsia="zh-CN"/>
              </w:rPr>
              <w:t>服务</w:t>
            </w:r>
          </w:p>
        </w:tc>
        <w:tc>
          <w:tcPr>
            <w:tcW w:w="1674" w:type="dxa"/>
            <w:tcBorders>
              <w:tl2br w:val="nil"/>
              <w:tr2bl w:val="nil"/>
            </w:tcBorders>
            <w:shd w:val="clear" w:color="auto" w:fill="FFFFFF" w:themeFill="background1"/>
            <w:vAlign w:val="center"/>
          </w:tcPr>
          <w:p w14:paraId="0F9F4A12">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仿宋" w:hAnsi="仿宋" w:eastAsia="仿宋" w:cs="仿宋"/>
                <w:color w:val="auto"/>
                <w:kern w:val="2"/>
                <w:sz w:val="18"/>
                <w:szCs w:val="18"/>
                <w:highlight w:val="none"/>
                <w:lang w:val="en-US" w:eastAsia="zh-CN" w:bidi="ar-SA"/>
              </w:rPr>
              <w:t>员工培训</w:t>
            </w:r>
          </w:p>
        </w:tc>
        <w:tc>
          <w:tcPr>
            <w:tcW w:w="785" w:type="dxa"/>
            <w:tcBorders>
              <w:tl2br w:val="nil"/>
              <w:tr2bl w:val="nil"/>
            </w:tcBorders>
            <w:shd w:val="clear" w:color="auto" w:fill="FFFFFF" w:themeFill="background1"/>
            <w:vAlign w:val="center"/>
          </w:tcPr>
          <w:p w14:paraId="79CC52EE">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default"/>
                <w:lang w:val="en-US" w:eastAsia="zh-CN"/>
              </w:rPr>
            </w:pPr>
            <w:r>
              <w:rPr>
                <w:rFonts w:hint="eastAsia" w:ascii="仿宋" w:hAnsi="仿宋" w:eastAsia="仿宋" w:cs="仿宋"/>
                <w:color w:val="auto"/>
                <w:kern w:val="2"/>
                <w:sz w:val="18"/>
                <w:szCs w:val="18"/>
                <w:highlight w:val="none"/>
                <w:lang w:val="en-US" w:eastAsia="zh-CN" w:bidi="ar-SA"/>
              </w:rPr>
              <w:t>1</w:t>
            </w:r>
          </w:p>
        </w:tc>
        <w:tc>
          <w:tcPr>
            <w:tcW w:w="555" w:type="dxa"/>
            <w:tcBorders>
              <w:tl2br w:val="nil"/>
              <w:tr2bl w:val="nil"/>
            </w:tcBorders>
            <w:shd w:val="clear" w:color="auto" w:fill="FFFFFF" w:themeFill="background1"/>
            <w:vAlign w:val="center"/>
          </w:tcPr>
          <w:p w14:paraId="7550E6C2">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仿宋" w:hAnsi="仿宋" w:eastAsia="仿宋" w:cs="仿宋"/>
                <w:color w:val="auto"/>
                <w:kern w:val="2"/>
                <w:sz w:val="18"/>
                <w:szCs w:val="18"/>
                <w:highlight w:val="none"/>
                <w:lang w:val="en-US" w:eastAsia="zh-CN" w:bidi="ar-SA"/>
              </w:rPr>
              <w:t>期</w:t>
            </w:r>
          </w:p>
        </w:tc>
        <w:tc>
          <w:tcPr>
            <w:tcW w:w="867" w:type="dxa"/>
            <w:tcBorders>
              <w:tl2br w:val="nil"/>
              <w:tr2bl w:val="nil"/>
            </w:tcBorders>
            <w:shd w:val="clear" w:color="auto" w:fill="FFFFFF" w:themeFill="background1"/>
            <w:vAlign w:val="center"/>
          </w:tcPr>
          <w:p w14:paraId="6F2017C1">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仿宋" w:hAnsi="仿宋" w:eastAsia="仿宋" w:cs="仿宋"/>
                <w:color w:val="auto"/>
                <w:kern w:val="2"/>
                <w:sz w:val="18"/>
                <w:szCs w:val="18"/>
                <w:highlight w:val="none"/>
                <w:lang w:val="en-US" w:eastAsia="zh-CN" w:bidi="ar-SA"/>
              </w:rPr>
              <w:t>45000</w:t>
            </w:r>
          </w:p>
        </w:tc>
        <w:tc>
          <w:tcPr>
            <w:tcW w:w="984" w:type="dxa"/>
            <w:tcBorders>
              <w:tl2br w:val="nil"/>
              <w:tr2bl w:val="nil"/>
            </w:tcBorders>
            <w:shd w:val="clear" w:color="auto" w:fill="FFFFFF" w:themeFill="background1"/>
            <w:vAlign w:val="center"/>
          </w:tcPr>
          <w:p w14:paraId="503FEFF3">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仿宋" w:hAnsi="仿宋" w:eastAsia="仿宋" w:cs="仿宋"/>
                <w:color w:val="auto"/>
                <w:sz w:val="18"/>
                <w:szCs w:val="18"/>
                <w:highlight w:val="none"/>
                <w:lang w:val="en-US" w:eastAsia="zh-CN"/>
              </w:rPr>
              <w:t>45000</w:t>
            </w:r>
          </w:p>
        </w:tc>
        <w:tc>
          <w:tcPr>
            <w:tcW w:w="1434" w:type="dxa"/>
            <w:tcBorders>
              <w:tl2br w:val="nil"/>
              <w:tr2bl w:val="nil"/>
            </w:tcBorders>
            <w:shd w:val="clear" w:color="auto" w:fill="FFFFFF" w:themeFill="background1"/>
            <w:vAlign w:val="center"/>
          </w:tcPr>
          <w:p w14:paraId="4FF89EA3">
            <w:pPr>
              <w:keepNext w:val="0"/>
              <w:keepLines w:val="0"/>
              <w:pageBreakBefore w:val="0"/>
              <w:widowControl w:val="0"/>
              <w:kinsoku/>
              <w:wordWrap/>
              <w:overflowPunct/>
              <w:topLinePunct w:val="0"/>
              <w:autoSpaceDE/>
              <w:autoSpaceDN/>
              <w:bidi w:val="0"/>
              <w:adjustRightInd/>
              <w:snapToGrid w:val="0"/>
              <w:spacing w:line="2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仿宋" w:hAnsi="仿宋" w:eastAsia="仿宋" w:cs="仿宋"/>
                <w:color w:val="auto"/>
                <w:sz w:val="18"/>
                <w:szCs w:val="18"/>
                <w:highlight w:val="none"/>
                <w:lang w:val="en-US" w:eastAsia="zh-CN"/>
              </w:rPr>
              <w:t>收到成交通知书30日内</w:t>
            </w:r>
          </w:p>
        </w:tc>
      </w:tr>
      <w:bookmarkEnd w:id="1"/>
    </w:tbl>
    <w:p w14:paraId="1CE3725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bookmarkStart w:id="2" w:name="OLE_LINK3"/>
      <w:r>
        <w:rPr>
          <w:rFonts w:hint="eastAsia" w:asciiTheme="minorEastAsia" w:hAnsiTheme="minorEastAsia" w:eastAsiaTheme="minorEastAsia" w:cstheme="minorEastAsia"/>
          <w:b/>
          <w:bCs/>
          <w:color w:val="auto"/>
          <w:sz w:val="21"/>
          <w:szCs w:val="21"/>
          <w:highlight w:val="none"/>
          <w:lang w:val="en-US" w:eastAsia="zh-CN"/>
        </w:rPr>
        <w:t>一、项目概况及采购内容：</w:t>
      </w:r>
    </w:p>
    <w:p w14:paraId="1897B0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bookmarkStart w:id="3" w:name="OLE_LINK13"/>
      <w:r>
        <w:rPr>
          <w:rFonts w:hint="eastAsia" w:asciiTheme="minorEastAsia" w:hAnsiTheme="minorEastAsia" w:eastAsiaTheme="minorEastAsia" w:cstheme="minorEastAsia"/>
          <w:b w:val="0"/>
          <w:bCs w:val="0"/>
          <w:i w:val="0"/>
          <w:iCs w:val="0"/>
          <w:color w:val="auto"/>
          <w:sz w:val="21"/>
          <w:szCs w:val="21"/>
          <w:highlight w:val="none"/>
          <w:lang w:val="en-US" w:eastAsia="zh-CN"/>
        </w:rPr>
        <w:t>为深入践行“人民电业为人民”的企业服务宗旨，持续优化电力营商环境，全面适配新时代供电服务高质量发展要求，切实解决日常客户服务、工单处置、客户沟通、舆情应对中存在的薄弱问题。</w:t>
      </w:r>
      <w:bookmarkEnd w:id="3"/>
      <w:r>
        <w:rPr>
          <w:rFonts w:hint="eastAsia" w:asciiTheme="minorEastAsia" w:hAnsiTheme="minorEastAsia" w:eastAsiaTheme="minorEastAsia" w:cstheme="minorEastAsia"/>
          <w:b w:val="0"/>
          <w:bCs w:val="0"/>
          <w:i w:val="0"/>
          <w:iCs w:val="0"/>
          <w:color w:val="auto"/>
          <w:sz w:val="21"/>
          <w:szCs w:val="21"/>
          <w:highlight w:val="none"/>
          <w:lang w:val="en-US" w:eastAsia="zh-CN"/>
        </w:rPr>
        <w:t>进一步夯实全员服务意识、规范服务言行标准、提</w:t>
      </w:r>
      <w:bookmarkStart w:id="4" w:name="OLE_LINK8"/>
      <w:r>
        <w:rPr>
          <w:rFonts w:hint="eastAsia" w:asciiTheme="minorEastAsia" w:hAnsiTheme="minorEastAsia" w:eastAsiaTheme="minorEastAsia" w:cstheme="minorEastAsia"/>
          <w:b w:val="0"/>
          <w:bCs w:val="0"/>
          <w:i w:val="0"/>
          <w:iCs w:val="0"/>
          <w:color w:val="auto"/>
          <w:sz w:val="21"/>
          <w:szCs w:val="21"/>
          <w:highlight w:val="none"/>
          <w:lang w:val="en-US" w:eastAsia="zh-CN"/>
        </w:rPr>
        <w:t>升一线人员客户沟通技巧、投诉风险预判化解能力及应急处置水平，全方位补齐服务短板、压降客户投诉工单、稳步提升客户满意度与服务美</w:t>
      </w:r>
      <w:bookmarkEnd w:id="4"/>
      <w:r>
        <w:rPr>
          <w:rFonts w:hint="eastAsia" w:asciiTheme="minorEastAsia" w:hAnsiTheme="minorEastAsia" w:eastAsiaTheme="minorEastAsia" w:cstheme="minorEastAsia"/>
          <w:b w:val="0"/>
          <w:bCs w:val="0"/>
          <w:i w:val="0"/>
          <w:iCs w:val="0"/>
          <w:color w:val="auto"/>
          <w:sz w:val="21"/>
          <w:szCs w:val="21"/>
          <w:highlight w:val="none"/>
          <w:lang w:val="en-US" w:eastAsia="zh-CN"/>
        </w:rPr>
        <w:t>誉度。</w:t>
      </w:r>
      <w:bookmarkStart w:id="5" w:name="OLE_LINK14"/>
      <w:r>
        <w:rPr>
          <w:rFonts w:hint="eastAsia" w:asciiTheme="minorEastAsia" w:hAnsiTheme="minorEastAsia" w:eastAsiaTheme="minorEastAsia" w:cstheme="minorEastAsia"/>
          <w:b w:val="0"/>
          <w:bCs w:val="0"/>
          <w:i w:val="0"/>
          <w:iCs w:val="0"/>
          <w:color w:val="auto"/>
          <w:sz w:val="21"/>
          <w:szCs w:val="21"/>
          <w:highlight w:val="none"/>
          <w:lang w:val="en-US" w:eastAsia="zh-CN"/>
        </w:rPr>
        <w:t>现拟组织开展“2026年客户满意度综合能力提升培训班”。</w:t>
      </w:r>
      <w:bookmarkEnd w:id="5"/>
      <w:r>
        <w:rPr>
          <w:rFonts w:hint="eastAsia" w:asciiTheme="minorEastAsia" w:hAnsiTheme="minorEastAsia" w:eastAsiaTheme="minorEastAsia" w:cstheme="minorEastAsia"/>
          <w:b w:val="0"/>
          <w:bCs w:val="0"/>
          <w:i w:val="0"/>
          <w:iCs w:val="0"/>
          <w:color w:val="auto"/>
          <w:sz w:val="21"/>
          <w:szCs w:val="21"/>
          <w:highlight w:val="none"/>
          <w:lang w:val="en-US" w:eastAsia="zh-CN"/>
        </w:rPr>
        <w:t>根据《海南电网有限责任公司零星采购业务指导书》（2026年版），该项目单项合同估算价在5万元（不含）以下，</w:t>
      </w:r>
      <w:bookmarkStart w:id="6" w:name="OLE_LINK15"/>
      <w:r>
        <w:rPr>
          <w:rFonts w:hint="eastAsia" w:asciiTheme="minorEastAsia" w:hAnsiTheme="minorEastAsia" w:eastAsiaTheme="minorEastAsia" w:cstheme="minorEastAsia"/>
          <w:b w:val="0"/>
          <w:bCs w:val="0"/>
          <w:i w:val="0"/>
          <w:iCs w:val="0"/>
          <w:color w:val="auto"/>
          <w:sz w:val="21"/>
          <w:szCs w:val="21"/>
          <w:highlight w:val="none"/>
          <w:lang w:val="en-US" w:eastAsia="zh-CN"/>
        </w:rPr>
        <w:t>且属于难以在短期内形成规模的专项培训服务</w:t>
      </w:r>
      <w:bookmarkEnd w:id="6"/>
      <w:r>
        <w:rPr>
          <w:rFonts w:hint="eastAsia" w:asciiTheme="minorEastAsia" w:hAnsiTheme="minorEastAsia" w:eastAsiaTheme="minorEastAsia" w:cstheme="minorEastAsia"/>
          <w:b w:val="0"/>
          <w:bCs w:val="0"/>
          <w:i w:val="0"/>
          <w:iCs w:val="0"/>
          <w:color w:val="auto"/>
          <w:sz w:val="21"/>
          <w:szCs w:val="21"/>
          <w:highlight w:val="none"/>
          <w:lang w:val="en-US" w:eastAsia="zh-CN"/>
        </w:rPr>
        <w:t>，符合零星采购条件。</w:t>
      </w:r>
    </w:p>
    <w:bookmarkEnd w:id="2"/>
    <w:p w14:paraId="34E753C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二、其他要求：</w:t>
      </w:r>
    </w:p>
    <w:p w14:paraId="50E40B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1.本次培训项目采购总额（含税费）不超过4.5万元，培训费用包含乙方授课老师课酬、住宿费、伙食费、交通费、教材资料费、技术答疑咨询费等。若供应商报价超过本次采购总费用，则报价无效。</w:t>
      </w:r>
    </w:p>
    <w:p w14:paraId="558B06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2.培训期间，授课老师必须通过线下方式进行授课，线下课程实施天数3天。</w:t>
      </w:r>
    </w:p>
    <w:p w14:paraId="03210C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3.供应商必须提供增值税专用发票，税率为6%。</w:t>
      </w:r>
    </w:p>
    <w:p w14:paraId="157D08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4.中标单位在开班前线下协助开展1-2次培训需求调研，再进行针对性修改的课程。</w:t>
      </w:r>
    </w:p>
    <w:p w14:paraId="6E7505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5.培训老师人员数量不少于3人，其中至少包含1名辅导经验丰富的现场助教，培训老师资质</w:t>
      </w:r>
      <w:bookmarkStart w:id="9" w:name="_GoBack"/>
      <w:bookmarkEnd w:id="9"/>
      <w:r>
        <w:rPr>
          <w:rFonts w:hint="eastAsia" w:asciiTheme="minorEastAsia" w:hAnsiTheme="minorEastAsia" w:eastAsiaTheme="minorEastAsia" w:cstheme="minorEastAsia"/>
          <w:b w:val="0"/>
          <w:bCs w:val="0"/>
          <w:i w:val="0"/>
          <w:iCs w:val="0"/>
          <w:color w:val="auto"/>
          <w:sz w:val="21"/>
          <w:szCs w:val="21"/>
          <w:highlight w:val="none"/>
          <w:lang w:val="en-US" w:eastAsia="zh-CN"/>
        </w:rPr>
        <w:t>需具备一级技师或高级电力工程师及以上等职称证明。明确人员分工，并且需要助教现场带班证明资料。</w:t>
      </w:r>
    </w:p>
    <w:p w14:paraId="2DCC4B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6.提供近三年相关培训类（满意度、营商环境调查）项目业绩证明。</w:t>
      </w:r>
    </w:p>
    <w:p w14:paraId="70B309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7.</w:t>
      </w:r>
      <w:bookmarkStart w:id="7" w:name="OLE_LINK2"/>
      <w:bookmarkStart w:id="8" w:name="OLE_LINK4"/>
      <w:r>
        <w:rPr>
          <w:rFonts w:hint="eastAsia" w:asciiTheme="minorEastAsia" w:hAnsiTheme="minorEastAsia" w:eastAsiaTheme="minorEastAsia" w:cstheme="minorEastAsia"/>
          <w:b w:val="0"/>
          <w:bCs w:val="0"/>
          <w:i w:val="0"/>
          <w:iCs w:val="0"/>
          <w:color w:val="auto"/>
          <w:sz w:val="21"/>
          <w:szCs w:val="21"/>
          <w:highlight w:val="none"/>
          <w:lang w:val="en-US" w:eastAsia="zh-CN"/>
        </w:rPr>
        <w:t>报价低于最高限价90%的，投标人须提供成本分析报告材料，未提供书面说明或书面说明不合理的，视为无效报价。开标后采购人发现投标人的报价明显低于其他投标报价或低于成本价的，可要求投标人提供成本分析报告需充分说明单价和费用的组成、降低成本的合理措施及在其他同类项目中应用过的经验，投标人不能提供或提供的材料不能合理说明报价的，视为无效报价。</w:t>
      </w:r>
      <w:bookmarkEnd w:id="7"/>
    </w:p>
    <w:bookmarkEnd w:id="8"/>
    <w:p w14:paraId="2A9720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37228B"/>
    <w:rsid w:val="09A233BC"/>
    <w:rsid w:val="0AA40DBF"/>
    <w:rsid w:val="0FC219B8"/>
    <w:rsid w:val="11CF63AF"/>
    <w:rsid w:val="171234DD"/>
    <w:rsid w:val="21630E9E"/>
    <w:rsid w:val="328C7CBA"/>
    <w:rsid w:val="3BCB465F"/>
    <w:rsid w:val="4FEF45E3"/>
    <w:rsid w:val="56B70A3E"/>
    <w:rsid w:val="5A02055F"/>
    <w:rsid w:val="5C075F07"/>
    <w:rsid w:val="5E130566"/>
    <w:rsid w:val="687673FC"/>
    <w:rsid w:val="699134A2"/>
    <w:rsid w:val="72AB1B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rPr>
      <w:rFonts w:eastAsia="仿宋_GB2312"/>
      <w:sz w:val="32"/>
    </w:rPr>
  </w:style>
  <w:style w:type="paragraph" w:styleId="3">
    <w:name w:val="Title"/>
    <w:basedOn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924</Words>
  <Characters>961</Characters>
  <Lines>0</Lines>
  <Paragraphs>0</Paragraphs>
  <TotalTime>3</TotalTime>
  <ScaleCrop>false</ScaleCrop>
  <LinksUpToDate>false</LinksUpToDate>
  <CharactersWithSpaces>965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2026-07-21T03:12:00Z</dcterms:created>
  <dc:creator>CSG</dc:creator>
  <cp:lastModifiedBy>吴振兴</cp:lastModifiedBy>
  <dcterms:modified xsi:type="dcterms:W3CDTF">2026-08-24T00:26:49Z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48457F0C2BF94D4EB04BD7EBFE9ACC4E</vt:lpwstr>
  </property>
  <property fmtid="{D5CDD505-2E9C-101B-9397-08002B2CF9AE}" pid="4" name="KSOTemplateDocerSaveRecord">
    <vt:lpwstr>eyJoZGlkIjoiZjVjYTg2ZmMwZjY3N2I2NzEzYjBjMmNmM2ExOWNhNjEiLCJ1c2VySWQiOiIzMzE3OTgzODYifQ==</vt:lpwstr>
  </property>
</Properties>
</file>