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240" w:lineRule="auto"/>
        <w:ind w:firstLine="240"/>
        <w:outlineLvl w:val="9"/>
        <w:rPr>
          <w:rFonts w:hint="eastAsia" w:ascii="宋体" w:hAnsi="宋体" w:cs="宋体"/>
          <w:b w:val="0"/>
          <w:bCs w:val="0"/>
          <w:color w:val="auto"/>
          <w:sz w:val="32"/>
          <w:szCs w:val="32"/>
          <w:highlight w:val="none"/>
          <w:lang w:val="en-US" w:eastAsia="zh-CN"/>
        </w:rPr>
      </w:pPr>
      <w:bookmarkStart w:id="0" w:name="_GoBack"/>
      <w:r>
        <w:rPr>
          <w:rFonts w:hint="eastAsia"/>
          <w:sz w:val="32"/>
          <w:szCs w:val="32"/>
          <w:lang w:val="en-US" w:eastAsia="zh-CN"/>
        </w:rPr>
        <w:t>标包1</w:t>
      </w:r>
      <w:r>
        <w:rPr>
          <w:sz w:val="32"/>
          <w:szCs w:val="32"/>
        </w:rPr>
        <w:t>天厂#2机组励磁系统改造设备采购</w:t>
      </w:r>
      <w:r>
        <w:rPr>
          <w:rFonts w:hint="eastAsia" w:ascii="宋体" w:hAnsi="宋体" w:eastAsia="宋体" w:cs="宋体"/>
          <w:b w:val="0"/>
          <w:bCs w:val="0"/>
          <w:color w:val="auto"/>
          <w:sz w:val="32"/>
          <w:szCs w:val="32"/>
          <w:highlight w:val="none"/>
          <w:lang w:val="en-US" w:eastAsia="zh-CN"/>
        </w:rPr>
        <w:t>详细评审标准</w:t>
      </w:r>
      <w:r>
        <w:rPr>
          <w:rFonts w:hint="eastAsia" w:ascii="宋体" w:hAnsi="宋体" w:cs="宋体"/>
          <w:b w:val="0"/>
          <w:bCs w:val="0"/>
          <w:color w:val="auto"/>
          <w:sz w:val="32"/>
          <w:szCs w:val="32"/>
          <w:highlight w:val="none"/>
          <w:lang w:val="en-US" w:eastAsia="zh-CN"/>
        </w:rPr>
        <w:t xml:space="preserve"> </w:t>
      </w:r>
    </w:p>
    <w:bookmarkEnd w:id="0"/>
    <w:p>
      <w:pPr>
        <w:pStyle w:val="3"/>
        <w:spacing w:line="240" w:lineRule="auto"/>
        <w:ind w:firstLine="240"/>
        <w:outlineLvl w:val="9"/>
        <w:rPr>
          <w:rFonts w:hint="default" w:ascii="宋体" w:hAnsi="宋体" w:eastAsia="宋体" w:cs="宋体"/>
          <w:b w:val="0"/>
          <w:bCs w:val="0"/>
          <w:color w:val="auto"/>
          <w:sz w:val="21"/>
          <w:szCs w:val="21"/>
          <w:highlight w:val="none"/>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588"/>
        <w:gridCol w:w="680"/>
        <w:gridCol w:w="1134"/>
        <w:gridCol w:w="1701"/>
        <w:gridCol w:w="2268"/>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5" w:type="dxa"/>
            <w:gridSpan w:val="7"/>
            <w:vAlign w:val="center"/>
          </w:tcPr>
          <w:p>
            <w:pPr>
              <w:spacing w:line="400" w:lineRule="exact"/>
            </w:pPr>
            <w:r>
              <w:t>下列评审标准适用的标包：天厂#2机组励磁系统改造设备采购[天厂#2机组励磁系统改造设备采购]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spacing w:line="400" w:lineRule="exact"/>
              <w:jc w:val="center"/>
            </w:pPr>
            <w:r>
              <w:rPr>
                <w:b/>
              </w:rPr>
              <w:t>条款号</w:t>
            </w:r>
          </w:p>
        </w:tc>
        <w:tc>
          <w:tcPr>
            <w:tcW w:w="680" w:type="dxa"/>
            <w:vAlign w:val="center"/>
          </w:tcPr>
          <w:p>
            <w:pPr>
              <w:spacing w:line="400" w:lineRule="exact"/>
              <w:jc w:val="center"/>
            </w:pPr>
            <w:r>
              <w:rPr>
                <w:b/>
              </w:rPr>
              <w:t>序号</w:t>
            </w:r>
          </w:p>
        </w:tc>
        <w:tc>
          <w:tcPr>
            <w:tcW w:w="1134" w:type="dxa"/>
            <w:vAlign w:val="center"/>
          </w:tcPr>
          <w:p>
            <w:pPr>
              <w:spacing w:line="400" w:lineRule="exact"/>
              <w:jc w:val="center"/>
            </w:pPr>
            <w:r>
              <w:rPr>
                <w:b/>
              </w:rPr>
              <w:t>评分因素</w:t>
            </w:r>
          </w:p>
        </w:tc>
        <w:tc>
          <w:tcPr>
            <w:tcW w:w="1701" w:type="dxa"/>
            <w:vAlign w:val="center"/>
          </w:tcPr>
          <w:p>
            <w:pPr>
              <w:spacing w:line="400" w:lineRule="exact"/>
              <w:jc w:val="center"/>
            </w:pPr>
            <w:r>
              <w:rPr>
                <w:b/>
              </w:rPr>
              <w:t>详细评审项</w:t>
            </w:r>
          </w:p>
        </w:tc>
        <w:tc>
          <w:tcPr>
            <w:tcW w:w="2268"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1（1）</w:t>
            </w:r>
          </w:p>
        </w:tc>
        <w:tc>
          <w:tcPr>
            <w:tcW w:w="1588" w:type="dxa"/>
            <w:vMerge w:val="restart"/>
            <w:vAlign w:val="center"/>
          </w:tcPr>
          <w:p>
            <w:pPr>
              <w:spacing w:line="400" w:lineRule="exact"/>
              <w:jc w:val="center"/>
            </w:pPr>
            <w:r>
              <w:t>商务评分 标准</w:t>
            </w:r>
          </w:p>
        </w:tc>
        <w:tc>
          <w:tcPr>
            <w:tcW w:w="680" w:type="dxa"/>
            <w:vAlign w:val="center"/>
          </w:tcPr>
          <w:p>
            <w:pPr>
              <w:spacing w:line="400" w:lineRule="exact"/>
              <w:jc w:val="center"/>
            </w:pPr>
            <w:r>
              <w:t>1</w:t>
            </w:r>
          </w:p>
        </w:tc>
        <w:tc>
          <w:tcPr>
            <w:tcW w:w="1134" w:type="dxa"/>
            <w:vAlign w:val="center"/>
          </w:tcPr>
          <w:p>
            <w:pPr>
              <w:spacing w:line="400" w:lineRule="exact"/>
              <w:jc w:val="center"/>
            </w:pPr>
            <w:r>
              <w:t>项目业绩</w:t>
            </w:r>
          </w:p>
        </w:tc>
        <w:tc>
          <w:tcPr>
            <w:tcW w:w="1701" w:type="dxa"/>
            <w:vAlign w:val="center"/>
          </w:tcPr>
          <w:p>
            <w:pPr>
              <w:spacing w:line="400" w:lineRule="exact"/>
              <w:jc w:val="center"/>
            </w:pPr>
            <w:r>
              <w:t>投标人项目业绩</w:t>
            </w:r>
          </w:p>
        </w:tc>
        <w:tc>
          <w:tcPr>
            <w:tcW w:w="2268" w:type="dxa"/>
            <w:vAlign w:val="center"/>
          </w:tcPr>
          <w:p>
            <w:pPr>
              <w:spacing w:line="400" w:lineRule="exact"/>
              <w:jc w:val="left"/>
            </w:pPr>
            <w:r>
              <w:t>提供自2023年以来签订的，单机容量150MW及以上的励磁系统成套设备销售业绩，每项业绩得10分，最高得50分。须提供合同证明材料（合同应含首页、签字盖章页、工作内容范围页、机组容量页等关键页面）。（如为联合体，本项仅对励磁系统设备供货方进行评审）</w:t>
            </w:r>
          </w:p>
        </w:tc>
        <w:tc>
          <w:tcPr>
            <w:tcW w:w="1134" w:type="dxa"/>
            <w:vAlign w:val="center"/>
          </w:tcPr>
          <w:p>
            <w:pPr>
              <w:spacing w:line="400" w:lineRule="exact"/>
              <w:jc w:val="center"/>
            </w:pPr>
            <w: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2</w:t>
            </w:r>
          </w:p>
        </w:tc>
        <w:tc>
          <w:tcPr>
            <w:tcW w:w="1134" w:type="dxa"/>
            <w:vAlign w:val="center"/>
          </w:tcPr>
          <w:p>
            <w:pPr>
              <w:spacing w:line="400" w:lineRule="exact"/>
              <w:jc w:val="center"/>
            </w:pPr>
            <w:r>
              <w:t>管理体系认证</w:t>
            </w:r>
          </w:p>
        </w:tc>
        <w:tc>
          <w:tcPr>
            <w:tcW w:w="1701" w:type="dxa"/>
            <w:vAlign w:val="center"/>
          </w:tcPr>
          <w:p>
            <w:pPr>
              <w:spacing w:line="400" w:lineRule="exact"/>
              <w:jc w:val="center"/>
            </w:pPr>
            <w:r>
              <w:t>管理体系认证</w:t>
            </w:r>
          </w:p>
        </w:tc>
        <w:tc>
          <w:tcPr>
            <w:tcW w:w="2268" w:type="dxa"/>
            <w:vAlign w:val="center"/>
          </w:tcPr>
          <w:p>
            <w:pPr>
              <w:spacing w:line="400" w:lineRule="exact"/>
              <w:jc w:val="left"/>
            </w:pPr>
            <w:r>
              <w:t>提供有效的（ISO或GB/T），质量管理体系认证证书得10分，职业健康安全管理体系认证证书得5分，环境管理体系认证证书得5分。未提供质量管理体系认证证书的本项不得分，本项满分20分。（如为联合体，本项仅对牵头方进行评审）</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3</w:t>
            </w:r>
          </w:p>
        </w:tc>
        <w:tc>
          <w:tcPr>
            <w:tcW w:w="1134" w:type="dxa"/>
            <w:vAlign w:val="center"/>
          </w:tcPr>
          <w:p>
            <w:pPr>
              <w:spacing w:line="400" w:lineRule="exact"/>
              <w:jc w:val="center"/>
            </w:pPr>
            <w:r>
              <w:t>财务状况</w:t>
            </w:r>
          </w:p>
        </w:tc>
        <w:tc>
          <w:tcPr>
            <w:tcW w:w="1701" w:type="dxa"/>
            <w:vAlign w:val="center"/>
          </w:tcPr>
          <w:p>
            <w:pPr>
              <w:spacing w:line="400" w:lineRule="exact"/>
              <w:jc w:val="center"/>
            </w:pPr>
            <w:r>
              <w:t>连续三年的财务状况</w:t>
            </w:r>
          </w:p>
        </w:tc>
        <w:tc>
          <w:tcPr>
            <w:tcW w:w="2268" w:type="dxa"/>
            <w:vAlign w:val="center"/>
          </w:tcPr>
          <w:p>
            <w:pPr>
              <w:spacing w:line="400" w:lineRule="exact"/>
              <w:jc w:val="left"/>
            </w:pPr>
            <w:r>
              <w:t>提供2023年以来的财务审计报告，每有一年盈利或有盈余得5分，本项满分15分。须提供审计报告的首页、正文及报表页，报表不清晰无法辨识不得分。（如为联合体，本项仅对牵头方进行评审）</w:t>
            </w:r>
          </w:p>
        </w:tc>
        <w:tc>
          <w:tcPr>
            <w:tcW w:w="1134" w:type="dxa"/>
            <w:vAlign w:val="center"/>
          </w:tcPr>
          <w:p>
            <w:pPr>
              <w:spacing w:line="400" w:lineRule="exact"/>
              <w:jc w:val="center"/>
            </w:pPr>
            <w: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4</w:t>
            </w:r>
          </w:p>
        </w:tc>
        <w:tc>
          <w:tcPr>
            <w:tcW w:w="1134" w:type="dxa"/>
            <w:vAlign w:val="center"/>
          </w:tcPr>
          <w:p>
            <w:pPr>
              <w:spacing w:line="400" w:lineRule="exact"/>
              <w:jc w:val="center"/>
            </w:pPr>
            <w:r>
              <w:t>纳税信用等级</w:t>
            </w:r>
          </w:p>
        </w:tc>
        <w:tc>
          <w:tcPr>
            <w:tcW w:w="1701" w:type="dxa"/>
            <w:vAlign w:val="center"/>
          </w:tcPr>
          <w:p>
            <w:pPr>
              <w:spacing w:line="400" w:lineRule="exact"/>
              <w:jc w:val="center"/>
            </w:pPr>
            <w:r>
              <w:t>近三年纳税信用等级</w:t>
            </w:r>
          </w:p>
        </w:tc>
        <w:tc>
          <w:tcPr>
            <w:tcW w:w="2268" w:type="dxa"/>
            <w:vAlign w:val="center"/>
          </w:tcPr>
          <w:p>
            <w:pPr>
              <w:spacing w:line="400" w:lineRule="exact"/>
              <w:jc w:val="left"/>
            </w:pPr>
            <w:r>
              <w:t>提供2023年以来的纳税信用等级，每有一年得A，得5分。提供税务网站查询结果或由税务局出具的年度纳税信用评价或涉税信息查询结果等任一证明文件即可。（如为联合体，本项仅对牵头方进行评审）</w:t>
            </w:r>
          </w:p>
        </w:tc>
        <w:tc>
          <w:tcPr>
            <w:tcW w:w="1134" w:type="dxa"/>
            <w:vAlign w:val="center"/>
          </w:tcPr>
          <w:p>
            <w:pPr>
              <w:spacing w:line="400" w:lineRule="exact"/>
              <w:jc w:val="center"/>
            </w:pPr>
            <w: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1（2）</w:t>
            </w:r>
          </w:p>
        </w:tc>
        <w:tc>
          <w:tcPr>
            <w:tcW w:w="1588" w:type="dxa"/>
            <w:vMerge w:val="restart"/>
            <w:vAlign w:val="center"/>
          </w:tcPr>
          <w:p>
            <w:pPr>
              <w:spacing w:line="400" w:lineRule="exact"/>
              <w:jc w:val="center"/>
            </w:pPr>
            <w:r>
              <w:t>技术评分 标准</w:t>
            </w:r>
          </w:p>
        </w:tc>
        <w:tc>
          <w:tcPr>
            <w:tcW w:w="680" w:type="dxa"/>
            <w:vAlign w:val="center"/>
          </w:tcPr>
          <w:p>
            <w:pPr>
              <w:spacing w:line="400" w:lineRule="exact"/>
              <w:jc w:val="center"/>
            </w:pPr>
            <w:r>
              <w:t>1</w:t>
            </w:r>
          </w:p>
        </w:tc>
        <w:tc>
          <w:tcPr>
            <w:tcW w:w="1134" w:type="dxa"/>
            <w:vAlign w:val="center"/>
          </w:tcPr>
          <w:p>
            <w:pPr>
              <w:spacing w:line="400" w:lineRule="exact"/>
              <w:jc w:val="center"/>
            </w:pPr>
            <w:r>
              <w:t>主要技术参数</w:t>
            </w:r>
          </w:p>
        </w:tc>
        <w:tc>
          <w:tcPr>
            <w:tcW w:w="1701" w:type="dxa"/>
            <w:vAlign w:val="center"/>
          </w:tcPr>
          <w:p>
            <w:pPr>
              <w:spacing w:line="400" w:lineRule="exact"/>
              <w:jc w:val="center"/>
            </w:pPr>
            <w:r>
              <w:t>技术参数正偏差</w:t>
            </w:r>
          </w:p>
        </w:tc>
        <w:tc>
          <w:tcPr>
            <w:tcW w:w="2268" w:type="dxa"/>
            <w:vAlign w:val="center"/>
          </w:tcPr>
          <w:p>
            <w:pPr>
              <w:spacing w:line="400" w:lineRule="exact"/>
              <w:jc w:val="left"/>
            </w:pPr>
            <w:r>
              <w:t>对技术参数正偏差的数量、重要性、辐度等维度进行综合评审。按照优良中差四个等级评审，四个等级的得分区间为：优：[10-9]分；良：(9-7]分；中：(7-5]分；差：(5-0]分。注：投标人对技术参数如有正偏差的，须在技术偏差表中列出，否则不列入评审。</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2</w:t>
            </w:r>
          </w:p>
        </w:tc>
        <w:tc>
          <w:tcPr>
            <w:tcW w:w="1134" w:type="dxa"/>
            <w:vAlign w:val="center"/>
          </w:tcPr>
          <w:p>
            <w:pPr>
              <w:spacing w:line="400" w:lineRule="exact"/>
              <w:jc w:val="center"/>
            </w:pPr>
            <w:r>
              <w:t>主要技术参数</w:t>
            </w:r>
          </w:p>
        </w:tc>
        <w:tc>
          <w:tcPr>
            <w:tcW w:w="1701" w:type="dxa"/>
            <w:vAlign w:val="center"/>
          </w:tcPr>
          <w:p>
            <w:pPr>
              <w:spacing w:line="400" w:lineRule="exact"/>
              <w:jc w:val="center"/>
            </w:pPr>
            <w:r>
              <w:t>技术参数负偏差</w:t>
            </w:r>
          </w:p>
        </w:tc>
        <w:tc>
          <w:tcPr>
            <w:tcW w:w="2268" w:type="dxa"/>
            <w:vAlign w:val="center"/>
          </w:tcPr>
          <w:p>
            <w:pPr>
              <w:spacing w:line="400" w:lineRule="exact"/>
              <w:jc w:val="left"/>
            </w:pPr>
            <w:r>
              <w:t>技术参数全部满足要求的，得10分，技术参数出现负偏差的，每项扣5分，本项最低得0分。 注：投标人对技术参数如有负偏差或不能响应的，须在技术偏差表中列出，否则视为满足招标文件要求；如果投标人未提出偏差但评标委员会查实存在未响应或负偏差的，应进行双倍扣分。</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3</w:t>
            </w:r>
          </w:p>
        </w:tc>
        <w:tc>
          <w:tcPr>
            <w:tcW w:w="1134" w:type="dxa"/>
            <w:vAlign w:val="center"/>
          </w:tcPr>
          <w:p>
            <w:pPr>
              <w:spacing w:line="400" w:lineRule="exact"/>
              <w:jc w:val="center"/>
            </w:pPr>
            <w:r>
              <w:t>总体设计方案</w:t>
            </w:r>
          </w:p>
        </w:tc>
        <w:tc>
          <w:tcPr>
            <w:tcW w:w="1701" w:type="dxa"/>
            <w:vAlign w:val="center"/>
          </w:tcPr>
          <w:p>
            <w:pPr>
              <w:spacing w:line="400" w:lineRule="exact"/>
              <w:jc w:val="center"/>
            </w:pPr>
            <w:r>
              <w:t>项目总体设计方案</w:t>
            </w:r>
          </w:p>
        </w:tc>
        <w:tc>
          <w:tcPr>
            <w:tcW w:w="2268" w:type="dxa"/>
            <w:vAlign w:val="center"/>
          </w:tcPr>
          <w:p>
            <w:pPr>
              <w:spacing w:line="400" w:lineRule="exact"/>
              <w:jc w:val="left"/>
            </w:pPr>
            <w:r>
              <w:t>项目总体设计方案包括励磁系统的整体设计，改造具体技术方案，包括系统设计、保证系统安全稳定运行的主要技术措施、安装及调试方案等。对项目总体设计的理解程度，总体设计方案表述清晰完整性、严谨合理性、具体有效性等方面进行综合评审。按照优良中差四个等级评审，四个等级的得分区间为：优：[20-18]分；良：(18-14]分；中：(14-10]分；差：(10-0]分。</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4</w:t>
            </w:r>
          </w:p>
        </w:tc>
        <w:tc>
          <w:tcPr>
            <w:tcW w:w="1134" w:type="dxa"/>
            <w:vAlign w:val="center"/>
          </w:tcPr>
          <w:p>
            <w:pPr>
              <w:spacing w:line="400" w:lineRule="exact"/>
              <w:jc w:val="center"/>
            </w:pPr>
            <w:r>
              <w:t>技术方案</w:t>
            </w:r>
          </w:p>
        </w:tc>
        <w:tc>
          <w:tcPr>
            <w:tcW w:w="1701" w:type="dxa"/>
            <w:vAlign w:val="center"/>
          </w:tcPr>
          <w:p>
            <w:pPr>
              <w:spacing w:line="400" w:lineRule="exact"/>
              <w:jc w:val="center"/>
            </w:pPr>
            <w:r>
              <w:t>励磁智能状态监测系统的具体技术方案</w:t>
            </w:r>
          </w:p>
        </w:tc>
        <w:tc>
          <w:tcPr>
            <w:tcW w:w="2268" w:type="dxa"/>
            <w:vAlign w:val="center"/>
          </w:tcPr>
          <w:p>
            <w:pPr>
              <w:spacing w:line="400" w:lineRule="exact"/>
              <w:jc w:val="left"/>
            </w:pPr>
            <w:r>
              <w:t>励磁智能状态监测系统的具体技术方案包括监测量、实现方法、具备功能、状态监测系统整体设计、系统对用户开放程度等。对在线监测的技术方案合理性、功能完善性、状态监测用户程序开放程度等方面进行综合评审。按照优良中差四个等级评审，四个等级的得分区间为：优：[8-7.2]分；良：(7.2-5.6]分；中：(5.6-4]分；差：(4-0]分。</w:t>
            </w:r>
          </w:p>
        </w:tc>
        <w:tc>
          <w:tcPr>
            <w:tcW w:w="1134" w:type="dxa"/>
            <w:vAlign w:val="center"/>
          </w:tcPr>
          <w:p>
            <w:pPr>
              <w:spacing w:line="400" w:lineRule="exact"/>
              <w:jc w:val="center"/>
            </w:pPr>
            <w: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5</w:t>
            </w:r>
          </w:p>
        </w:tc>
        <w:tc>
          <w:tcPr>
            <w:tcW w:w="1134" w:type="dxa"/>
            <w:vAlign w:val="center"/>
          </w:tcPr>
          <w:p>
            <w:pPr>
              <w:spacing w:line="400" w:lineRule="exact"/>
              <w:jc w:val="center"/>
            </w:pPr>
            <w:r>
              <w:t>技术方案</w:t>
            </w:r>
          </w:p>
        </w:tc>
        <w:tc>
          <w:tcPr>
            <w:tcW w:w="1701" w:type="dxa"/>
            <w:vAlign w:val="center"/>
          </w:tcPr>
          <w:p>
            <w:pPr>
              <w:spacing w:line="400" w:lineRule="exact"/>
              <w:jc w:val="center"/>
            </w:pPr>
            <w:r>
              <w:t>励磁控制板卡软硬件自主可控程度及应用业绩</w:t>
            </w:r>
          </w:p>
        </w:tc>
        <w:tc>
          <w:tcPr>
            <w:tcW w:w="2268" w:type="dxa"/>
            <w:vAlign w:val="center"/>
          </w:tcPr>
          <w:p>
            <w:pPr>
              <w:spacing w:line="400" w:lineRule="exact"/>
              <w:jc w:val="left"/>
            </w:pPr>
            <w:r>
              <w:t>满足励磁控制板卡用软硬件均为自主可控产品且具有第三方自主可控比例检测报告（芯片种类比例需≥90%）的前提下（不满足前提条件本评审项得0分），每提供一台已投运的150MW及以上发电机组励磁控制板卡用软硬件应用的证明材料得2分，最高得8分。</w:t>
            </w:r>
          </w:p>
        </w:tc>
        <w:tc>
          <w:tcPr>
            <w:tcW w:w="1134" w:type="dxa"/>
            <w:vAlign w:val="center"/>
          </w:tcPr>
          <w:p>
            <w:pPr>
              <w:spacing w:line="400" w:lineRule="exact"/>
              <w:jc w:val="center"/>
            </w:pPr>
            <w: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6</w:t>
            </w:r>
          </w:p>
        </w:tc>
        <w:tc>
          <w:tcPr>
            <w:tcW w:w="1134" w:type="dxa"/>
            <w:vAlign w:val="center"/>
          </w:tcPr>
          <w:p>
            <w:pPr>
              <w:spacing w:line="400" w:lineRule="exact"/>
              <w:jc w:val="center"/>
            </w:pPr>
            <w:r>
              <w:t>组织机构及人员配备</w:t>
            </w:r>
          </w:p>
        </w:tc>
        <w:tc>
          <w:tcPr>
            <w:tcW w:w="1701" w:type="dxa"/>
            <w:vAlign w:val="center"/>
          </w:tcPr>
          <w:p>
            <w:pPr>
              <w:spacing w:line="400" w:lineRule="exact"/>
              <w:jc w:val="center"/>
            </w:pPr>
            <w:r>
              <w:t>组织机构设置、人员配备数量和持证情况</w:t>
            </w:r>
          </w:p>
        </w:tc>
        <w:tc>
          <w:tcPr>
            <w:tcW w:w="2268" w:type="dxa"/>
            <w:vAlign w:val="center"/>
          </w:tcPr>
          <w:p>
            <w:pPr>
              <w:spacing w:line="400" w:lineRule="exact"/>
              <w:jc w:val="left"/>
            </w:pPr>
            <w:r>
              <w:t>对项目组织机构设置的合理性、项目管理人员及技术人员配备数量和持证情况满足工程需要及合理程度进行综合评审。按照优良中差四个等级评审，四个等级的得分区间为：优：[6-5.4]分；良：(5.4-4.2]分；中：(4.2-3]分；差：(3-0]分。</w:t>
            </w:r>
          </w:p>
        </w:tc>
        <w:tc>
          <w:tcPr>
            <w:tcW w:w="1134" w:type="dxa"/>
            <w:vAlign w:val="center"/>
          </w:tcPr>
          <w:p>
            <w:pPr>
              <w:spacing w:line="400" w:lineRule="exact"/>
              <w:jc w:val="center"/>
            </w:pPr>
            <w: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7</w:t>
            </w:r>
          </w:p>
        </w:tc>
        <w:tc>
          <w:tcPr>
            <w:tcW w:w="1134" w:type="dxa"/>
            <w:vAlign w:val="center"/>
          </w:tcPr>
          <w:p>
            <w:pPr>
              <w:spacing w:line="400" w:lineRule="exact"/>
              <w:jc w:val="center"/>
            </w:pPr>
            <w:r>
              <w:t>组织机构及人员配备</w:t>
            </w:r>
          </w:p>
        </w:tc>
        <w:tc>
          <w:tcPr>
            <w:tcW w:w="1701" w:type="dxa"/>
            <w:vAlign w:val="center"/>
          </w:tcPr>
          <w:p>
            <w:pPr>
              <w:spacing w:line="400" w:lineRule="exact"/>
              <w:jc w:val="center"/>
            </w:pPr>
            <w:r>
              <w:t>技术负责人业绩</w:t>
            </w:r>
          </w:p>
        </w:tc>
        <w:tc>
          <w:tcPr>
            <w:tcW w:w="2268" w:type="dxa"/>
            <w:vAlign w:val="center"/>
          </w:tcPr>
          <w:p>
            <w:pPr>
              <w:spacing w:line="400" w:lineRule="exact"/>
              <w:jc w:val="left"/>
            </w:pPr>
            <w:r>
              <w:t>拟投入项目的技术负责人具有励磁系统成套设备销售项目技术负责人业绩，须提供合同证明材料（合同应含首页、签字盖章页、工作内容范围页、技术负责人页等关键页面）以及投标截止日前半年内任意2个月的社保证明，否则不得分。每项业绩得2.5分，最高得5分。</w:t>
            </w:r>
          </w:p>
        </w:tc>
        <w:tc>
          <w:tcPr>
            <w:tcW w:w="1134" w:type="dxa"/>
            <w:vAlign w:val="center"/>
          </w:tcPr>
          <w:p>
            <w:pPr>
              <w:spacing w:line="400" w:lineRule="exact"/>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8</w:t>
            </w:r>
          </w:p>
        </w:tc>
        <w:tc>
          <w:tcPr>
            <w:tcW w:w="1134" w:type="dxa"/>
            <w:vAlign w:val="center"/>
          </w:tcPr>
          <w:p>
            <w:pPr>
              <w:spacing w:line="400" w:lineRule="exact"/>
              <w:jc w:val="center"/>
            </w:pPr>
            <w:r>
              <w:t>设备拆除及安装调试方案</w:t>
            </w:r>
          </w:p>
        </w:tc>
        <w:tc>
          <w:tcPr>
            <w:tcW w:w="1701" w:type="dxa"/>
            <w:vAlign w:val="center"/>
          </w:tcPr>
          <w:p>
            <w:pPr>
              <w:spacing w:line="400" w:lineRule="exact"/>
              <w:jc w:val="center"/>
            </w:pPr>
            <w:r>
              <w:t>拆除和安装施工方案、调试方案</w:t>
            </w:r>
          </w:p>
        </w:tc>
        <w:tc>
          <w:tcPr>
            <w:tcW w:w="2268" w:type="dxa"/>
            <w:vAlign w:val="center"/>
          </w:tcPr>
          <w:p>
            <w:pPr>
              <w:spacing w:line="400" w:lineRule="exact"/>
              <w:jc w:val="left"/>
            </w:pPr>
            <w:r>
              <w:t>按投标人对本工程主设备及其附属设备拆除安装调试的重点、难点、进度分析透彻程度及保障措施完善性、可行性等进行综合评审。按照优良中差四个等级评审，四个等级的得分区间为：优：[12-10.8]分；良：(10.8-8.4]分；中：(8.4-6]分；差：(6-0]分。</w:t>
            </w:r>
          </w:p>
        </w:tc>
        <w:tc>
          <w:tcPr>
            <w:tcW w:w="1134" w:type="dxa"/>
            <w:vAlign w:val="center"/>
          </w:tcPr>
          <w:p>
            <w:pPr>
              <w:spacing w:line="400" w:lineRule="exact"/>
              <w:jc w:val="center"/>
            </w:pPr>
            <w: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9</w:t>
            </w:r>
          </w:p>
        </w:tc>
        <w:tc>
          <w:tcPr>
            <w:tcW w:w="1134" w:type="dxa"/>
            <w:vAlign w:val="center"/>
          </w:tcPr>
          <w:p>
            <w:pPr>
              <w:spacing w:line="400" w:lineRule="exact"/>
              <w:jc w:val="center"/>
            </w:pPr>
            <w:r>
              <w:t>项目进度及计划</w:t>
            </w:r>
          </w:p>
        </w:tc>
        <w:tc>
          <w:tcPr>
            <w:tcW w:w="1701" w:type="dxa"/>
            <w:vAlign w:val="center"/>
          </w:tcPr>
          <w:p>
            <w:pPr>
              <w:spacing w:line="400" w:lineRule="exact"/>
              <w:jc w:val="center"/>
            </w:pPr>
            <w:r>
              <w:t>项目进度及计划</w:t>
            </w:r>
          </w:p>
        </w:tc>
        <w:tc>
          <w:tcPr>
            <w:tcW w:w="2268" w:type="dxa"/>
            <w:vAlign w:val="center"/>
          </w:tcPr>
          <w:p>
            <w:pPr>
              <w:spacing w:line="400" w:lineRule="exact"/>
              <w:jc w:val="left"/>
            </w:pPr>
            <w:r>
              <w:t>投标人根据招标文件的项目工期要求编制项目工程进度计划表，对进度安排详细、清晰、完整程度，计划编制合理性等进行综合评审。按照优良中差四个等级评审，四个等级的得分区间为：优：[5-4.5]分；良：(4.5-3.5]分；中：(3.5-2.5]分；差：(2.5-0]分。</w:t>
            </w:r>
          </w:p>
        </w:tc>
        <w:tc>
          <w:tcPr>
            <w:tcW w:w="1134" w:type="dxa"/>
            <w:vAlign w:val="center"/>
          </w:tcPr>
          <w:p>
            <w:pPr>
              <w:spacing w:line="400" w:lineRule="exact"/>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10</w:t>
            </w:r>
          </w:p>
        </w:tc>
        <w:tc>
          <w:tcPr>
            <w:tcW w:w="1134" w:type="dxa"/>
            <w:vAlign w:val="center"/>
          </w:tcPr>
          <w:p>
            <w:pPr>
              <w:spacing w:line="400" w:lineRule="exact"/>
              <w:jc w:val="center"/>
            </w:pPr>
            <w:r>
              <w:t>工程质量保证措施</w:t>
            </w:r>
          </w:p>
        </w:tc>
        <w:tc>
          <w:tcPr>
            <w:tcW w:w="1701" w:type="dxa"/>
            <w:vAlign w:val="center"/>
          </w:tcPr>
          <w:p>
            <w:pPr>
              <w:spacing w:line="400" w:lineRule="exact"/>
              <w:jc w:val="center"/>
            </w:pPr>
            <w:r>
              <w:t>工程质量保证措施</w:t>
            </w:r>
          </w:p>
        </w:tc>
        <w:tc>
          <w:tcPr>
            <w:tcW w:w="2268" w:type="dxa"/>
            <w:vAlign w:val="center"/>
          </w:tcPr>
          <w:p>
            <w:pPr>
              <w:spacing w:line="400" w:lineRule="exact"/>
              <w:jc w:val="left"/>
            </w:pPr>
            <w:r>
              <w:t>工程质量控制重点和难点分析的透彻性，质量保证体系的健全性，质量检查制度的完善性，对质量目标所采取的具体措施进行综合评审。按照优良中差四个等级评审，四个等级的得分区间为：优：[5-4.5]分；良：(4.5-3.5]分；中：(3.5-2.5]分；差：(2.5-0]分。</w:t>
            </w:r>
          </w:p>
        </w:tc>
        <w:tc>
          <w:tcPr>
            <w:tcW w:w="1134" w:type="dxa"/>
            <w:vAlign w:val="center"/>
          </w:tcPr>
          <w:p>
            <w:pPr>
              <w:spacing w:line="400" w:lineRule="exact"/>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11</w:t>
            </w:r>
          </w:p>
        </w:tc>
        <w:tc>
          <w:tcPr>
            <w:tcW w:w="1134" w:type="dxa"/>
            <w:vAlign w:val="center"/>
          </w:tcPr>
          <w:p>
            <w:pPr>
              <w:spacing w:line="400" w:lineRule="exact"/>
              <w:jc w:val="center"/>
            </w:pPr>
            <w:r>
              <w:t>安全文明施工管理措施</w:t>
            </w:r>
          </w:p>
        </w:tc>
        <w:tc>
          <w:tcPr>
            <w:tcW w:w="1701" w:type="dxa"/>
            <w:vAlign w:val="center"/>
          </w:tcPr>
          <w:p>
            <w:pPr>
              <w:spacing w:line="400" w:lineRule="exact"/>
              <w:jc w:val="center"/>
            </w:pPr>
            <w:r>
              <w:t>安全文明施工管理措施</w:t>
            </w:r>
          </w:p>
        </w:tc>
        <w:tc>
          <w:tcPr>
            <w:tcW w:w="2268" w:type="dxa"/>
            <w:vAlign w:val="center"/>
          </w:tcPr>
          <w:p>
            <w:pPr>
              <w:spacing w:line="400" w:lineRule="exact"/>
              <w:jc w:val="left"/>
            </w:pPr>
            <w:r>
              <w:t>按投标人的管理措施是否科学、合理，安全文明施工管理目标是否明确、措施是否完善等进行综合评审。按照优良中差四个等级评审，四个等级的得分区间为：优：[5-4.5]分；良：(4.5-3.5]分；中：(3.5-2.5]分；差：(2.5-0]分。</w:t>
            </w:r>
          </w:p>
        </w:tc>
        <w:tc>
          <w:tcPr>
            <w:tcW w:w="1134" w:type="dxa"/>
            <w:vAlign w:val="center"/>
          </w:tcPr>
          <w:p>
            <w:pPr>
              <w:spacing w:line="400" w:lineRule="exact"/>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12</w:t>
            </w:r>
          </w:p>
        </w:tc>
        <w:tc>
          <w:tcPr>
            <w:tcW w:w="1134" w:type="dxa"/>
            <w:vAlign w:val="center"/>
          </w:tcPr>
          <w:p>
            <w:pPr>
              <w:spacing w:line="400" w:lineRule="exact"/>
              <w:jc w:val="center"/>
            </w:pPr>
            <w:r>
              <w:t>服务承诺</w:t>
            </w:r>
          </w:p>
        </w:tc>
        <w:tc>
          <w:tcPr>
            <w:tcW w:w="1701" w:type="dxa"/>
            <w:vAlign w:val="center"/>
          </w:tcPr>
          <w:p>
            <w:pPr>
              <w:spacing w:line="400" w:lineRule="exact"/>
              <w:jc w:val="center"/>
            </w:pPr>
            <w:r>
              <w:t>质保服务承诺及售后服务承诺</w:t>
            </w:r>
          </w:p>
        </w:tc>
        <w:tc>
          <w:tcPr>
            <w:tcW w:w="2268" w:type="dxa"/>
            <w:vAlign w:val="center"/>
          </w:tcPr>
          <w:p>
            <w:pPr>
              <w:spacing w:line="400" w:lineRule="exact"/>
              <w:jc w:val="left"/>
            </w:pPr>
            <w:r>
              <w:t>对投标文件中的质保期服务承诺（质保期间技术服务支撑能力、响应时间、备品备件临时借用、设备故障应急物资到货时间、售后服务响应时间、售后服务人员数量等）的完善性、可行性等情况进行综合评审。按照优良中差四个等级评审，四个等级的得分区间为：优：[6-5.4]分；良：(5.4-4.2]分；中：(4.2-3]分；差：(3-0]分。</w:t>
            </w:r>
          </w:p>
        </w:tc>
        <w:tc>
          <w:tcPr>
            <w:tcW w:w="1134" w:type="dxa"/>
            <w:vAlign w:val="center"/>
          </w:tcPr>
          <w:p>
            <w:pPr>
              <w:spacing w:line="400" w:lineRule="exact"/>
              <w:jc w:val="center"/>
            </w:pPr>
            <w: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spacing w:line="400" w:lineRule="exact"/>
              <w:jc w:val="center"/>
            </w:pPr>
            <w:r>
              <w:rPr>
                <w:b/>
              </w:rPr>
              <w:t>条款号</w:t>
            </w:r>
          </w:p>
        </w:tc>
        <w:tc>
          <w:tcPr>
            <w:tcW w:w="3515" w:type="dxa"/>
            <w:gridSpan w:val="3"/>
            <w:vAlign w:val="center"/>
          </w:tcPr>
          <w:p>
            <w:pPr>
              <w:spacing w:line="400" w:lineRule="exact"/>
              <w:jc w:val="center"/>
            </w:pPr>
            <w:r>
              <w:rPr>
                <w:b/>
              </w:rPr>
              <w:t>评分要素</w:t>
            </w:r>
          </w:p>
        </w:tc>
        <w:tc>
          <w:tcPr>
            <w:tcW w:w="3402" w:type="dxa"/>
            <w:gridSpan w:val="2"/>
            <w:vAlign w:val="center"/>
          </w:tcPr>
          <w:p>
            <w:pPr>
              <w:spacing w:line="400" w:lineRule="exact"/>
              <w:jc w:val="center"/>
            </w:pPr>
            <w:r>
              <w:rPr>
                <w:b/>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1（3）</w:t>
            </w:r>
          </w:p>
        </w:tc>
        <w:tc>
          <w:tcPr>
            <w:tcW w:w="1588" w:type="dxa"/>
            <w:vMerge w:val="restart"/>
            <w:vAlign w:val="center"/>
          </w:tcPr>
          <w:p>
            <w:pPr>
              <w:spacing w:line="400" w:lineRule="exact"/>
              <w:jc w:val="center"/>
            </w:pPr>
            <w:r>
              <w:t>投标报价 评分标准</w:t>
            </w:r>
          </w:p>
        </w:tc>
        <w:tc>
          <w:tcPr>
            <w:tcW w:w="3515" w:type="dxa"/>
            <w:gridSpan w:val="3"/>
            <w:vAlign w:val="center"/>
          </w:tcPr>
          <w:p>
            <w:pPr>
              <w:spacing w:line="400" w:lineRule="exact"/>
              <w:jc w:val="center"/>
            </w:pPr>
            <w:r>
              <w:t>价格分计算方法名称</w:t>
            </w:r>
          </w:p>
        </w:tc>
        <w:tc>
          <w:tcPr>
            <w:tcW w:w="3402" w:type="dxa"/>
            <w:gridSpan w:val="2"/>
            <w:vAlign w:val="center"/>
          </w:tcPr>
          <w:p>
            <w:pPr>
              <w:spacing w:line="400" w:lineRule="exact"/>
              <w:jc w:val="left"/>
            </w:pPr>
            <w:r>
              <w:t>合理均价基准区间差径法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评标基准价计算方法</w:t>
            </w:r>
          </w:p>
        </w:tc>
        <w:tc>
          <w:tcPr>
            <w:tcW w:w="3402" w:type="dxa"/>
            <w:gridSpan w:val="2"/>
            <w:vAlign w:val="center"/>
          </w:tcPr>
          <w:p>
            <w:pPr>
              <w:spacing w:line="400" w:lineRule="exact"/>
              <w:jc w:val="left"/>
            </w:pPr>
            <w:r>
              <w:t>1、进入价格分计算的投标人取技术商务加权总分排名前BP%的投标人，按比例HP%、LP%分别去掉最高、最低价格后（当排名前BP%的投标人个数少于等于L个时，不去最高最低价），计算平均价作为Y平均</w:t>
            </w:r>
          </w:p>
          <w:p>
            <w:pPr>
              <w:spacing w:line="400" w:lineRule="exact"/>
              <w:jc w:val="left"/>
            </w:pPr>
            <w: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价格分计算公式</w:t>
            </w:r>
          </w:p>
        </w:tc>
        <w:tc>
          <w:tcPr>
            <w:tcW w:w="3402" w:type="dxa"/>
            <w:gridSpan w:val="2"/>
            <w:vAlign w:val="center"/>
          </w:tcPr>
          <w:p>
            <w:pPr>
              <w:spacing w:line="400" w:lineRule="exact"/>
              <w:jc w:val="left"/>
            </w:pPr>
            <w:r>
              <w:t>1、Yi为某投标人的投标价格；Qi为计算得分，按四舍五入法保留两位小数。</w:t>
            </w:r>
          </w:p>
          <w:p>
            <w:pPr>
              <w:spacing w:line="400" w:lineRule="exact"/>
              <w:jc w:val="left"/>
            </w:pPr>
            <w:r>
              <w:t>2、当0≤Yi≤aY基准，Qi=报价满分×(1- ( ( aY基准－Yi)/Y基准 x RL) )。</w:t>
            </w:r>
          </w:p>
          <w:p>
            <w:pPr>
              <w:spacing w:line="400" w:lineRule="exact"/>
              <w:jc w:val="left"/>
            </w:pPr>
            <w:r>
              <w:t>3、当aY基准＜Yi ≤Y基准，Qi=报价满分。</w:t>
            </w:r>
          </w:p>
          <w:p>
            <w:pPr>
              <w:spacing w:line="400" w:lineRule="exact"/>
              <w:jc w:val="left"/>
            </w:pPr>
            <w:r>
              <w:t>4、当Y基准＜ Yi，Qi=报价满分×(1-(( Yi－Y基准)/Y基准 x RH))，Qi小于0时，Qi取0分。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进入价格评分厂家数量</w:t>
            </w:r>
          </w:p>
        </w:tc>
        <w:tc>
          <w:tcPr>
            <w:tcW w:w="3402" w:type="dxa"/>
            <w:gridSpan w:val="2"/>
            <w:vAlign w:val="center"/>
          </w:tcPr>
          <w:p>
            <w:pPr>
              <w:spacing w:line="400" w:lineRule="exact"/>
              <w:jc w:val="center"/>
            </w:pPr>
            <w: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下浮率</w:t>
            </w:r>
          </w:p>
        </w:tc>
        <w:tc>
          <w:tcPr>
            <w:tcW w:w="3402" w:type="dxa"/>
            <w:gridSpan w:val="2"/>
            <w:vAlign w:val="center"/>
          </w:tcPr>
          <w:p>
            <w:pPr>
              <w:spacing w:line="400" w:lineRule="exact"/>
              <w:jc w:val="center"/>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restart"/>
            <w:vAlign w:val="center"/>
          </w:tcPr>
          <w:p>
            <w:pPr>
              <w:spacing w:line="400" w:lineRule="exact"/>
              <w:jc w:val="center"/>
            </w:pPr>
            <w:r>
              <w:t>参数设置</w:t>
            </w:r>
          </w:p>
        </w:tc>
        <w:tc>
          <w:tcPr>
            <w:tcW w:w="2268" w:type="dxa"/>
          </w:tcPr>
          <w:p>
            <w:pPr>
              <w:spacing w:line="400" w:lineRule="exact"/>
              <w:jc w:val="center"/>
            </w:pPr>
            <w:r>
              <w:t>RL</w:t>
            </w:r>
          </w:p>
        </w:tc>
        <w:tc>
          <w:tcPr>
            <w:tcW w:w="1134" w:type="dxa"/>
          </w:tcPr>
          <w:p>
            <w:pPr>
              <w:spacing w:line="400" w:lineRule="exact"/>
              <w:jc w:val="center"/>
            </w:pPr>
            <w:r>
              <w:rPr>
                <w:b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RH</w:t>
            </w:r>
          </w:p>
        </w:tc>
        <w:tc>
          <w:tcPr>
            <w:tcW w:w="1134" w:type="dxa"/>
          </w:tcPr>
          <w:p>
            <w:pPr>
              <w:spacing w:line="400" w:lineRule="exact"/>
              <w:jc w:val="center"/>
            </w:pPr>
            <w:r>
              <w:rPr>
                <w:b w:val="0"/>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BP</w:t>
            </w:r>
          </w:p>
        </w:tc>
        <w:tc>
          <w:tcPr>
            <w:tcW w:w="1134" w:type="dxa"/>
          </w:tcPr>
          <w:p>
            <w:pPr>
              <w:spacing w:line="400" w:lineRule="exact"/>
              <w:jc w:val="center"/>
            </w:pPr>
            <w:r>
              <w:rPr>
                <w:b w:val="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HP</w:t>
            </w:r>
          </w:p>
        </w:tc>
        <w:tc>
          <w:tcPr>
            <w:tcW w:w="1134" w:type="dxa"/>
          </w:tcPr>
          <w:p>
            <w:pPr>
              <w:spacing w:line="400" w:lineRule="exact"/>
              <w:jc w:val="center"/>
            </w:pPr>
            <w:r>
              <w:rPr>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LP</w:t>
            </w:r>
          </w:p>
        </w:tc>
        <w:tc>
          <w:tcPr>
            <w:tcW w:w="1134" w:type="dxa"/>
          </w:tcPr>
          <w:p>
            <w:pPr>
              <w:spacing w:line="400" w:lineRule="exact"/>
              <w:jc w:val="center"/>
            </w:pPr>
            <w:r>
              <w:rPr>
                <w:b w:val="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L</w:t>
            </w:r>
          </w:p>
        </w:tc>
        <w:tc>
          <w:tcPr>
            <w:tcW w:w="1134" w:type="dxa"/>
          </w:tcPr>
          <w:p>
            <w:pPr>
              <w:spacing w:line="400" w:lineRule="exact"/>
              <w:jc w:val="center"/>
            </w:pPr>
            <w:r>
              <w:rPr>
                <w:b w:val="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a1</w:t>
            </w:r>
          </w:p>
        </w:tc>
        <w:tc>
          <w:tcPr>
            <w:tcW w:w="1134" w:type="dxa"/>
          </w:tcPr>
          <w:p>
            <w:pPr>
              <w:spacing w:line="400" w:lineRule="exact"/>
              <w:jc w:val="center"/>
            </w:pPr>
            <w:r>
              <w:rPr>
                <w:b w:val="0"/>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a2</w:t>
            </w:r>
          </w:p>
        </w:tc>
        <w:tc>
          <w:tcPr>
            <w:tcW w:w="1134" w:type="dxa"/>
          </w:tcPr>
          <w:p>
            <w:pPr>
              <w:spacing w:line="400" w:lineRule="exact"/>
              <w:jc w:val="center"/>
            </w:pPr>
            <w:r>
              <w:rPr>
                <w:b w:val="0"/>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a3</w:t>
            </w:r>
          </w:p>
        </w:tc>
        <w:tc>
          <w:tcPr>
            <w:tcW w:w="1134" w:type="dxa"/>
          </w:tcPr>
          <w:p>
            <w:pPr>
              <w:spacing w:line="400" w:lineRule="exact"/>
              <w:jc w:val="center"/>
            </w:pPr>
            <w:r>
              <w:rPr>
                <w:b w:val="0"/>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参数设置说明</w:t>
            </w:r>
          </w:p>
        </w:tc>
        <w:tc>
          <w:tcPr>
            <w:tcW w:w="3402" w:type="dxa"/>
            <w:gridSpan w:val="2"/>
            <w:vAlign w:val="center"/>
          </w:tcPr>
          <w:p>
            <w:pPr>
              <w:spacing w:line="400" w:lineRule="exact"/>
            </w:pPr>
            <w:r>
              <w:t>1、 -100%＜X＜100%，X缺省值为2%。</w:t>
            </w:r>
          </w:p>
          <w:p>
            <w:pPr>
              <w:spacing w:line="400" w:lineRule="exact"/>
            </w:pPr>
            <w:r>
              <w:t>2、0.00≤RL≤100，RL缺省值为0.3。</w:t>
            </w:r>
          </w:p>
          <w:p>
            <w:pPr>
              <w:spacing w:line="400" w:lineRule="exact"/>
            </w:pPr>
            <w:r>
              <w:t>3、0.00≤RH≤100，RH缺省值为0.7。</w:t>
            </w:r>
          </w:p>
          <w:p>
            <w:pPr>
              <w:spacing w:line="400" w:lineRule="exact"/>
            </w:pPr>
            <w:r>
              <w:t>4、RL＜RH。</w:t>
            </w:r>
          </w:p>
          <w:p>
            <w:pPr>
              <w:spacing w:line="400" w:lineRule="exact"/>
            </w:pPr>
            <w:r>
              <w:t>5、BP%为技术商务分排名靠前的比例，BP%缺省值为80%，进入价格分计算的投标人数量向上取整。</w:t>
            </w:r>
          </w:p>
          <w:p>
            <w:pPr>
              <w:spacing w:line="400" w:lineRule="exact"/>
            </w:pPr>
            <w:r>
              <w:t>6、HP%去掉最高价的比例，HP%缺省值为10%，计算结果按四舍五入方法取整。</w:t>
            </w:r>
          </w:p>
          <w:p>
            <w:pPr>
              <w:spacing w:line="400" w:lineRule="exact"/>
            </w:pPr>
            <w:r>
              <w:t>7、LP%为去掉最低价的比例，LP%缺省值为10%，计算结果按四舍五入方法取整。</w:t>
            </w:r>
          </w:p>
          <w:p>
            <w:pPr>
              <w:spacing w:line="400" w:lineRule="exact"/>
            </w:pPr>
            <w:r>
              <w:t>8、L为自定义的供应商数量临界值，L缺省值为6。</w:t>
            </w:r>
          </w:p>
          <w:p>
            <w:pPr>
              <w:spacing w:line="400" w:lineRule="exact"/>
            </w:pPr>
            <w:r>
              <w:t>11、系数a的取值在方案编制阶段由业务人员在｛a1，a2，a3｝三个数中选择，系统默认值为｛0.6，0.65，0.7｝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pPr>
            <w:r>
              <w:t>2（1）</w:t>
            </w:r>
          </w:p>
        </w:tc>
        <w:tc>
          <w:tcPr>
            <w:tcW w:w="1588" w:type="dxa"/>
            <w:vAlign w:val="center"/>
          </w:tcPr>
          <w:p>
            <w:pPr>
              <w:spacing w:line="400" w:lineRule="exact"/>
            </w:pPr>
            <w:r>
              <w:t>专家技术商务分算法</w:t>
            </w:r>
          </w:p>
        </w:tc>
        <w:tc>
          <w:tcPr>
            <w:tcW w:w="13154" w:type="dxa"/>
            <w:gridSpan w:val="5"/>
            <w:vAlign w:val="center"/>
          </w:tcPr>
          <w:p>
            <w:pPr>
              <w:spacing w:line="400" w:lineRule="exact"/>
            </w:pPr>
            <w:r>
              <w:t>评标专家打分完毕后，计算各标包供应商的商务/技术分时，取专家打分的平均分作为该供应商的商务/技术得分。</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872FDA"/>
    <w:rsid w:val="18872FDA"/>
    <w:rsid w:val="4C330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First Indent"/>
    <w:basedOn w:val="1"/>
    <w:qFormat/>
    <w:uiPriority w:val="0"/>
    <w:pPr>
      <w:ind w:firstLine="420" w:firstLineChars="1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2026-08-25T02:46:00Z</dcterms:created>
  <dc:creator>罗夏华</dc:creator>
  <cp:lastModifiedBy>罗夏华</cp:lastModifiedBy>
  <dcterms:modified xsi:type="dcterms:W3CDTF">2026-08-25T02:52:32Z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