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C2EEEA">
      <w:pPr>
        <w:adjustRightInd w:val="0"/>
        <w:snapToGrid w:val="0"/>
        <w:spacing w:line="360" w:lineRule="auto"/>
        <w:jc w:val="both"/>
        <w:rPr>
          <w:rFonts w:hint="default" w:ascii="Times New Roman" w:hAnsi="宋体" w:eastAsia="宋体" w:cs="Times New Roman"/>
          <w:b/>
          <w:sz w:val="28"/>
          <w:szCs w:val="28"/>
          <w:lang w:val="en-US" w:eastAsia="zh-CN"/>
        </w:rPr>
      </w:pPr>
      <w:r>
        <w:rPr>
          <w:rFonts w:hint="eastAsia" w:hAnsi="宋体" w:cs="Times New Roman"/>
          <w:b/>
          <w:sz w:val="28"/>
          <w:szCs w:val="28"/>
          <w:lang w:val="en-US" w:eastAsia="zh-CN"/>
        </w:rPr>
        <w:t>附件1</w:t>
      </w:r>
    </w:p>
    <w:p w14:paraId="08CC0BB2">
      <w:pPr>
        <w:adjustRightInd w:val="0"/>
        <w:snapToGrid w:val="0"/>
        <w:spacing w:line="360" w:lineRule="auto"/>
        <w:jc w:val="center"/>
        <w:rPr>
          <w:rFonts w:hint="eastAsia" w:ascii="Times New Roman" w:hAnsi="宋体" w:eastAsia="宋体" w:cs="Times New Roman"/>
          <w:b/>
          <w:sz w:val="28"/>
          <w:szCs w:val="28"/>
        </w:rPr>
      </w:pPr>
      <w:r>
        <w:rPr>
          <w:rFonts w:hint="eastAsia" w:ascii="Times New Roman" w:hAnsi="宋体" w:eastAsia="宋体" w:cs="Times New Roman"/>
          <w:b/>
          <w:sz w:val="28"/>
          <w:szCs w:val="28"/>
        </w:rPr>
        <w:t>知识产权服务机构服务质量年度履约评价规则</w:t>
      </w:r>
    </w:p>
    <w:p w14:paraId="40BC5E40">
      <w:pPr>
        <w:adjustRightInd w:val="0"/>
        <w:snapToGrid w:val="0"/>
        <w:spacing w:before="120" w:line="360" w:lineRule="auto"/>
        <w:rPr>
          <w:rFonts w:hint="eastAsia" w:ascii="宋体" w:hAnsi="宋体"/>
          <w:b/>
          <w:bCs/>
          <w:kern w:val="0"/>
          <w:sz w:val="24"/>
          <w:szCs w:val="24"/>
        </w:rPr>
      </w:pPr>
    </w:p>
    <w:p w14:paraId="15149ABB">
      <w:pPr>
        <w:adjustRightInd w:val="0"/>
        <w:snapToGrid w:val="0"/>
        <w:spacing w:before="120" w:line="360" w:lineRule="auto"/>
        <w:rPr>
          <w:rFonts w:hint="eastAsia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一、总体原则</w:t>
      </w:r>
      <w:bookmarkStart w:id="0" w:name="_GoBack"/>
      <w:bookmarkEnd w:id="0"/>
    </w:p>
    <w:p w14:paraId="5DA7FFD4">
      <w:pPr>
        <w:ind w:firstLine="480" w:firstLineChars="200"/>
        <w:jc w:val="left"/>
        <w:rPr>
          <w:rFonts w:hint="default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各实施单位（以下简称各单位）每年度对服务本单位的中标人进行服务质量履约评价并确定等级。履约评价结果经招标人创新管理部审核发布后，通知被评价方执行。</w:t>
      </w:r>
    </w:p>
    <w:p w14:paraId="731956CE">
      <w:pPr>
        <w:numPr>
          <w:ilvl w:val="0"/>
          <w:numId w:val="1"/>
        </w:numPr>
        <w:adjustRightInd w:val="0"/>
        <w:snapToGrid w:val="0"/>
        <w:spacing w:before="120" w:line="360" w:lineRule="auto"/>
        <w:rPr>
          <w:rFonts w:hint="eastAsia" w:ascii="宋体" w:hAnsi="宋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kern w:val="0"/>
          <w:sz w:val="24"/>
          <w:szCs w:val="24"/>
          <w:lang w:val="en-US" w:eastAsia="zh-CN"/>
        </w:rPr>
        <w:t>结算方式</w:t>
      </w:r>
    </w:p>
    <w:p w14:paraId="73B134E5">
      <w:pPr>
        <w:ind w:firstLine="480" w:firstLineChars="200"/>
        <w:jc w:val="left"/>
        <w:rPr>
          <w:rFonts w:hint="default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每件发明专利申请代理业务服务费最终结算价款由首款与尾款构成，具体结算方式如下：</w:t>
      </w:r>
    </w:p>
    <w:p w14:paraId="784BD2A6">
      <w:pPr>
        <w:ind w:firstLine="480" w:firstLineChars="200"/>
        <w:jc w:val="left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1、结算方式一：</w:t>
      </w:r>
    </w:p>
    <w:p w14:paraId="51FEDAA3">
      <w:pPr>
        <w:ind w:firstLine="480" w:firstLineChars="200"/>
        <w:jc w:val="left"/>
        <w:rPr>
          <w:rFonts w:hint="default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首款 = 发明专利申请代理业务服务费单价×0.8；尾款 = 发明专利申请代理业务服务费单价×0.2</w:t>
      </w:r>
    </w:p>
    <w:p w14:paraId="38A85BE1">
      <w:pPr>
        <w:ind w:firstLine="480" w:firstLineChars="200"/>
        <w:jc w:val="left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2、结算方式二：</w:t>
      </w:r>
    </w:p>
    <w:p w14:paraId="13D6E9EF">
      <w:pPr>
        <w:ind w:firstLine="480" w:firstLineChars="200"/>
        <w:jc w:val="left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首款 = 发明专利申请代理业务服务费单价×0.7；尾款 = 发明专利申请代理业务服务费单价×0.3</w:t>
      </w:r>
    </w:p>
    <w:p w14:paraId="44A72373">
      <w:pPr>
        <w:adjustRightInd w:val="0"/>
        <w:snapToGrid w:val="0"/>
        <w:spacing w:before="120" w:line="360" w:lineRule="auto"/>
        <w:rPr>
          <w:rFonts w:hint="default" w:eastAsia="宋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kern w:val="0"/>
          <w:sz w:val="24"/>
          <w:szCs w:val="24"/>
          <w:lang w:val="en-US" w:eastAsia="zh-CN"/>
        </w:rPr>
        <w:t>三</w:t>
      </w:r>
      <w:r>
        <w:rPr>
          <w:rFonts w:hint="eastAsia" w:ascii="宋体" w:hAnsi="宋体"/>
          <w:b/>
          <w:bCs/>
          <w:kern w:val="0"/>
          <w:sz w:val="24"/>
          <w:szCs w:val="24"/>
        </w:rPr>
        <w:t>、</w:t>
      </w:r>
      <w:r>
        <w:rPr>
          <w:rFonts w:hint="eastAsia" w:ascii="宋体" w:hAnsi="宋体"/>
          <w:b/>
          <w:bCs/>
          <w:kern w:val="0"/>
          <w:sz w:val="24"/>
          <w:szCs w:val="24"/>
          <w:lang w:val="en-US" w:eastAsia="zh-CN"/>
        </w:rPr>
        <w:t>履约评价及动态调整规则</w:t>
      </w:r>
    </w:p>
    <w:p w14:paraId="17F489A1">
      <w:pPr>
        <w:ind w:firstLine="480" w:firstLineChars="200"/>
        <w:jc w:val="left"/>
        <w:rPr>
          <w:rFonts w:hint="default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（一）履约评价的开展</w:t>
      </w:r>
    </w:p>
    <w:p w14:paraId="482B048F">
      <w:pPr>
        <w:ind w:firstLine="480" w:firstLineChars="200"/>
        <w:jc w:val="left"/>
        <w:rPr>
          <w:rFonts w:hint="default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每年1月，各单位根据履约评价标准（表2）对服务本单位的知识产权服务机构开展上一年度服务质量履约评价，确定评价等级并执行对应的结算规则。</w:t>
      </w:r>
    </w:p>
    <w:p w14:paraId="4092DC00">
      <w:pPr>
        <w:ind w:firstLine="480" w:firstLineChars="200"/>
        <w:jc w:val="left"/>
        <w:rPr>
          <w:rFonts w:hint="default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（二）结算规则</w:t>
      </w:r>
    </w:p>
    <w:p w14:paraId="1C2FD025">
      <w:pPr>
        <w:ind w:firstLine="480" w:firstLineChars="200"/>
        <w:jc w:val="left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履约评价等级分为“良好”“一般”“不合格”三个等级：</w:t>
      </w:r>
    </w:p>
    <w:p w14:paraId="0E13A05A">
      <w:pPr>
        <w:numPr>
          <w:ilvl w:val="0"/>
          <w:numId w:val="2"/>
        </w:numPr>
        <w:ind w:left="420" w:leftChars="0" w:hanging="420" w:firstLineChars="0"/>
        <w:jc w:val="left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良好：得分在80分（含）至100分；</w:t>
      </w:r>
    </w:p>
    <w:p w14:paraId="7BB727F6">
      <w:pPr>
        <w:numPr>
          <w:ilvl w:val="0"/>
          <w:numId w:val="2"/>
        </w:numPr>
        <w:ind w:left="420" w:leftChars="0" w:hanging="420" w:firstLineChars="0"/>
        <w:jc w:val="left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一般：得分在60分（含）至80分（不含）；</w:t>
      </w:r>
    </w:p>
    <w:p w14:paraId="5521B542">
      <w:pPr>
        <w:numPr>
          <w:ilvl w:val="0"/>
          <w:numId w:val="2"/>
        </w:numPr>
        <w:ind w:left="420" w:leftChars="0" w:hanging="420" w:firstLineChars="0"/>
        <w:jc w:val="left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不合格：得分在0分（含）至60分（不含）。</w:t>
      </w:r>
    </w:p>
    <w:p w14:paraId="6028246C">
      <w:pPr>
        <w:ind w:firstLine="480" w:firstLineChars="200"/>
        <w:jc w:val="left"/>
        <w:rPr>
          <w:rFonts w:hint="default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年度履约评价完成后，依据表1执行相应的结算规则。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569"/>
        <w:gridCol w:w="1515"/>
        <w:gridCol w:w="226"/>
        <w:gridCol w:w="2175"/>
        <w:gridCol w:w="1190"/>
        <w:gridCol w:w="11"/>
        <w:gridCol w:w="817"/>
        <w:gridCol w:w="706"/>
        <w:gridCol w:w="125"/>
      </w:tblGrid>
      <w:tr w14:paraId="6D0AA9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5" w:type="dxa"/>
          <w:trHeight w:val="512" w:hRule="atLeast"/>
          <w:jc w:val="center"/>
        </w:trPr>
        <w:tc>
          <w:tcPr>
            <w:tcW w:w="8394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523D4F3">
            <w:pPr>
              <w:pStyle w:val="9"/>
              <w:autoSpaceDE w:val="0"/>
              <w:ind w:left="0" w:leftChars="0"/>
              <w:jc w:val="left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表1：结算规则表</w:t>
            </w:r>
          </w:p>
        </w:tc>
      </w:tr>
      <w:tr w14:paraId="092421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5" w:type="dxa"/>
          <w:trHeight w:val="512" w:hRule="atLeast"/>
          <w:jc w:val="center"/>
        </w:trPr>
        <w:tc>
          <w:tcPr>
            <w:tcW w:w="17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B633C">
            <w:pPr>
              <w:pStyle w:val="9"/>
              <w:autoSpaceDE w:val="0"/>
              <w:ind w:left="0" w:leftChars="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评价得分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DCB91">
            <w:pPr>
              <w:pStyle w:val="9"/>
              <w:autoSpaceDE w:val="0"/>
              <w:ind w:left="0" w:leftChars="0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评价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等级</w:t>
            </w:r>
          </w:p>
        </w:tc>
        <w:tc>
          <w:tcPr>
            <w:tcW w:w="51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68D78">
            <w:pPr>
              <w:pStyle w:val="9"/>
              <w:autoSpaceDE w:val="0"/>
              <w:ind w:left="0" w:leftChars="0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结算规则</w:t>
            </w:r>
          </w:p>
        </w:tc>
      </w:tr>
      <w:tr w14:paraId="265D6C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5" w:type="dxa"/>
          <w:jc w:val="center"/>
        </w:trPr>
        <w:tc>
          <w:tcPr>
            <w:tcW w:w="17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1FC07">
            <w:pPr>
              <w:pStyle w:val="9"/>
              <w:ind w:left="0" w:leftChars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[80</w:t>
            </w:r>
            <w:r>
              <w:rPr>
                <w:rFonts w:hint="eastAsia" w:ascii="宋体" w:hAnsi="宋体"/>
                <w:sz w:val="24"/>
                <w:szCs w:val="24"/>
              </w:rPr>
              <w:t>-100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]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3C06FF">
            <w:pPr>
              <w:pStyle w:val="9"/>
              <w:autoSpaceDE w:val="0"/>
              <w:ind w:left="0" w:leftChars="0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良好</w:t>
            </w:r>
          </w:p>
        </w:tc>
        <w:tc>
          <w:tcPr>
            <w:tcW w:w="5125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FF36F1D">
            <w:pPr>
              <w:pStyle w:val="9"/>
              <w:ind w:left="0" w:leftChars="0"/>
              <w:jc w:val="left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结算规则一：下一年度执行结算方式一；被评价年度的每件发明专利申请代理业务服务费尾款=全额尾款</w:t>
            </w:r>
            <w:r>
              <w:rPr>
                <w:rFonts w:hint="eastAsia" w:ascii="Arial" w:hAnsi="Arial" w:cs="Arial"/>
                <w:kern w:val="0"/>
                <w:sz w:val="24"/>
                <w:szCs w:val="24"/>
                <w:lang w:val="en-US" w:eastAsia="zh-CN"/>
              </w:rPr>
              <w:t>。</w:t>
            </w:r>
          </w:p>
        </w:tc>
      </w:tr>
      <w:tr w14:paraId="1DFB4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5" w:type="dxa"/>
          <w:jc w:val="center"/>
        </w:trPr>
        <w:tc>
          <w:tcPr>
            <w:tcW w:w="17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0CD4C">
            <w:pPr>
              <w:pStyle w:val="9"/>
              <w:ind w:left="0" w:leftChars="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[</w:t>
            </w:r>
            <w:r>
              <w:rPr>
                <w:rFonts w:hint="eastAsia" w:ascii="宋体" w:hAnsi="宋体"/>
                <w:sz w:val="24"/>
                <w:szCs w:val="24"/>
              </w:rPr>
              <w:t>60-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80）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8638C">
            <w:pPr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一般</w:t>
            </w:r>
          </w:p>
        </w:tc>
        <w:tc>
          <w:tcPr>
            <w:tcW w:w="51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4E2CC">
            <w:pPr>
              <w:pStyle w:val="9"/>
              <w:ind w:left="0" w:leftChars="0"/>
              <w:jc w:val="left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结算规则二：下一年度执行结算方式二；被评价年度的每件发明专利申请代理业务服务费尾款=全额尾款×0.8</w:t>
            </w:r>
            <w:r>
              <w:rPr>
                <w:rFonts w:hint="eastAsia" w:ascii="Arial" w:hAnsi="Arial" w:cs="Arial"/>
                <w:kern w:val="0"/>
                <w:sz w:val="24"/>
                <w:szCs w:val="24"/>
                <w:lang w:val="en-US" w:eastAsia="zh-CN"/>
              </w:rPr>
              <w:t>。</w:t>
            </w:r>
          </w:p>
        </w:tc>
      </w:tr>
      <w:tr w14:paraId="03C50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5" w:type="dxa"/>
          <w:jc w:val="center"/>
        </w:trPr>
        <w:tc>
          <w:tcPr>
            <w:tcW w:w="17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B7FB7">
            <w:pPr>
              <w:pStyle w:val="9"/>
              <w:ind w:left="0" w:leftChars="0"/>
              <w:jc w:val="center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[0</w:t>
            </w:r>
            <w:r>
              <w:rPr>
                <w:rFonts w:hint="eastAsia" w:ascii="宋体" w:hAnsi="宋体"/>
                <w:sz w:val="24"/>
                <w:szCs w:val="24"/>
              </w:rPr>
              <w:t>-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60）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1EA19">
            <w:pPr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不合格</w:t>
            </w:r>
          </w:p>
        </w:tc>
        <w:tc>
          <w:tcPr>
            <w:tcW w:w="51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A887D">
            <w:pPr>
              <w:pStyle w:val="9"/>
              <w:ind w:left="0" w:leftChars="0"/>
              <w:jc w:val="left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结算规则三：下一年度执行结算方式二；被评价年度的每件发明专利申请代理业务服务费尾款=全额尾款×0.4</w:t>
            </w:r>
            <w:r>
              <w:rPr>
                <w:rFonts w:hint="eastAsia" w:ascii="Arial" w:hAnsi="Arial" w:cs="Arial"/>
                <w:kern w:val="0"/>
                <w:sz w:val="24"/>
                <w:szCs w:val="24"/>
                <w:lang w:val="en-US" w:eastAsia="zh-CN"/>
              </w:rPr>
              <w:t>。</w:t>
            </w:r>
          </w:p>
        </w:tc>
      </w:tr>
      <w:tr w14:paraId="64DFF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8519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C66AEDD">
            <w:pPr>
              <w:jc w:val="left"/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</w:pPr>
          </w:p>
          <w:p w14:paraId="7D323A0F">
            <w:pPr>
              <w:ind w:firstLine="480" w:firstLineChars="200"/>
              <w:jc w:val="left"/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合同期最后一个年度履约评价完成后，依据评价结果调整尾款支付比例。</w:t>
            </w:r>
          </w:p>
          <w:p w14:paraId="158BD8B4">
            <w:pPr>
              <w:jc w:val="left"/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</w:pPr>
          </w:p>
          <w:p w14:paraId="168FC192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表2：</w:t>
            </w:r>
            <w:r>
              <w:rPr>
                <w:rFonts w:hint="eastAsia" w:ascii="宋体" w:hAnsi="宋体"/>
                <w:b w:val="0"/>
                <w:bCs w:val="0"/>
                <w:kern w:val="0"/>
                <w:sz w:val="24"/>
                <w:szCs w:val="24"/>
              </w:rPr>
              <w:t>知识产权服务机构服务质量年度履约评价</w:t>
            </w:r>
            <w:r>
              <w:rPr>
                <w:rFonts w:hint="eastAsia" w:ascii="宋体" w:hAnsi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表</w:t>
            </w:r>
          </w:p>
        </w:tc>
      </w:tr>
      <w:tr w14:paraId="7E747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8E821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知识产权服务</w:t>
            </w:r>
            <w:r>
              <w:rPr>
                <w:rFonts w:hint="eastAsia" w:ascii="宋体" w:hAnsi="宋体"/>
              </w:rPr>
              <w:t>机构名称</w:t>
            </w:r>
          </w:p>
        </w:tc>
        <w:tc>
          <w:tcPr>
            <w:tcW w:w="44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39655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44F9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评价</w:t>
            </w:r>
            <w:r>
              <w:rPr>
                <w:rFonts w:hint="eastAsia" w:ascii="宋体" w:hAnsi="宋体"/>
              </w:rPr>
              <w:t>日期</w:t>
            </w:r>
          </w:p>
        </w:tc>
        <w:tc>
          <w:tcPr>
            <w:tcW w:w="16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2FBF2">
            <w:pPr>
              <w:jc w:val="center"/>
              <w:rPr>
                <w:rFonts w:hint="eastAsia" w:ascii="宋体" w:hAnsi="宋体"/>
              </w:rPr>
            </w:pPr>
          </w:p>
        </w:tc>
      </w:tr>
      <w:tr w14:paraId="6C4E5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E4D9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评价</w:t>
            </w:r>
            <w:r>
              <w:rPr>
                <w:rFonts w:hint="eastAsia" w:ascii="宋体" w:hAnsi="宋体"/>
              </w:rPr>
              <w:t>期</w:t>
            </w:r>
          </w:p>
        </w:tc>
        <w:tc>
          <w:tcPr>
            <w:tcW w:w="73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936AF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20   年   月 — 20   年   月</w:t>
            </w:r>
          </w:p>
        </w:tc>
      </w:tr>
      <w:tr w14:paraId="7CA86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6303C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考核要素</w:t>
            </w: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D3404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详细考核项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D7301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考核标准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4265D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分值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5B48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考核</w:t>
            </w:r>
          </w:p>
          <w:p w14:paraId="2C64FDF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得分</w:t>
            </w: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B0141"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备注</w:t>
            </w:r>
          </w:p>
        </w:tc>
      </w:tr>
      <w:tr w14:paraId="3750C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18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2BF8A9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现场服务</w:t>
            </w: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2D267"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highlight w:val="none"/>
                <w:lang w:val="en-US" w:eastAsia="zh-CN"/>
              </w:rPr>
              <w:t>服务响应能力。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C298A">
            <w:pPr>
              <w:pStyle w:val="2"/>
              <w:numPr>
                <w:ilvl w:val="0"/>
                <w:numId w:val="3"/>
              </w:num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lang w:val="en-US" w:eastAsia="zh-CN" w:bidi="ar-SA"/>
              </w:rPr>
              <w:t>1个工作日内响应，及时提供完善的解决方案，积极配合知识产权各项工作事务；特殊情况下2小时内派员到达现场协助解决问题。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（</w:t>
            </w:r>
            <w:r>
              <w:rPr>
                <w:rFonts w:hint="eastAsia" w:cs="Times New Roman"/>
                <w:kern w:val="2"/>
                <w:sz w:val="21"/>
                <w:lang w:val="en-US" w:eastAsia="zh-CN" w:bidi="ar-SA"/>
              </w:rPr>
              <w:t>3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分）</w:t>
            </w:r>
          </w:p>
          <w:p w14:paraId="1EC8FE31">
            <w:pPr>
              <w:pStyle w:val="2"/>
              <w:numPr>
                <w:ilvl w:val="0"/>
                <w:numId w:val="3"/>
              </w:numP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lang w:val="en-US" w:eastAsia="zh-CN" w:bidi="ar-SA"/>
              </w:rPr>
              <w:t>2个工作日内提供解决措施，配合知识产权各项工作事务；特殊情况下3.5小时内派员到达现场。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（</w:t>
            </w:r>
            <w:r>
              <w:rPr>
                <w:rFonts w:hint="eastAsia" w:cs="Times New Roman"/>
                <w:kern w:val="2"/>
                <w:sz w:val="21"/>
                <w:lang w:val="en-US" w:eastAsia="zh-CN" w:bidi="ar-SA"/>
              </w:rPr>
              <w:t>1.5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分）</w:t>
            </w:r>
          </w:p>
          <w:p w14:paraId="5A8BA34C">
            <w:pPr>
              <w:pStyle w:val="2"/>
              <w:numPr>
                <w:ilvl w:val="0"/>
                <w:numId w:val="3"/>
              </w:numP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不满足上述要求</w:t>
            </w:r>
            <w:r>
              <w:rPr>
                <w:rFonts w:hint="eastAsia" w:cs="Times New Roman"/>
                <w:kern w:val="2"/>
                <w:sz w:val="21"/>
                <w:lang w:val="en-US" w:eastAsia="zh-CN" w:bidi="ar-SA"/>
              </w:rPr>
              <w:t>（0分）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CCC9AD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[0,3]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3418200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DC6F035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6FBD3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31A30BB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质量管控</w:t>
            </w: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6CD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发明专利申请前评估。</w:t>
            </w:r>
            <w:r>
              <w:rPr>
                <w:rFonts w:hint="eastAsia" w:ascii="宋体" w:hAnsi="宋体"/>
              </w:rPr>
              <w:t>对每件发明专利申请进行申请前评估，包括但不限于新颖性、创造性及非正常申请专利行为等，并出具评估报告。</w:t>
            </w:r>
          </w:p>
          <w:p w14:paraId="2514DF6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default" w:ascii="宋体" w:hAnsi="宋体"/>
                <w:lang w:val="en-US" w:eastAsia="zh-CN"/>
              </w:rPr>
              <w:t>证明材料：</w:t>
            </w:r>
          </w:p>
          <w:p w14:paraId="40B2DA8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1、</w:t>
            </w:r>
            <w:r>
              <w:rPr>
                <w:rFonts w:hint="default" w:ascii="宋体" w:hAnsi="宋体"/>
                <w:lang w:val="en-US" w:eastAsia="zh-CN"/>
              </w:rPr>
              <w:t>专利申请委托清单；</w:t>
            </w:r>
          </w:p>
          <w:p w14:paraId="5BE3B08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2、</w:t>
            </w:r>
            <w:r>
              <w:rPr>
                <w:rFonts w:hint="default" w:ascii="宋体" w:hAnsi="宋体"/>
                <w:lang w:val="en-US" w:eastAsia="zh-CN"/>
              </w:rPr>
              <w:t>评估报告。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D5E58F">
            <w:pPr>
              <w:rPr>
                <w:rFonts w:hint="eastAsia" w:ascii="宋体" w:hAnsi="宋体"/>
                <w:lang w:val="en-US" w:eastAsia="zh-CN"/>
              </w:rPr>
            </w:pPr>
          </w:p>
          <w:p w14:paraId="065177D8">
            <w:pPr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本项满分为10分，采用扣分制。每发生一件未进行评估的发明专利申请，扣0.2分。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47FBA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[0,10]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DD8354A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6774F7">
            <w:pPr>
              <w:jc w:val="center"/>
              <w:rPr>
                <w:rFonts w:hint="eastAsia" w:ascii="宋体" w:hAnsi="宋体"/>
              </w:rPr>
            </w:pPr>
          </w:p>
        </w:tc>
      </w:tr>
      <w:tr w14:paraId="74E62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  <w:jc w:val="center"/>
        </w:trPr>
        <w:tc>
          <w:tcPr>
            <w:tcW w:w="118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9074E4">
            <w:pPr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0C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非正常申请专利行为认定。合同期内申请的发明专利被认定为非正常申请专利行为的，以国家知识产权局或各级知识产权主管部门出具的书面/邮件/电话等通知为准。</w:t>
            </w:r>
          </w:p>
          <w:p w14:paraId="2303BAF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证明材料：</w:t>
            </w:r>
          </w:p>
          <w:p w14:paraId="64DA23D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1、非正常申请专利清单（须列明专利申请号、专利名称、认定时间、认定依据）；</w:t>
            </w:r>
          </w:p>
          <w:p w14:paraId="0E24FFA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2、相关认定通知文件（如有）。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A3F74"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本项满分为18分，采用扣分制。每件被认定为“非正常申请专利行为”的，扣1分。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CC41D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[0,18]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2858998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4D9200E">
            <w:pPr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</w:tr>
      <w:tr w14:paraId="590EE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4" w:hRule="atLeast"/>
          <w:jc w:val="center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3C59D63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及时性</w:t>
            </w: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039452">
            <w:pPr>
              <w:pStyle w:val="2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年度考核期间专利受理率（受理率 = 受理量 / 委托量 × 100%）。（注：年度考核日前45天内委托的申请不纳入考核。）</w:t>
            </w:r>
          </w:p>
          <w:p w14:paraId="0EE6B32D">
            <w:pPr>
              <w:pStyle w:val="2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证明材料：</w:t>
            </w:r>
          </w:p>
          <w:p w14:paraId="423FF4B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</w:rPr>
              <w:t>专利申请委托清单</w:t>
            </w:r>
            <w:r>
              <w:rPr>
                <w:rFonts w:hint="eastAsia" w:ascii="宋体" w:hAnsi="宋体"/>
                <w:lang w:eastAsia="zh-CN"/>
              </w:rPr>
              <w:t>；</w:t>
            </w:r>
          </w:p>
          <w:p w14:paraId="2EE1B28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订单合同</w:t>
            </w:r>
            <w:r>
              <w:rPr>
                <w:rFonts w:hint="eastAsia" w:ascii="宋体" w:hAnsi="宋体"/>
                <w:lang w:eastAsia="zh-CN"/>
              </w:rPr>
              <w:t>；</w:t>
            </w:r>
          </w:p>
          <w:p w14:paraId="7BF1857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</w:rPr>
              <w:t>受理通知书。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9A0C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1、受理率</w:t>
            </w:r>
            <w:r>
              <w:rPr>
                <w:rFonts w:hint="default" w:ascii="宋体" w:hAnsi="宋体"/>
                <w:lang w:val="en-US" w:eastAsia="zh-CN"/>
              </w:rPr>
              <w:t>≥</w:t>
            </w:r>
            <w:r>
              <w:rPr>
                <w:rFonts w:hint="eastAsia" w:ascii="宋体" w:hAnsi="宋体"/>
                <w:lang w:val="en-US" w:eastAsia="zh-CN"/>
              </w:rPr>
              <w:t>85%，得15分；</w:t>
            </w:r>
          </w:p>
          <w:p w14:paraId="332A49E4">
            <w:pPr>
              <w:rPr>
                <w:rFonts w:hint="default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2、受理率&lt;85%,得分 = 15-（85%-受理率）*100，最低得0分。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9CDBA"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[0,15]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8B18DA0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08B5EED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4C00B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  <w:jc w:val="center"/>
        </w:trPr>
        <w:tc>
          <w:tcPr>
            <w:tcW w:w="118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5A5B36">
            <w:pPr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3B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年度考核期间专利受理及时性（定义：从委托方发出订单合同之日起，至国家知识产权局发出《受理通知书》之日止的时长，单位为天。）</w:t>
            </w:r>
          </w:p>
          <w:p w14:paraId="217B700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证明材料：</w:t>
            </w:r>
          </w:p>
          <w:p w14:paraId="286B1E3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专利申请委托清单；</w:t>
            </w:r>
          </w:p>
          <w:p w14:paraId="01F0F95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订单合同；</w:t>
            </w:r>
          </w:p>
          <w:p w14:paraId="5E4CEEB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受理通知书。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A8FC9">
            <w:pPr>
              <w:rPr>
                <w:rFonts w:hint="eastAsia" w:ascii="宋体" w:hAnsi="宋体"/>
                <w:lang w:val="en-US" w:eastAsia="zh-CN"/>
              </w:rPr>
            </w:pPr>
          </w:p>
          <w:p w14:paraId="50AC5EC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本项满分为15分，采用扣分制。受理时长超过45天（含新颖性、创造性评价时间）的，每件扣0.2分。</w:t>
            </w:r>
          </w:p>
          <w:p w14:paraId="32AC43E7">
            <w:pPr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E3D53"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[0,15]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A13C5AD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3DC2019">
            <w:pPr>
              <w:jc w:val="center"/>
              <w:rPr>
                <w:rFonts w:hint="eastAsia" w:ascii="宋体" w:hAnsi="宋体"/>
              </w:rPr>
            </w:pPr>
          </w:p>
        </w:tc>
      </w:tr>
      <w:tr w14:paraId="2C4B2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118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403D52">
            <w:pPr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8DBA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合同期内</w:t>
            </w:r>
            <w:r>
              <w:rPr>
                <w:rFonts w:hint="eastAsia"/>
                <w:lang w:eastAsia="zh-CN"/>
              </w:rPr>
              <w:t>申请的</w:t>
            </w:r>
            <w:r>
              <w:rPr>
                <w:rFonts w:hint="eastAsia"/>
              </w:rPr>
              <w:t>发明专利</w:t>
            </w:r>
            <w:r>
              <w:rPr>
                <w:rFonts w:hint="eastAsia"/>
                <w:lang w:eastAsia="zh-CN"/>
              </w:rPr>
              <w:t>的</w:t>
            </w:r>
            <w:r>
              <w:rPr>
                <w:rFonts w:hint="eastAsia"/>
              </w:rPr>
              <w:t>审查意见答复及时性</w:t>
            </w:r>
            <w:r>
              <w:rPr>
                <w:rFonts w:hint="eastAsia"/>
                <w:lang w:eastAsia="zh-CN"/>
              </w:rPr>
              <w:t>（定义：从代理机构收到审查意见通知书之日起，至提交意见陈述书之日止的时长，单位为天。）</w:t>
            </w:r>
          </w:p>
          <w:p w14:paraId="67A6C1B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证明材料：</w:t>
            </w:r>
          </w:p>
          <w:p w14:paraId="6B23A44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1、</w:t>
            </w:r>
            <w:r>
              <w:rPr>
                <w:rFonts w:hint="eastAsia"/>
              </w:rPr>
              <w:t>OA清单；</w:t>
            </w:r>
          </w:p>
          <w:p w14:paraId="0FE8CA9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2、</w:t>
            </w:r>
            <w:r>
              <w:rPr>
                <w:rFonts w:hint="eastAsia"/>
              </w:rPr>
              <w:t>审查意见通知书；</w:t>
            </w:r>
          </w:p>
          <w:p w14:paraId="26DF5E6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3、</w:t>
            </w:r>
            <w:r>
              <w:rPr>
                <w:rFonts w:hint="eastAsia"/>
              </w:rPr>
              <w:t>意见陈述书；</w:t>
            </w:r>
          </w:p>
          <w:p w14:paraId="6416B90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eastAsia"/>
              </w:rPr>
              <w:t>电子提交回执截图（须显示提交日期）。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425D3">
            <w:pPr>
              <w:rPr>
                <w:rFonts w:hint="eastAsia" w:ascii="宋体" w:hAnsi="宋体"/>
                <w:lang w:val="en-US" w:eastAsia="zh-CN"/>
              </w:rPr>
            </w:pPr>
          </w:p>
          <w:p w14:paraId="79322EB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本项满分为15分，采用扣分制。</w:t>
            </w:r>
          </w:p>
          <w:p w14:paraId="603A8D9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1、一通答复时长超过30天，或二通及后续答复时长超过20天的，每件申请、每次超时扣0.5分。</w:t>
            </w:r>
          </w:p>
          <w:p w14:paraId="569C3CEF">
            <w:pPr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2、逾期未答复导致申请被视为撤回的，每件扣5分。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A642B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[0,15]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50DF9F0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21B590C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2DEE3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  <w:jc w:val="center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49F6B5D"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其他</w:t>
            </w: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30A03">
            <w:pP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未备案代理师承接代理业务</w:t>
            </w:r>
          </w:p>
          <w:p w14:paraId="64D5C426">
            <w:pP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证明材料：</w:t>
            </w:r>
          </w:p>
          <w:p w14:paraId="609EE623">
            <w:pP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1、专利申请清单（须包含代理师姓名字段）；</w:t>
            </w:r>
          </w:p>
          <w:p w14:paraId="24ED5C4B">
            <w:pPr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2、专利代理师备案名单。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EBEE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本项满分为5分，采用扣分制。</w:t>
            </w:r>
          </w:p>
          <w:p w14:paraId="078BACB5">
            <w:pPr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发生未备案的专利代理师承接专利申请代理业务的，每件申请扣0.5分。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E8D8A"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[0,5]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554D933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3FE076D">
            <w:pPr>
              <w:jc w:val="center"/>
              <w:rPr>
                <w:rFonts w:hint="eastAsia" w:ascii="宋体" w:hAnsi="宋体"/>
              </w:rPr>
            </w:pPr>
          </w:p>
        </w:tc>
      </w:tr>
      <w:tr w14:paraId="45494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  <w:jc w:val="center"/>
        </w:trPr>
        <w:tc>
          <w:tcPr>
            <w:tcW w:w="118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09F0FE">
            <w:pPr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E9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代理师当月代理总量。</w:t>
            </w:r>
          </w:p>
          <w:p w14:paraId="61E52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考核规则：</w:t>
            </w:r>
          </w:p>
          <w:p w14:paraId="724BF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1、当月为招标人提供过代理服务的专利代理师，纳入考核范围；</w:t>
            </w:r>
          </w:p>
          <w:p w14:paraId="4CE0F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2、代理总量指该代理师当月向国家知识产权局提交的专利申请总数（含招标人及其他单位的申请）。</w:t>
            </w:r>
          </w:p>
          <w:p w14:paraId="472CC8A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证明材料：</w:t>
            </w:r>
          </w:p>
          <w:p w14:paraId="678B304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1、专利申请清单（须包含代理师姓名字段）；</w:t>
            </w:r>
          </w:p>
          <w:p w14:paraId="756D1FC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2、专利代理师备案名单；</w:t>
            </w:r>
          </w:p>
          <w:p w14:paraId="5CE9518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3、专利代理师月度代理量统计表。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E308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本项满分为10分，采用扣分制。</w:t>
            </w:r>
          </w:p>
          <w:p w14:paraId="4DE3F7C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计分规则：</w:t>
            </w:r>
          </w:p>
          <w:p w14:paraId="3BC6930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当月为招标人提供代理服务的专利代理师，其月度专利申请代理总量超过15件的，每发生一名，扣0.5分。</w:t>
            </w:r>
          </w:p>
          <w:p w14:paraId="57892E8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特别说明：</w:t>
            </w:r>
          </w:p>
          <w:p w14:paraId="7232678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如中标人（乙方）提供虚假证明材料，本项得分为0分。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F672D"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[0,10]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F9BE4C0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2742326">
            <w:pPr>
              <w:jc w:val="center"/>
              <w:rPr>
                <w:rFonts w:hint="eastAsia" w:ascii="宋体" w:hAnsi="宋体"/>
              </w:rPr>
            </w:pPr>
          </w:p>
        </w:tc>
      </w:tr>
      <w:tr w14:paraId="6F987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  <w:jc w:val="center"/>
        </w:trPr>
        <w:tc>
          <w:tcPr>
            <w:tcW w:w="118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4870CC">
            <w:pPr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3BAE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专利年费监测及代缴。</w:t>
            </w:r>
          </w:p>
          <w:p w14:paraId="0A0905E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考核标准：中标人应按时完成专利年费的监测及代缴，确保不产生滞纳金，不因未缴费或逾期缴费导致专利权丧失。</w:t>
            </w:r>
          </w:p>
          <w:p w14:paraId="248A0712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证明材料：专利年费缴纳清单（须列明专利号、缴费期限、缴费日期、缴费状态等信息）。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FE67B">
            <w:pPr>
              <w:rPr>
                <w:rFonts w:hint="eastAsia"/>
              </w:rPr>
            </w:pPr>
            <w:r>
              <w:rPr>
                <w:rFonts w:hint="eastAsia"/>
              </w:rPr>
              <w:t>计分规则：本项满分为6分，采用扣分制，最低得分为-6分。</w:t>
            </w:r>
          </w:p>
          <w:p w14:paraId="208029E4">
            <w:pPr>
              <w:rPr>
                <w:rFonts w:hint="eastAsia"/>
              </w:rPr>
            </w:pPr>
            <w:r>
              <w:rPr>
                <w:rFonts w:hint="eastAsia"/>
              </w:rPr>
              <w:t>因</w:t>
            </w:r>
            <w:r>
              <w:rPr>
                <w:rFonts w:hint="eastAsia"/>
                <w:lang w:eastAsia="zh-CN"/>
              </w:rPr>
              <w:t>中标人</w:t>
            </w:r>
            <w:r>
              <w:rPr>
                <w:rFonts w:hint="eastAsia"/>
              </w:rPr>
              <w:t>原因产生滞纳金的，每件扣0.2分；</w:t>
            </w:r>
          </w:p>
          <w:p w14:paraId="7946BF0C">
            <w:pPr>
              <w:rPr>
                <w:rFonts w:hint="eastAsia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因</w:t>
            </w:r>
            <w:r>
              <w:rPr>
                <w:rFonts w:hint="eastAsia"/>
                <w:lang w:eastAsia="zh-CN"/>
              </w:rPr>
              <w:t>中标人</w:t>
            </w:r>
            <w:r>
              <w:rPr>
                <w:rFonts w:hint="eastAsia"/>
              </w:rPr>
              <w:t>原因导致专利权丧失的，每件扣6分。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488B9"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[-6,6]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D36BB1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7AA1F6">
            <w:pPr>
              <w:jc w:val="center"/>
              <w:rPr>
                <w:rFonts w:hint="eastAsia" w:ascii="宋体" w:hAnsi="宋体"/>
              </w:rPr>
            </w:pPr>
          </w:p>
        </w:tc>
      </w:tr>
      <w:tr w14:paraId="60247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  <w:jc w:val="center"/>
        </w:trPr>
        <w:tc>
          <w:tcPr>
            <w:tcW w:w="118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D24EB3C">
            <w:pPr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29D5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有效投诉</w:t>
            </w:r>
            <w:r>
              <w:rPr>
                <w:rFonts w:hint="eastAsia"/>
                <w:lang w:eastAsia="zh-CN"/>
              </w:rPr>
              <w:t>。</w:t>
            </w:r>
          </w:p>
          <w:p w14:paraId="15041AB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考核标准：年度考核期间，各单位发出的经核实成立的有效投诉</w:t>
            </w:r>
            <w:r>
              <w:rPr>
                <w:rFonts w:hint="eastAsia"/>
                <w:lang w:eastAsia="zh-CN"/>
              </w:rPr>
              <w:t>。</w:t>
            </w:r>
          </w:p>
          <w:p w14:paraId="7B4649F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证明材料：《投诉处理单》（须包含投诉事项、处理结果、核实情况等信息）。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19C9B">
            <w:pPr>
              <w:rPr>
                <w:rFonts w:hint="eastAsia"/>
              </w:rPr>
            </w:pPr>
            <w:r>
              <w:rPr>
                <w:rFonts w:hint="eastAsia"/>
              </w:rPr>
              <w:t>本项满分为3分，采用扣分制。</w:t>
            </w:r>
          </w:p>
          <w:p w14:paraId="1656F773">
            <w:pPr>
              <w:rPr>
                <w:rFonts w:hint="eastAsia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计分规则：经各单位核实的有效投诉，每起扣0.5分。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F0954"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lang w:val="en-US" w:eastAsia="zh-CN" w:bidi="ar-SA"/>
              </w:rPr>
              <w:t>[0,3]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7785CA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67E196A">
            <w:pPr>
              <w:jc w:val="center"/>
              <w:rPr>
                <w:rFonts w:hint="eastAsia" w:ascii="宋体" w:hAnsi="宋体"/>
              </w:rPr>
            </w:pPr>
          </w:p>
        </w:tc>
      </w:tr>
      <w:tr w14:paraId="3E56C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8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757E3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</w:rPr>
              <w:t>年度</w:t>
            </w:r>
            <w:r>
              <w:rPr>
                <w:rFonts w:hint="eastAsia" w:ascii="宋体" w:hAnsi="宋体"/>
                <w:lang w:val="en-US" w:eastAsia="zh-CN"/>
              </w:rPr>
              <w:t>履约</w:t>
            </w:r>
            <w:r>
              <w:rPr>
                <w:rFonts w:hint="eastAsia" w:ascii="宋体" w:hAnsi="宋体"/>
              </w:rPr>
              <w:t>评价</w:t>
            </w:r>
            <w:r>
              <w:rPr>
                <w:rFonts w:hint="eastAsia" w:ascii="宋体" w:hAnsi="宋体"/>
                <w:lang w:val="en-US" w:eastAsia="zh-CN"/>
              </w:rPr>
              <w:t>总</w:t>
            </w:r>
            <w:r>
              <w:rPr>
                <w:rFonts w:hint="eastAsia" w:ascii="宋体" w:hAnsi="宋体"/>
              </w:rPr>
              <w:t>分</w:t>
            </w:r>
            <w:r>
              <w:rPr>
                <w:rFonts w:hint="eastAsia" w:ascii="宋体" w:hAnsi="宋体"/>
                <w:lang w:val="en-US" w:eastAsia="zh-CN"/>
              </w:rPr>
              <w:t>=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∑</w:t>
            </w:r>
            <w:r>
              <w:rPr>
                <w:rFonts w:hint="eastAsia" w:ascii="宋体" w:hAnsi="宋体"/>
                <w:lang w:val="en-US" w:eastAsia="zh-CN"/>
              </w:rPr>
              <w:t>考核得分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709EE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F6C38">
            <w:pPr>
              <w:jc w:val="center"/>
              <w:rPr>
                <w:rFonts w:hint="eastAsia" w:ascii="宋体" w:hAnsi="宋体"/>
              </w:rPr>
            </w:pPr>
          </w:p>
        </w:tc>
      </w:tr>
      <w:tr w14:paraId="50128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8" w:hRule="atLeast"/>
          <w:jc w:val="center"/>
        </w:trPr>
        <w:tc>
          <w:tcPr>
            <w:tcW w:w="851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F13461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服务质量年度履约评价</w:t>
            </w:r>
            <w:r>
              <w:rPr>
                <w:rFonts w:hint="eastAsia" w:ascii="宋体" w:hAnsi="宋体"/>
                <w:lang w:val="en-US" w:eastAsia="zh-CN"/>
              </w:rPr>
              <w:t>结论</w:t>
            </w:r>
            <w:r>
              <w:rPr>
                <w:rFonts w:hint="eastAsia" w:ascii="宋体" w:hAnsi="宋体"/>
              </w:rPr>
              <w:t>：</w:t>
            </w:r>
          </w:p>
          <w:p w14:paraId="52D5BC92">
            <w:pPr>
              <w:rPr>
                <w:rFonts w:hint="eastAsia" w:ascii="宋体" w:hAnsi="宋体"/>
              </w:rPr>
            </w:pPr>
          </w:p>
          <w:p w14:paraId="02975CDD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eastAsia" w:ascii="宋体" w:hAnsi="宋体"/>
                <w:lang w:val="en-US" w:eastAsia="zh-CN"/>
              </w:rPr>
              <w:t>年度履约评价总</w:t>
            </w:r>
            <w:r>
              <w:rPr>
                <w:rFonts w:hint="eastAsia" w:ascii="宋体" w:hAnsi="宋体"/>
              </w:rPr>
              <w:t>分为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eastAsia" w:ascii="宋体" w:hAnsi="宋体"/>
              </w:rPr>
              <w:t>分，属于：</w:t>
            </w:r>
          </w:p>
          <w:p w14:paraId="611810B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[0分，</w:t>
            </w:r>
            <w:r>
              <w:rPr>
                <w:rFonts w:hint="eastAsia" w:ascii="宋体" w:hAnsi="宋体"/>
                <w:lang w:val="en-US" w:eastAsia="zh-CN"/>
              </w:rPr>
              <w:t>60</w:t>
            </w:r>
            <w:r>
              <w:rPr>
                <w:rFonts w:hint="eastAsia" w:ascii="宋体" w:hAnsi="宋体"/>
              </w:rPr>
              <w:t>分</w:t>
            </w:r>
            <w:r>
              <w:rPr>
                <w:rFonts w:hint="eastAsia" w:ascii="宋体" w:hAnsi="宋体"/>
                <w:lang w:val="en-US" w:eastAsia="zh-CN"/>
              </w:rPr>
              <w:t>)</w:t>
            </w:r>
            <w:r>
              <w:rPr>
                <w:rFonts w:hint="eastAsia" w:ascii="宋体" w:hAnsi="宋体"/>
              </w:rPr>
              <w:t xml:space="preserve"> 不合格 （</w:t>
            </w:r>
            <w:r>
              <w:rPr>
                <w:rFonts w:hint="eastAsia" w:hAnsi="宋体"/>
              </w:rPr>
              <w:t xml:space="preserve"> </w:t>
            </w:r>
            <w:r>
              <w:rPr>
                <w:rFonts w:cs="Calibri"/>
              </w:rPr>
              <w:t xml:space="preserve">  </w:t>
            </w:r>
            <w:r>
              <w:rPr>
                <w:rFonts w:hint="eastAsia" w:ascii="宋体" w:hAnsi="宋体"/>
              </w:rPr>
              <w:t>）        [60分，</w:t>
            </w:r>
            <w:r>
              <w:rPr>
                <w:rFonts w:hint="eastAsia" w:ascii="宋体" w:hAnsi="宋体"/>
                <w:lang w:val="en-US" w:eastAsia="zh-CN"/>
              </w:rPr>
              <w:t>80</w:t>
            </w:r>
            <w:r>
              <w:rPr>
                <w:rFonts w:hint="eastAsia" w:ascii="宋体" w:hAnsi="宋体"/>
              </w:rPr>
              <w:t>分</w:t>
            </w:r>
            <w:r>
              <w:rPr>
                <w:rFonts w:hint="eastAsia" w:ascii="宋体" w:hAnsi="宋体"/>
                <w:lang w:val="en-US" w:eastAsia="zh-CN"/>
              </w:rPr>
              <w:t>)</w:t>
            </w:r>
            <w:r>
              <w:rPr>
                <w:rFonts w:hint="eastAsia" w:ascii="宋体" w:hAnsi="宋体"/>
              </w:rPr>
              <w:t xml:space="preserve">  </w:t>
            </w:r>
            <w:r>
              <w:rPr>
                <w:rFonts w:hint="eastAsia" w:ascii="宋体" w:hAnsi="宋体"/>
                <w:lang w:val="en-US" w:eastAsia="zh-CN"/>
              </w:rPr>
              <w:t>一般</w:t>
            </w:r>
            <w:r>
              <w:rPr>
                <w:rFonts w:hint="eastAsia" w:ascii="宋体" w:hAnsi="宋体"/>
              </w:rPr>
              <w:t>（</w:t>
            </w:r>
            <w:r>
              <w:rPr>
                <w:rFonts w:hint="eastAsia" w:hAnsi="宋体"/>
              </w:rPr>
              <w:t xml:space="preserve"> </w:t>
            </w:r>
            <w:r>
              <w:rPr>
                <w:rFonts w:cs="Calibri"/>
              </w:rPr>
              <w:t xml:space="preserve">  </w:t>
            </w:r>
            <w:r>
              <w:rPr>
                <w:rFonts w:hint="eastAsia" w:ascii="宋体" w:hAnsi="宋体"/>
              </w:rPr>
              <w:t>）</w:t>
            </w:r>
          </w:p>
          <w:p w14:paraId="6020B10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[</w:t>
            </w:r>
            <w:r>
              <w:rPr>
                <w:rFonts w:hint="eastAsia" w:ascii="宋体" w:hAnsi="宋体"/>
                <w:lang w:val="en-US" w:eastAsia="zh-CN"/>
              </w:rPr>
              <w:t>80</w:t>
            </w:r>
            <w:r>
              <w:rPr>
                <w:rFonts w:hint="eastAsia" w:ascii="宋体" w:hAnsi="宋体"/>
              </w:rPr>
              <w:t>分，</w:t>
            </w:r>
            <w:r>
              <w:rPr>
                <w:rFonts w:hint="eastAsia" w:ascii="宋体" w:hAnsi="宋体"/>
                <w:lang w:val="en-US" w:eastAsia="zh-CN"/>
              </w:rPr>
              <w:t>100</w:t>
            </w:r>
            <w:r>
              <w:rPr>
                <w:rFonts w:hint="eastAsia" w:ascii="宋体" w:hAnsi="宋体"/>
              </w:rPr>
              <w:t>分</w:t>
            </w:r>
            <w:r>
              <w:rPr>
                <w:rFonts w:hint="eastAsia" w:ascii="宋体" w:hAnsi="宋体"/>
                <w:lang w:val="en-US" w:eastAsia="zh-CN"/>
              </w:rPr>
              <w:t>] 良好</w:t>
            </w:r>
            <w:r>
              <w:rPr>
                <w:rFonts w:hint="eastAsia" w:ascii="宋体" w:hAnsi="宋体"/>
              </w:rPr>
              <w:t xml:space="preserve"> （</w:t>
            </w:r>
            <w:r>
              <w:rPr>
                <w:rFonts w:hint="eastAsia" w:hAnsi="宋体"/>
              </w:rPr>
              <w:t xml:space="preserve"> </w:t>
            </w:r>
            <w:r>
              <w:rPr>
                <w:rFonts w:cs="Calibri"/>
              </w:rPr>
              <w:t xml:space="preserve">  </w:t>
            </w:r>
            <w:r>
              <w:rPr>
                <w:rFonts w:hint="eastAsia" w:ascii="宋体" w:hAnsi="宋体"/>
              </w:rPr>
              <w:t>）</w:t>
            </w:r>
          </w:p>
          <w:p w14:paraId="4711C74A">
            <w:pPr>
              <w:jc w:val="left"/>
              <w:rPr>
                <w:rFonts w:hint="eastAsia" w:ascii="宋体" w:hAnsi="宋体"/>
              </w:rPr>
            </w:pPr>
          </w:p>
          <w:p w14:paraId="61AE3594">
            <w:pPr>
              <w:jc w:val="left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      结算规则执行：</w:t>
            </w:r>
          </w:p>
          <w:p w14:paraId="7FC9534C">
            <w:pPr>
              <w:ind w:firstLine="630" w:firstLineChars="300"/>
              <w:jc w:val="left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>（</w:t>
            </w:r>
            <w:r>
              <w:rPr>
                <w:rFonts w:hint="eastAsia" w:hAnsi="宋体"/>
              </w:rPr>
              <w:t xml:space="preserve"> </w:t>
            </w:r>
            <w:r>
              <w:rPr>
                <w:rFonts w:cs="Calibri"/>
              </w:rPr>
              <w:t xml:space="preserve">  </w:t>
            </w:r>
            <w:r>
              <w:rPr>
                <w:rFonts w:hint="eastAsia" w:ascii="宋体" w:hAnsi="宋体"/>
              </w:rPr>
              <w:t>）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default" w:ascii="宋体" w:hAnsi="宋体"/>
                <w:lang w:val="en-US" w:eastAsia="zh-CN"/>
              </w:rPr>
              <w:t>年度执行结算方式一</w:t>
            </w:r>
            <w:r>
              <w:rPr>
                <w:rFonts w:hint="eastAsia" w:ascii="宋体" w:hAnsi="宋体"/>
                <w:lang w:val="en-US" w:eastAsia="zh-CN"/>
              </w:rPr>
              <w:t>（</w:t>
            </w:r>
            <w:r>
              <w:rPr>
                <w:rFonts w:hint="default" w:ascii="宋体" w:hAnsi="宋体"/>
                <w:lang w:val="en-US" w:eastAsia="zh-CN"/>
              </w:rPr>
              <w:t>首款 = 发明专利申请代理业务服务费单价×0.8；尾款 = 发明专利申请代理业务服务费单价×0.2</w:t>
            </w:r>
            <w:r>
              <w:rPr>
                <w:rFonts w:hint="eastAsia" w:ascii="宋体" w:hAnsi="宋体"/>
                <w:lang w:val="en-US" w:eastAsia="zh-CN"/>
              </w:rPr>
              <w:t>）</w:t>
            </w:r>
            <w:r>
              <w:rPr>
                <w:rFonts w:hint="default" w:ascii="宋体" w:hAnsi="宋体"/>
                <w:lang w:val="en-US" w:eastAsia="zh-CN"/>
              </w:rPr>
              <w:t>；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default" w:ascii="宋体" w:hAnsi="宋体"/>
                <w:lang w:val="en-US" w:eastAsia="zh-CN"/>
              </w:rPr>
              <w:t>年度的每件发明专利申请代理业务服务费尾款=全额尾款。</w:t>
            </w:r>
          </w:p>
          <w:p w14:paraId="4C1849FB">
            <w:pPr>
              <w:ind w:firstLine="630" w:firstLineChars="300"/>
              <w:jc w:val="left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>（</w:t>
            </w:r>
            <w:r>
              <w:rPr>
                <w:rFonts w:hint="eastAsia" w:hAnsi="宋体"/>
              </w:rPr>
              <w:t xml:space="preserve"> </w:t>
            </w:r>
            <w:r>
              <w:rPr>
                <w:rFonts w:cs="Calibri"/>
              </w:rPr>
              <w:t xml:space="preserve">  </w:t>
            </w:r>
            <w:r>
              <w:rPr>
                <w:rFonts w:hint="eastAsia" w:ascii="宋体" w:hAnsi="宋体"/>
              </w:rPr>
              <w:t>）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default" w:ascii="宋体" w:hAnsi="宋体"/>
                <w:lang w:val="en-US" w:eastAsia="zh-CN"/>
              </w:rPr>
              <w:t>年度执行结算方式</w:t>
            </w:r>
            <w:r>
              <w:rPr>
                <w:rFonts w:hint="eastAsia" w:ascii="宋体" w:hAnsi="宋体"/>
                <w:lang w:val="en-US" w:eastAsia="zh-CN"/>
              </w:rPr>
              <w:t>二（</w:t>
            </w:r>
            <w:r>
              <w:rPr>
                <w:rFonts w:hint="default" w:ascii="宋体" w:hAnsi="宋体"/>
                <w:lang w:val="en-US" w:eastAsia="zh-CN"/>
              </w:rPr>
              <w:t>首款 = 发明专利申请代理业务服务费单价×0.</w:t>
            </w:r>
            <w:r>
              <w:rPr>
                <w:rFonts w:hint="eastAsia" w:ascii="宋体" w:hAnsi="宋体"/>
                <w:lang w:val="en-US" w:eastAsia="zh-CN"/>
              </w:rPr>
              <w:t>7</w:t>
            </w:r>
            <w:r>
              <w:rPr>
                <w:rFonts w:hint="default" w:ascii="宋体" w:hAnsi="宋体"/>
                <w:lang w:val="en-US" w:eastAsia="zh-CN"/>
              </w:rPr>
              <w:t>；尾款 = 发明专利申请代理业务服务费单价×0.</w:t>
            </w:r>
            <w:r>
              <w:rPr>
                <w:rFonts w:hint="eastAsia" w:ascii="宋体" w:hAnsi="宋体"/>
                <w:lang w:val="en-US" w:eastAsia="zh-CN"/>
              </w:rPr>
              <w:t>3）</w:t>
            </w:r>
            <w:r>
              <w:rPr>
                <w:rFonts w:hint="default" w:ascii="宋体" w:hAnsi="宋体"/>
                <w:lang w:val="en-US" w:eastAsia="zh-CN"/>
              </w:rPr>
              <w:t>；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default" w:ascii="宋体" w:hAnsi="宋体"/>
                <w:lang w:val="en-US" w:eastAsia="zh-CN"/>
              </w:rPr>
              <w:t>年度的每件发明专利申请代理业务服务费尾款=全额尾款×0.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default" w:ascii="宋体" w:hAnsi="宋体"/>
                <w:lang w:val="en-US" w:eastAsia="zh-CN"/>
              </w:rPr>
              <w:t>。</w:t>
            </w:r>
          </w:p>
          <w:p w14:paraId="036159C7">
            <w:pPr>
              <w:ind w:firstLine="630" w:firstLineChars="300"/>
              <w:jc w:val="left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>（</w:t>
            </w:r>
            <w:r>
              <w:rPr>
                <w:rFonts w:hint="eastAsia" w:hAnsi="宋体"/>
              </w:rPr>
              <w:t xml:space="preserve"> </w:t>
            </w:r>
            <w:r>
              <w:rPr>
                <w:rFonts w:cs="Calibri"/>
              </w:rPr>
              <w:t xml:space="preserve">  </w:t>
            </w:r>
            <w:r>
              <w:rPr>
                <w:rFonts w:hint="eastAsia" w:ascii="宋体" w:hAnsi="宋体"/>
              </w:rPr>
              <w:t>）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default" w:ascii="宋体" w:hAnsi="宋体"/>
                <w:lang w:val="en-US" w:eastAsia="zh-CN"/>
              </w:rPr>
              <w:t>年度执行结算方式</w:t>
            </w:r>
            <w:r>
              <w:rPr>
                <w:rFonts w:hint="eastAsia" w:ascii="宋体" w:hAnsi="宋体"/>
                <w:lang w:val="en-US" w:eastAsia="zh-CN"/>
              </w:rPr>
              <w:t>二（</w:t>
            </w:r>
            <w:r>
              <w:rPr>
                <w:rFonts w:hint="default" w:ascii="宋体" w:hAnsi="宋体"/>
                <w:lang w:val="en-US" w:eastAsia="zh-CN"/>
              </w:rPr>
              <w:t>首款 = 发明专利申请代理业务服务费单价×0.</w:t>
            </w:r>
            <w:r>
              <w:rPr>
                <w:rFonts w:hint="eastAsia" w:ascii="宋体" w:hAnsi="宋体"/>
                <w:lang w:val="en-US" w:eastAsia="zh-CN"/>
              </w:rPr>
              <w:t>7</w:t>
            </w:r>
            <w:r>
              <w:rPr>
                <w:rFonts w:hint="default" w:ascii="宋体" w:hAnsi="宋体"/>
                <w:lang w:val="en-US" w:eastAsia="zh-CN"/>
              </w:rPr>
              <w:t>；尾款 = 发明专利申请代理业务服务费单价×0.</w:t>
            </w:r>
            <w:r>
              <w:rPr>
                <w:rFonts w:hint="eastAsia" w:ascii="宋体" w:hAnsi="宋体"/>
                <w:lang w:val="en-US" w:eastAsia="zh-CN"/>
              </w:rPr>
              <w:t>3）</w:t>
            </w:r>
            <w:r>
              <w:rPr>
                <w:rFonts w:hint="default" w:ascii="宋体" w:hAnsi="宋体"/>
                <w:lang w:val="en-US" w:eastAsia="zh-CN"/>
              </w:rPr>
              <w:t>；</w:t>
            </w:r>
            <w:r>
              <w:rPr>
                <w:rFonts w:hint="eastAsia" w:ascii="宋体" w:hAnsi="宋体"/>
                <w:lang w:eastAsia="zh-CN"/>
              </w:rPr>
              <w:t>【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】</w:t>
            </w:r>
            <w:r>
              <w:rPr>
                <w:rFonts w:hint="default" w:ascii="宋体" w:hAnsi="宋体"/>
                <w:lang w:val="en-US" w:eastAsia="zh-CN"/>
              </w:rPr>
              <w:t>年度的每件发明专利申请代理业务服务费尾款=全额尾款×0.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default" w:ascii="宋体" w:hAnsi="宋体"/>
                <w:lang w:val="en-US" w:eastAsia="zh-CN"/>
              </w:rPr>
              <w:t>。</w:t>
            </w:r>
          </w:p>
          <w:p w14:paraId="6C6855DE">
            <w:pPr>
              <w:jc w:val="left"/>
              <w:rPr>
                <w:rFonts w:hint="eastAsia" w:ascii="宋体" w:hAnsi="宋体"/>
                <w:lang w:val="en-US" w:eastAsia="zh-CN"/>
              </w:rPr>
            </w:pPr>
          </w:p>
          <w:p w14:paraId="302270E6">
            <w:pPr>
              <w:jc w:val="left"/>
              <w:rPr>
                <w:rFonts w:hint="default" w:ascii="宋体" w:hAnsi="宋体"/>
                <w:lang w:val="en-US" w:eastAsia="zh-CN"/>
              </w:rPr>
            </w:pPr>
          </w:p>
          <w:p w14:paraId="1A34BA1C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   评价</w:t>
            </w:r>
            <w:r>
              <w:rPr>
                <w:rFonts w:hint="eastAsia" w:ascii="宋体" w:hAnsi="宋体"/>
                <w:lang w:val="en-US" w:eastAsia="zh-CN"/>
              </w:rPr>
              <w:t>单位（盖章）</w:t>
            </w:r>
            <w:r>
              <w:rPr>
                <w:rFonts w:hint="eastAsia" w:ascii="宋体" w:hAnsi="宋体"/>
              </w:rPr>
              <w:t>：</w:t>
            </w:r>
          </w:p>
          <w:p w14:paraId="50396EE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       </w:t>
            </w:r>
          </w:p>
          <w:p w14:paraId="1EDE12D5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                 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 xml:space="preserve">  年  月   日                                                                    </w:t>
            </w:r>
          </w:p>
        </w:tc>
      </w:tr>
    </w:tbl>
    <w:p w14:paraId="741F0B0F">
      <w:pPr>
        <w:pStyle w:val="3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961EB3"/>
    <w:multiLevelType w:val="singleLevel"/>
    <w:tmpl w:val="AF961EB3"/>
    <w:lvl w:ilvl="0" w:tentative="0">
      <w:start w:val="1"/>
      <w:numFmt w:val="bullet"/>
      <w:lvlText w:val="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DEA72F97"/>
    <w:multiLevelType w:val="singleLevel"/>
    <w:tmpl w:val="DEA72F9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1E7F7C87"/>
    <w:multiLevelType w:val="singleLevel"/>
    <w:tmpl w:val="1E7F7C87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4448471E"/>
    <w:multiLevelType w:val="singleLevel"/>
    <w:tmpl w:val="4448471E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656D6FD"/>
    <w:multiLevelType w:val="singleLevel"/>
    <w:tmpl w:val="6656D6F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yN2RkMTQxNTgzMDhkNTAyNzgwNTAzMDMyOWViZTMifQ=="/>
  </w:docVars>
  <w:rsids>
    <w:rsidRoot w:val="3FF15526"/>
    <w:rsid w:val="000A1091"/>
    <w:rsid w:val="00CB78E6"/>
    <w:rsid w:val="011170BC"/>
    <w:rsid w:val="018D2FB6"/>
    <w:rsid w:val="019D3277"/>
    <w:rsid w:val="026E2AF7"/>
    <w:rsid w:val="04261197"/>
    <w:rsid w:val="052D340B"/>
    <w:rsid w:val="05461B09"/>
    <w:rsid w:val="05C1727E"/>
    <w:rsid w:val="068C5C42"/>
    <w:rsid w:val="07AF4E80"/>
    <w:rsid w:val="08F700C0"/>
    <w:rsid w:val="09B56BA3"/>
    <w:rsid w:val="0AE24082"/>
    <w:rsid w:val="0B6B4077"/>
    <w:rsid w:val="0D7630A2"/>
    <w:rsid w:val="10294D09"/>
    <w:rsid w:val="1139662E"/>
    <w:rsid w:val="11D20449"/>
    <w:rsid w:val="11D61077"/>
    <w:rsid w:val="12581F56"/>
    <w:rsid w:val="129C15C7"/>
    <w:rsid w:val="12BC6A54"/>
    <w:rsid w:val="130D52FC"/>
    <w:rsid w:val="13E45FC0"/>
    <w:rsid w:val="13F55513"/>
    <w:rsid w:val="151E412B"/>
    <w:rsid w:val="15B605E5"/>
    <w:rsid w:val="161812A0"/>
    <w:rsid w:val="167B6C0E"/>
    <w:rsid w:val="17752828"/>
    <w:rsid w:val="18622403"/>
    <w:rsid w:val="18B46ED9"/>
    <w:rsid w:val="18F57491"/>
    <w:rsid w:val="19AD2A35"/>
    <w:rsid w:val="19F24478"/>
    <w:rsid w:val="1AB5480A"/>
    <w:rsid w:val="1B3847A4"/>
    <w:rsid w:val="1DD64921"/>
    <w:rsid w:val="1E5866DD"/>
    <w:rsid w:val="21713547"/>
    <w:rsid w:val="21B37D82"/>
    <w:rsid w:val="22022C7A"/>
    <w:rsid w:val="226A32CF"/>
    <w:rsid w:val="22ED6079"/>
    <w:rsid w:val="22FE7BDC"/>
    <w:rsid w:val="23056708"/>
    <w:rsid w:val="23CF552F"/>
    <w:rsid w:val="23FB1925"/>
    <w:rsid w:val="243C25FD"/>
    <w:rsid w:val="25F70369"/>
    <w:rsid w:val="26EB275D"/>
    <w:rsid w:val="28C83E97"/>
    <w:rsid w:val="29986528"/>
    <w:rsid w:val="2A22120A"/>
    <w:rsid w:val="2AD679EE"/>
    <w:rsid w:val="2B7A00B5"/>
    <w:rsid w:val="2C6D5F56"/>
    <w:rsid w:val="2D2C32D2"/>
    <w:rsid w:val="2DC24384"/>
    <w:rsid w:val="2E01663B"/>
    <w:rsid w:val="2E677516"/>
    <w:rsid w:val="2E937D71"/>
    <w:rsid w:val="2EC0432B"/>
    <w:rsid w:val="2EEB0FF2"/>
    <w:rsid w:val="30650573"/>
    <w:rsid w:val="313F54DB"/>
    <w:rsid w:val="321737BD"/>
    <w:rsid w:val="331F494B"/>
    <w:rsid w:val="339462A7"/>
    <w:rsid w:val="34E84BDA"/>
    <w:rsid w:val="35335357"/>
    <w:rsid w:val="353A2171"/>
    <w:rsid w:val="35EF25D5"/>
    <w:rsid w:val="36116540"/>
    <w:rsid w:val="377D0B0B"/>
    <w:rsid w:val="38A92E2B"/>
    <w:rsid w:val="397E4BCD"/>
    <w:rsid w:val="398744B6"/>
    <w:rsid w:val="3AB24305"/>
    <w:rsid w:val="3AE17129"/>
    <w:rsid w:val="3AF074B7"/>
    <w:rsid w:val="3B8013C1"/>
    <w:rsid w:val="3BAC67C3"/>
    <w:rsid w:val="3C512595"/>
    <w:rsid w:val="3C842CA0"/>
    <w:rsid w:val="3CD53F90"/>
    <w:rsid w:val="3E8D2DBC"/>
    <w:rsid w:val="3FE059F3"/>
    <w:rsid w:val="3FF15526"/>
    <w:rsid w:val="40923F9C"/>
    <w:rsid w:val="417D771D"/>
    <w:rsid w:val="41EC31FE"/>
    <w:rsid w:val="424A0771"/>
    <w:rsid w:val="4450223E"/>
    <w:rsid w:val="46D1294F"/>
    <w:rsid w:val="47777325"/>
    <w:rsid w:val="478E1441"/>
    <w:rsid w:val="48F32630"/>
    <w:rsid w:val="4904227D"/>
    <w:rsid w:val="495A6E90"/>
    <w:rsid w:val="4D1D5914"/>
    <w:rsid w:val="4D25196C"/>
    <w:rsid w:val="4D934E67"/>
    <w:rsid w:val="4DA46784"/>
    <w:rsid w:val="4EB7406D"/>
    <w:rsid w:val="4FAF77F3"/>
    <w:rsid w:val="50511481"/>
    <w:rsid w:val="523E4B2E"/>
    <w:rsid w:val="52AD07A4"/>
    <w:rsid w:val="549870A0"/>
    <w:rsid w:val="551E3CDA"/>
    <w:rsid w:val="555962BC"/>
    <w:rsid w:val="55C3384A"/>
    <w:rsid w:val="55CC0EDD"/>
    <w:rsid w:val="55FD3462"/>
    <w:rsid w:val="56181948"/>
    <w:rsid w:val="57EE2F83"/>
    <w:rsid w:val="596B3204"/>
    <w:rsid w:val="59AB7269"/>
    <w:rsid w:val="5A017722"/>
    <w:rsid w:val="5A23622C"/>
    <w:rsid w:val="5B1909C7"/>
    <w:rsid w:val="5B726DA5"/>
    <w:rsid w:val="5B9E6347"/>
    <w:rsid w:val="5BEA3E13"/>
    <w:rsid w:val="5E67476D"/>
    <w:rsid w:val="5E8633D0"/>
    <w:rsid w:val="5EB942A8"/>
    <w:rsid w:val="601E63BF"/>
    <w:rsid w:val="613C174A"/>
    <w:rsid w:val="62955544"/>
    <w:rsid w:val="63C74B57"/>
    <w:rsid w:val="64754794"/>
    <w:rsid w:val="64E5484E"/>
    <w:rsid w:val="65762105"/>
    <w:rsid w:val="65817895"/>
    <w:rsid w:val="65A349FE"/>
    <w:rsid w:val="65DC4ACB"/>
    <w:rsid w:val="65F55B8D"/>
    <w:rsid w:val="661C136B"/>
    <w:rsid w:val="6628704C"/>
    <w:rsid w:val="66452756"/>
    <w:rsid w:val="68F4103E"/>
    <w:rsid w:val="69192D5A"/>
    <w:rsid w:val="695031E1"/>
    <w:rsid w:val="6C27045C"/>
    <w:rsid w:val="6C4F5B52"/>
    <w:rsid w:val="6DE04F74"/>
    <w:rsid w:val="6DF22EF7"/>
    <w:rsid w:val="6E0E55AB"/>
    <w:rsid w:val="6E6E5543"/>
    <w:rsid w:val="6EA13E49"/>
    <w:rsid w:val="6EB74042"/>
    <w:rsid w:val="6F0B2FF7"/>
    <w:rsid w:val="6F7A7103"/>
    <w:rsid w:val="6F960385"/>
    <w:rsid w:val="700D46BE"/>
    <w:rsid w:val="714E6C85"/>
    <w:rsid w:val="7176293A"/>
    <w:rsid w:val="71950A73"/>
    <w:rsid w:val="72F16A76"/>
    <w:rsid w:val="734A3B60"/>
    <w:rsid w:val="748D7A22"/>
    <w:rsid w:val="74C376E6"/>
    <w:rsid w:val="75330EF3"/>
    <w:rsid w:val="765E6E63"/>
    <w:rsid w:val="76AC069F"/>
    <w:rsid w:val="76F563A6"/>
    <w:rsid w:val="77E03F73"/>
    <w:rsid w:val="788D0259"/>
    <w:rsid w:val="792C00F0"/>
    <w:rsid w:val="7977097A"/>
    <w:rsid w:val="7A40469E"/>
    <w:rsid w:val="7A6C43AA"/>
    <w:rsid w:val="7AE61F2A"/>
    <w:rsid w:val="7B9749FF"/>
    <w:rsid w:val="7BF9B9FF"/>
    <w:rsid w:val="7C281644"/>
    <w:rsid w:val="7D8B70AB"/>
    <w:rsid w:val="7E225847"/>
    <w:rsid w:val="7E2B395C"/>
    <w:rsid w:val="7F043070"/>
    <w:rsid w:val="7FB2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7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9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1020</Words>
  <Characters>1072</Characters>
  <Lines>0</Lines>
  <Paragraphs>0</Paragraphs>
  <TotalTime>4</TotalTime>
  <ScaleCrop>false</ScaleCrop>
  <LinksUpToDate>false</LinksUpToDate>
  <CharactersWithSpaces>1094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2024-05-14T17:40:00Z</dcterms:created>
  <dc:creator>黄智达</dc:creator>
  <cp:lastModifiedBy>谢凝钰</cp:lastModifiedBy>
  <dcterms:modified xsi:type="dcterms:W3CDTF">2026-08-26T03:06:13Z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58D93F18CE2B44AA9C4BAEB2210C373D_13</vt:lpwstr>
  </property>
  <property fmtid="{D5CDD505-2E9C-101B-9397-08002B2CF9AE}" pid="4" name="KSOTemplateDocerSaveRecord">
    <vt:lpwstr>eyJoZGlkIjoiNDMxODQ1MjBkY2ZiOGMyODU1MTM5NTJkZjBjODQzZGYiLCJ1c2VySWQiOiI0OTM4NjIwNDEifQ==</vt:lpwstr>
  </property>
</Properties>
</file>