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Ansi="宋体" w:cs="宋体"/>
          <w:sz w:val="44"/>
          <w:szCs w:val="44"/>
        </w:rPr>
      </w:pPr>
      <w:r>
        <w:rPr>
          <w:rFonts w:ascii="黑体" w:hAnsi="黑体" w:eastAsia="黑体"/>
          <w:b/>
          <w:sz w:val="48"/>
          <w:szCs w:val="48"/>
        </w:rPr>
        <w:drawing>
          <wp:anchor distT="0" distB="0" distL="114300" distR="114300" simplePos="0" relativeHeight="251659264" behindDoc="0" locked="0" layoutInCell="1" allowOverlap="1">
            <wp:simplePos x="0" y="0"/>
            <wp:positionH relativeFrom="column">
              <wp:posOffset>-1146810</wp:posOffset>
            </wp:positionH>
            <wp:positionV relativeFrom="paragraph">
              <wp:posOffset>-920115</wp:posOffset>
            </wp:positionV>
            <wp:extent cx="7955915" cy="2593340"/>
            <wp:effectExtent l="0" t="0" r="6985" b="16510"/>
            <wp:wrapNone/>
            <wp:docPr id="4" name="图片 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模板-3"/>
                    <pic:cNvPicPr>
                      <a:picLocks noChangeAspect="1"/>
                    </pic:cNvPicPr>
                  </pic:nvPicPr>
                  <pic:blipFill>
                    <a:blip r:embed="rId10"/>
                    <a:stretch>
                      <a:fillRect/>
                    </a:stretch>
                  </pic:blipFill>
                  <pic:spPr>
                    <a:xfrm>
                      <a:off x="0" y="0"/>
                      <a:ext cx="7955915" cy="2593340"/>
                    </a:xfrm>
                    <a:prstGeom prst="rect">
                      <a:avLst/>
                    </a:prstGeom>
                    <a:noFill/>
                    <a:ln>
                      <a:noFill/>
                    </a:ln>
                  </pic:spPr>
                </pic:pic>
              </a:graphicData>
            </a:graphic>
          </wp:anchor>
        </w:drawing>
      </w: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int="default" w:hAnsi="宋体" w:cs="宋体"/>
          <w:b/>
          <w:bCs/>
          <w:sz w:val="44"/>
          <w:szCs w:val="44"/>
          <w:highlight w:val="none"/>
          <w:lang w:val="en-US" w:eastAsia="zh-CN"/>
        </w:rPr>
      </w:pPr>
    </w:p>
    <w:p>
      <w:pPr>
        <w:jc w:val="center"/>
        <w:rPr>
          <w:rFonts w:hint="eastAsia" w:hAnsi="宋体" w:eastAsia="宋体" w:cs="宋体"/>
          <w:b/>
          <w:bCs/>
          <w:color w:val="0000FF"/>
          <w:sz w:val="44"/>
          <w:szCs w:val="44"/>
          <w:highlight w:val="none"/>
          <w:lang w:eastAsia="zh-CN"/>
        </w:rPr>
      </w:pPr>
      <w:r>
        <w:rPr>
          <w:rFonts w:hint="eastAsia" w:hAnsi="宋体" w:cs="宋体"/>
          <w:b/>
          <w:bCs/>
          <w:color w:val="auto"/>
          <w:sz w:val="44"/>
          <w:szCs w:val="44"/>
          <w:highlight w:val="none"/>
          <w:lang w:eastAsia="zh-CN"/>
        </w:rPr>
        <w:t>2026年钦州网区（信息中心）生产材料项目硒鼓技术规范书</w:t>
      </w:r>
    </w:p>
    <w:p>
      <w:pPr>
        <w:jc w:val="center"/>
        <w:rPr>
          <w:rFonts w:hAnsi="宋体" w:cs="宋体"/>
          <w:color w:val="0000FF"/>
          <w:sz w:val="44"/>
          <w:szCs w:val="44"/>
        </w:rPr>
      </w:pPr>
    </w:p>
    <w:p>
      <w:pPr>
        <w:rPr>
          <w:rFonts w:hAnsi="宋体" w:cs="宋体"/>
        </w:rPr>
      </w:pPr>
    </w:p>
    <w:p>
      <w:pPr>
        <w:rPr>
          <w:rFonts w:hAnsi="宋体" w:cs="宋体"/>
        </w:rPr>
      </w:pPr>
    </w:p>
    <w:p>
      <w:pPr>
        <w:rPr>
          <w:rFonts w:hAnsi="宋体" w:cs="宋体"/>
        </w:rPr>
      </w:pPr>
    </w:p>
    <w:p>
      <w:pPr>
        <w:pStyle w:val="2"/>
        <w:rPr>
          <w:rFonts w:hAnsi="宋体" w:cs="宋体"/>
        </w:rPr>
      </w:pPr>
    </w:p>
    <w:p>
      <w:pPr>
        <w:pStyle w:val="3"/>
        <w:jc w:val="both"/>
      </w:pPr>
    </w:p>
    <w:p>
      <w:pPr>
        <w:rPr>
          <w:rFonts w:hAnsi="宋体" w:cs="宋体"/>
        </w:rPr>
      </w:pPr>
    </w:p>
    <w:p>
      <w:pPr>
        <w:rPr>
          <w:rFonts w:hAnsi="宋体" w:cs="宋体"/>
        </w:rPr>
      </w:pPr>
    </w:p>
    <w:p>
      <w:pPr>
        <w:rPr>
          <w:rFonts w:hAnsi="宋体" w:cs="宋体"/>
        </w:rPr>
      </w:pPr>
    </w:p>
    <w:p>
      <w:pPr>
        <w:rPr>
          <w:rFonts w:hAnsi="宋体" w:cs="宋体"/>
        </w:rPr>
      </w:pPr>
    </w:p>
    <w:p>
      <w:pPr>
        <w:jc w:val="center"/>
        <w:rPr>
          <w:rFonts w:hint="eastAsia" w:hAnsi="宋体" w:eastAsia="宋体" w:cs="宋体"/>
          <w:b/>
          <w:sz w:val="28"/>
          <w:szCs w:val="32"/>
          <w:lang w:eastAsia="zh-CN"/>
        </w:rPr>
      </w:pPr>
      <w:r>
        <w:rPr>
          <w:rFonts w:hint="eastAsia" w:hAnsi="宋体" w:cs="宋体"/>
          <w:b/>
          <w:sz w:val="28"/>
          <w:szCs w:val="32"/>
        </w:rPr>
        <w:t>广西电网有限责任公司</w:t>
      </w:r>
      <w:r>
        <w:rPr>
          <w:rFonts w:hint="eastAsia" w:hAnsi="宋体" w:cs="宋体"/>
          <w:b/>
          <w:sz w:val="28"/>
          <w:szCs w:val="32"/>
          <w:lang w:eastAsia="zh-CN"/>
        </w:rPr>
        <w:t>钦州供电局</w:t>
      </w:r>
    </w:p>
    <w:p>
      <w:pPr>
        <w:jc w:val="center"/>
        <w:rPr>
          <w:rFonts w:hAnsi="宋体" w:cs="宋体"/>
          <w:b/>
          <w:sz w:val="28"/>
          <w:szCs w:val="32"/>
        </w:rPr>
      </w:pPr>
      <w:r>
        <w:rPr>
          <w:rFonts w:hint="eastAsia" w:hAnsi="宋体" w:cs="宋体"/>
          <w:b/>
          <w:sz w:val="28"/>
          <w:szCs w:val="32"/>
        </w:rPr>
        <w:t>202</w:t>
      </w:r>
      <w:r>
        <w:rPr>
          <w:rFonts w:hint="eastAsia" w:hAnsi="宋体" w:cs="宋体"/>
          <w:b/>
          <w:sz w:val="28"/>
          <w:szCs w:val="32"/>
          <w:lang w:val="en-US" w:eastAsia="zh-CN"/>
        </w:rPr>
        <w:t>6</w:t>
      </w:r>
      <w:r>
        <w:rPr>
          <w:rFonts w:hint="eastAsia" w:hAnsi="宋体" w:cs="宋体"/>
          <w:b/>
          <w:sz w:val="28"/>
          <w:szCs w:val="32"/>
        </w:rPr>
        <w:t xml:space="preserve"> 年 </w:t>
      </w:r>
      <w:r>
        <w:rPr>
          <w:rFonts w:hint="eastAsia" w:hAnsi="宋体" w:cs="宋体"/>
          <w:b/>
          <w:color w:val="auto"/>
          <w:sz w:val="28"/>
          <w:szCs w:val="32"/>
          <w:lang w:val="en-US" w:eastAsia="zh-CN"/>
        </w:rPr>
        <w:t>7</w:t>
      </w:r>
      <w:r>
        <w:rPr>
          <w:rFonts w:hint="eastAsia" w:hAnsi="宋体" w:cs="宋体"/>
          <w:b/>
          <w:sz w:val="28"/>
          <w:szCs w:val="32"/>
        </w:rPr>
        <w:t>月</w:t>
      </w:r>
    </w:p>
    <w:p>
      <w:pPr>
        <w:jc w:val="center"/>
        <w:rPr>
          <w:rFonts w:hAnsi="宋体" w:cs="宋体"/>
          <w:b/>
        </w:rPr>
      </w:pPr>
      <w:r>
        <w:rPr>
          <w:rFonts w:hint="eastAsia" w:hAnsi="宋体" w:cs="宋体"/>
        </w:rPr>
        <w:br w:type="page"/>
      </w:r>
      <w:r>
        <w:rPr>
          <w:rFonts w:hint="eastAsia" w:hAnsi="宋体" w:cs="宋体"/>
          <w:b/>
          <w:sz w:val="32"/>
        </w:rPr>
        <w:t>目  录</w:t>
      </w:r>
    </w:p>
    <w:p>
      <w:pPr>
        <w:pStyle w:val="8"/>
        <w:tabs>
          <w:tab w:val="right" w:leader="dot" w:pos="8306"/>
          <w:tab w:val="clear" w:pos="8296"/>
        </w:tabs>
      </w:pPr>
      <w:r>
        <w:rPr>
          <w:rFonts w:hint="eastAsia" w:hAnsi="宋体" w:cs="宋体"/>
        </w:rPr>
        <w:fldChar w:fldCharType="begin"/>
      </w:r>
      <w:r>
        <w:rPr>
          <w:rFonts w:hint="eastAsia" w:hAnsi="宋体" w:cs="宋体"/>
        </w:rPr>
        <w:instrText xml:space="preserve"> TOC \o "1-1" \h \z \u </w:instrText>
      </w:r>
      <w:r>
        <w:rPr>
          <w:rFonts w:hint="eastAsia" w:hAnsi="宋体" w:cs="宋体"/>
        </w:rPr>
        <w:fldChar w:fldCharType="separate"/>
      </w:r>
      <w:r>
        <w:rPr>
          <w:rFonts w:hint="eastAsia" w:hAnsi="宋体" w:cs="宋体"/>
        </w:rPr>
        <w:fldChar w:fldCharType="begin"/>
      </w:r>
      <w:r>
        <w:rPr>
          <w:rFonts w:hint="eastAsia" w:hAnsi="宋体" w:cs="宋体"/>
        </w:rPr>
        <w:instrText xml:space="preserve"> HYPERLINK \l _Toc6091 </w:instrText>
      </w:r>
      <w:r>
        <w:rPr>
          <w:rFonts w:hint="eastAsia" w:hAnsi="宋体" w:cs="宋体"/>
        </w:rPr>
        <w:fldChar w:fldCharType="separate"/>
      </w:r>
      <w:r>
        <w:rPr>
          <w:rFonts w:hint="eastAsia" w:ascii="宋体" w:hAnsi="Times New Roman" w:eastAsia="宋体" w:cs="宋体"/>
          <w:i w:val="0"/>
          <w:position w:val="0"/>
          <w:szCs w:val="24"/>
        </w:rPr>
        <w:t xml:space="preserve">1 </w:t>
      </w:r>
      <w:r>
        <w:rPr>
          <w:rFonts w:hint="eastAsia" w:hAnsi="宋体" w:cs="宋体"/>
          <w:szCs w:val="24"/>
        </w:rPr>
        <w:t>总则</w:t>
      </w:r>
      <w:r>
        <w:tab/>
      </w:r>
      <w:r>
        <w:fldChar w:fldCharType="begin"/>
      </w:r>
      <w:r>
        <w:instrText xml:space="preserve"> PAGEREF _Toc6091 \h </w:instrText>
      </w:r>
      <w:r>
        <w:fldChar w:fldCharType="separate"/>
      </w:r>
      <w:r>
        <w:t>1</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_Toc17749 </w:instrText>
      </w:r>
      <w:r>
        <w:rPr>
          <w:rFonts w:hint="eastAsia" w:hAnsi="宋体" w:cs="宋体"/>
        </w:rPr>
        <w:fldChar w:fldCharType="separate"/>
      </w:r>
      <w:r>
        <w:rPr>
          <w:rFonts w:hint="eastAsia" w:ascii="宋体" w:hAnsi="Times New Roman" w:eastAsia="宋体" w:cs="宋体"/>
          <w:i w:val="0"/>
          <w:position w:val="0"/>
          <w:szCs w:val="24"/>
        </w:rPr>
        <w:t xml:space="preserve">2 </w:t>
      </w:r>
      <w:r>
        <w:rPr>
          <w:rFonts w:hint="eastAsia" w:hAnsi="宋体" w:cs="宋体"/>
          <w:szCs w:val="24"/>
        </w:rPr>
        <w:t>范围</w:t>
      </w:r>
      <w:r>
        <w:tab/>
      </w:r>
      <w:r>
        <w:fldChar w:fldCharType="begin"/>
      </w:r>
      <w:r>
        <w:instrText xml:space="preserve"> PAGEREF _Toc17749 \h </w:instrText>
      </w:r>
      <w:r>
        <w:fldChar w:fldCharType="separate"/>
      </w:r>
      <w:r>
        <w:t>2</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_Toc26887 </w:instrText>
      </w:r>
      <w:r>
        <w:rPr>
          <w:rFonts w:hint="eastAsia" w:hAnsi="宋体" w:cs="宋体"/>
        </w:rPr>
        <w:fldChar w:fldCharType="separate"/>
      </w:r>
      <w:r>
        <w:rPr>
          <w:rFonts w:hint="eastAsia" w:ascii="宋体" w:hAnsi="Times New Roman" w:eastAsia="宋体" w:cs="宋体"/>
          <w:i w:val="0"/>
          <w:position w:val="0"/>
          <w:szCs w:val="24"/>
        </w:rPr>
        <w:t xml:space="preserve">3 </w:t>
      </w:r>
      <w:r>
        <w:rPr>
          <w:rFonts w:hint="eastAsia" w:hAnsi="宋体" w:cs="宋体"/>
          <w:szCs w:val="24"/>
        </w:rPr>
        <w:t>应遵循的主要标准</w:t>
      </w:r>
      <w:r>
        <w:tab/>
      </w:r>
      <w:r>
        <w:fldChar w:fldCharType="begin"/>
      </w:r>
      <w:r>
        <w:instrText xml:space="preserve"> PAGEREF _Toc26887 \h </w:instrText>
      </w:r>
      <w:r>
        <w:fldChar w:fldCharType="separate"/>
      </w:r>
      <w:r>
        <w:t>5</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_Toc25269 </w:instrText>
      </w:r>
      <w:r>
        <w:rPr>
          <w:rFonts w:hint="eastAsia" w:hAnsi="宋体" w:cs="宋体"/>
        </w:rPr>
        <w:fldChar w:fldCharType="separate"/>
      </w:r>
      <w:r>
        <w:rPr>
          <w:rFonts w:hint="eastAsia" w:ascii="宋体" w:hAnsi="Times New Roman" w:eastAsia="宋体" w:cs="宋体"/>
          <w:i w:val="0"/>
          <w:position w:val="0"/>
          <w:szCs w:val="24"/>
        </w:rPr>
        <w:t xml:space="preserve">4 </w:t>
      </w:r>
      <w:r>
        <w:rPr>
          <w:rFonts w:hint="eastAsia" w:hAnsi="宋体" w:cs="宋体"/>
          <w:szCs w:val="24"/>
        </w:rPr>
        <w:t>使用条件</w:t>
      </w:r>
      <w:r>
        <w:tab/>
      </w:r>
      <w:r>
        <w:fldChar w:fldCharType="begin"/>
      </w:r>
      <w:r>
        <w:instrText xml:space="preserve"> PAGEREF _Toc25269 \h </w:instrText>
      </w:r>
      <w:r>
        <w:fldChar w:fldCharType="separate"/>
      </w:r>
      <w:r>
        <w:t>6</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_Toc19023 </w:instrText>
      </w:r>
      <w:r>
        <w:rPr>
          <w:rFonts w:hint="eastAsia" w:hAnsi="宋体" w:cs="宋体"/>
        </w:rPr>
        <w:fldChar w:fldCharType="separate"/>
      </w:r>
      <w:r>
        <w:rPr>
          <w:rFonts w:hint="eastAsia" w:ascii="宋体" w:hAnsi="Times New Roman" w:eastAsia="宋体" w:cs="宋体"/>
          <w:i w:val="0"/>
          <w:position w:val="0"/>
          <w:szCs w:val="24"/>
        </w:rPr>
        <w:t xml:space="preserve">5 </w:t>
      </w:r>
      <w:r>
        <w:rPr>
          <w:rFonts w:hint="eastAsia" w:hAnsi="宋体" w:cs="宋体"/>
          <w:szCs w:val="24"/>
        </w:rPr>
        <w:t>技术要求</w:t>
      </w:r>
      <w:r>
        <w:tab/>
      </w:r>
      <w:r>
        <w:fldChar w:fldCharType="begin"/>
      </w:r>
      <w:r>
        <w:instrText xml:space="preserve"> PAGEREF _Toc19023 \h </w:instrText>
      </w:r>
      <w:r>
        <w:fldChar w:fldCharType="separate"/>
      </w:r>
      <w:r>
        <w:t>6</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_Toc19652 </w:instrText>
      </w:r>
      <w:r>
        <w:rPr>
          <w:rFonts w:hint="eastAsia" w:hAnsi="宋体" w:cs="宋体"/>
        </w:rPr>
        <w:fldChar w:fldCharType="separate"/>
      </w:r>
      <w:r>
        <w:rPr>
          <w:rFonts w:hint="eastAsia" w:ascii="宋体" w:hAnsi="Times New Roman" w:eastAsia="宋体" w:cs="宋体"/>
          <w:i w:val="0"/>
          <w:position w:val="0"/>
          <w:szCs w:val="24"/>
        </w:rPr>
        <w:t xml:space="preserve">6 </w:t>
      </w:r>
      <w:r>
        <w:rPr>
          <w:rFonts w:hint="eastAsia" w:hAnsi="宋体" w:cs="宋体"/>
          <w:szCs w:val="24"/>
        </w:rPr>
        <w:t>试验及验收</w:t>
      </w:r>
      <w:r>
        <w:tab/>
      </w:r>
      <w:r>
        <w:fldChar w:fldCharType="begin"/>
      </w:r>
      <w:r>
        <w:instrText xml:space="preserve"> PAGEREF _Toc19652 \h </w:instrText>
      </w:r>
      <w:r>
        <w:fldChar w:fldCharType="separate"/>
      </w:r>
      <w:r>
        <w:t>8</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_Toc13322 </w:instrText>
      </w:r>
      <w:r>
        <w:rPr>
          <w:rFonts w:hint="eastAsia" w:hAnsi="宋体" w:cs="宋体"/>
        </w:rPr>
        <w:fldChar w:fldCharType="separate"/>
      </w:r>
      <w:r>
        <w:rPr>
          <w:rFonts w:hint="eastAsia" w:ascii="宋体" w:hAnsi="Times New Roman" w:eastAsia="宋体" w:cs="宋体"/>
          <w:i w:val="0"/>
          <w:position w:val="0"/>
          <w:szCs w:val="24"/>
        </w:rPr>
        <w:t xml:space="preserve">7 </w:t>
      </w:r>
      <w:r>
        <w:rPr>
          <w:rFonts w:hint="eastAsia" w:hAnsi="宋体" w:cs="宋体"/>
          <w:szCs w:val="24"/>
        </w:rPr>
        <w:t>监造、包装、运输、安装及质量保证</w:t>
      </w:r>
      <w:r>
        <w:tab/>
      </w:r>
      <w:r>
        <w:fldChar w:fldCharType="begin"/>
      </w:r>
      <w:r>
        <w:instrText xml:space="preserve"> PAGEREF _Toc13322 \h </w:instrText>
      </w:r>
      <w:r>
        <w:fldChar w:fldCharType="separate"/>
      </w:r>
      <w:r>
        <w:t>9</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_Toc8953 </w:instrText>
      </w:r>
      <w:r>
        <w:rPr>
          <w:rFonts w:hint="eastAsia" w:hAnsi="宋体" w:cs="宋体"/>
        </w:rPr>
        <w:fldChar w:fldCharType="separate"/>
      </w:r>
      <w:r>
        <w:rPr>
          <w:rFonts w:hint="eastAsia" w:ascii="宋体" w:hAnsi="Times New Roman" w:eastAsia="宋体" w:cs="宋体"/>
          <w:i w:val="0"/>
          <w:position w:val="0"/>
          <w:szCs w:val="24"/>
        </w:rPr>
        <w:t xml:space="preserve">8 </w:t>
      </w:r>
      <w:r>
        <w:rPr>
          <w:rFonts w:hint="eastAsia" w:hAnsi="宋体" w:cs="宋体"/>
          <w:szCs w:val="24"/>
        </w:rPr>
        <w:t>双方工作安排</w:t>
      </w:r>
      <w:r>
        <w:tab/>
      </w:r>
      <w:r>
        <w:fldChar w:fldCharType="begin"/>
      </w:r>
      <w:r>
        <w:instrText xml:space="preserve"> PAGEREF _Toc8953 \h </w:instrText>
      </w:r>
      <w:r>
        <w:fldChar w:fldCharType="separate"/>
      </w:r>
      <w:r>
        <w:t>9</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_Toc21971 </w:instrText>
      </w:r>
      <w:r>
        <w:rPr>
          <w:rFonts w:hint="eastAsia" w:hAnsi="宋体" w:cs="宋体"/>
        </w:rPr>
        <w:fldChar w:fldCharType="separate"/>
      </w:r>
      <w:r>
        <w:rPr>
          <w:rFonts w:hint="eastAsia" w:ascii="宋体" w:hAnsi="Times New Roman" w:eastAsia="宋体" w:cs="宋体"/>
          <w:i w:val="0"/>
          <w:position w:val="0"/>
          <w:szCs w:val="24"/>
        </w:rPr>
        <w:t xml:space="preserve">9 </w:t>
      </w:r>
      <w:r>
        <w:rPr>
          <w:rFonts w:hint="eastAsia" w:hAnsi="宋体" w:cs="宋体"/>
          <w:szCs w:val="24"/>
        </w:rPr>
        <w:t>备品备件及主要工器具</w:t>
      </w:r>
      <w:r>
        <w:tab/>
      </w:r>
      <w:r>
        <w:fldChar w:fldCharType="begin"/>
      </w:r>
      <w:r>
        <w:instrText xml:space="preserve"> PAGEREF _Toc21971 \h </w:instrText>
      </w:r>
      <w:r>
        <w:fldChar w:fldCharType="separate"/>
      </w:r>
      <w:r>
        <w:t>12</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_Toc13438 </w:instrText>
      </w:r>
      <w:r>
        <w:rPr>
          <w:rFonts w:hint="eastAsia" w:hAnsi="宋体" w:cs="宋体"/>
        </w:rPr>
        <w:fldChar w:fldCharType="separate"/>
      </w:r>
      <w:r>
        <w:rPr>
          <w:rFonts w:hint="eastAsia" w:ascii="宋体" w:hAnsi="Times New Roman" w:eastAsia="宋体" w:cs="宋体"/>
          <w:i w:val="0"/>
          <w:position w:val="0"/>
          <w:szCs w:val="24"/>
        </w:rPr>
        <w:t xml:space="preserve">10 </w:t>
      </w:r>
      <w:r>
        <w:rPr>
          <w:rFonts w:hint="eastAsia" w:hAnsi="宋体" w:cs="宋体"/>
          <w:szCs w:val="24"/>
        </w:rPr>
        <w:t>分项清单及价格</w:t>
      </w:r>
      <w:r>
        <w:tab/>
      </w:r>
      <w:r>
        <w:fldChar w:fldCharType="begin"/>
      </w:r>
      <w:r>
        <w:instrText xml:space="preserve"> PAGEREF _Toc13438 \h </w:instrText>
      </w:r>
      <w:r>
        <w:fldChar w:fldCharType="separate"/>
      </w:r>
      <w:r>
        <w:t>14</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_Toc4163 </w:instrText>
      </w:r>
      <w:r>
        <w:rPr>
          <w:rFonts w:hint="eastAsia" w:hAnsi="宋体" w:cs="宋体"/>
        </w:rPr>
        <w:fldChar w:fldCharType="separate"/>
      </w:r>
      <w:r>
        <w:rPr>
          <w:rFonts w:hint="eastAsia" w:ascii="宋体" w:hAnsi="Times New Roman" w:eastAsia="宋体" w:cs="宋体"/>
          <w:i w:val="0"/>
          <w:position w:val="0"/>
          <w:szCs w:val="24"/>
        </w:rPr>
        <w:t xml:space="preserve">11 </w:t>
      </w:r>
      <w:r>
        <w:rPr>
          <w:rFonts w:hint="eastAsia" w:hAnsi="宋体" w:cs="宋体"/>
          <w:szCs w:val="24"/>
        </w:rPr>
        <w:t>技术性能偏差表</w:t>
      </w:r>
      <w:r>
        <w:tab/>
      </w:r>
      <w:r>
        <w:fldChar w:fldCharType="begin"/>
      </w:r>
      <w:r>
        <w:instrText xml:space="preserve"> PAGEREF _Toc4163 \h </w:instrText>
      </w:r>
      <w:r>
        <w:fldChar w:fldCharType="separate"/>
      </w:r>
      <w:r>
        <w:t>14</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_Toc15698 </w:instrText>
      </w:r>
      <w:r>
        <w:rPr>
          <w:rFonts w:hint="eastAsia" w:hAnsi="宋体" w:cs="宋体"/>
        </w:rPr>
        <w:fldChar w:fldCharType="separate"/>
      </w:r>
      <w:r>
        <w:rPr>
          <w:rFonts w:hint="eastAsia" w:ascii="宋体" w:hAnsi="Times New Roman" w:eastAsia="宋体" w:cs="宋体"/>
          <w:i w:val="0"/>
          <w:position w:val="0"/>
          <w:szCs w:val="24"/>
        </w:rPr>
        <w:t xml:space="preserve">12 </w:t>
      </w:r>
      <w:r>
        <w:rPr>
          <w:rFonts w:hint="eastAsia" w:hAnsi="宋体" w:cs="宋体"/>
          <w:szCs w:val="24"/>
        </w:rPr>
        <w:t>投标方需要说明的其它问题</w:t>
      </w:r>
      <w:r>
        <w:tab/>
      </w:r>
      <w:r>
        <w:fldChar w:fldCharType="begin"/>
      </w:r>
      <w:r>
        <w:instrText xml:space="preserve"> PAGEREF _Toc15698 \h </w:instrText>
      </w:r>
      <w:r>
        <w:fldChar w:fldCharType="separate"/>
      </w:r>
      <w:r>
        <w:t>15</w:t>
      </w:r>
      <w:r>
        <w:fldChar w:fldCharType="end"/>
      </w:r>
      <w:r>
        <w:rPr>
          <w:rFonts w:hint="eastAsia" w:hAnsi="宋体" w:cs="宋体"/>
        </w:rPr>
        <w:fldChar w:fldCharType="end"/>
      </w:r>
    </w:p>
    <w:p>
      <w:pPr>
        <w:rPr>
          <w:rFonts w:hAnsi="宋体" w:cs="宋体"/>
        </w:rPr>
      </w:pPr>
      <w:r>
        <w:rPr>
          <w:rFonts w:hint="eastAsia" w:hAnsi="宋体" w:cs="宋体"/>
        </w:rPr>
        <w:fldChar w:fldCharType="end"/>
      </w:r>
    </w:p>
    <w:p>
      <w:pPr>
        <w:rPr>
          <w:rFonts w:hAnsi="宋体" w:cs="宋体"/>
        </w:rPr>
        <w:sectPr>
          <w:footerReference r:id="rId5" w:type="default"/>
          <w:footerReference r:id="rId6" w:type="even"/>
          <w:pgSz w:w="11906" w:h="16838"/>
          <w:pgMar w:top="1440" w:right="1800" w:bottom="1440" w:left="1800" w:header="851" w:footer="992" w:gutter="0"/>
          <w:cols w:space="720" w:num="1"/>
          <w:docGrid w:type="lines" w:linePitch="312" w:charSpace="0"/>
        </w:sectPr>
      </w:pPr>
    </w:p>
    <w:p>
      <w:pPr>
        <w:pStyle w:val="4"/>
        <w:keepNext w:val="0"/>
        <w:keepLines w:val="0"/>
        <w:widowControl/>
        <w:numPr>
          <w:ilvl w:val="0"/>
          <w:numId w:val="1"/>
        </w:numPr>
        <w:spacing w:before="480"/>
        <w:contextualSpacing/>
        <w:jc w:val="left"/>
        <w:rPr>
          <w:rFonts w:hAnsi="宋体" w:cs="宋体"/>
          <w:szCs w:val="24"/>
        </w:rPr>
      </w:pPr>
      <w:bookmarkStart w:id="0" w:name="_Toc6091"/>
      <w:r>
        <w:rPr>
          <w:rFonts w:hint="eastAsia" w:hAnsi="宋体" w:cs="宋体"/>
          <w:szCs w:val="24"/>
        </w:rPr>
        <w:t>总则</w:t>
      </w:r>
      <w:bookmarkEnd w:id="0"/>
    </w:p>
    <w:p>
      <w:pPr>
        <w:pStyle w:val="5"/>
        <w:widowControl/>
        <w:numPr>
          <w:ilvl w:val="1"/>
          <w:numId w:val="1"/>
        </w:numPr>
        <w:spacing w:before="200"/>
        <w:jc w:val="left"/>
        <w:rPr>
          <w:rFonts w:hint="eastAsia" w:hAnsi="宋体" w:cs="宋体"/>
          <w:b w:val="0"/>
          <w:szCs w:val="24"/>
          <w:highlight w:val="none"/>
        </w:rPr>
      </w:pPr>
      <w:r>
        <w:rPr>
          <w:rFonts w:hint="eastAsia" w:hAnsi="宋体" w:cs="宋体"/>
          <w:b w:val="0"/>
          <w:szCs w:val="24"/>
          <w:highlight w:val="none"/>
        </w:rPr>
        <w:t>本招标技术文件适用</w:t>
      </w:r>
      <w:r>
        <w:rPr>
          <w:rFonts w:hint="eastAsia" w:hAnsi="宋体" w:cs="宋体"/>
          <w:b w:val="0"/>
          <w:color w:val="auto"/>
          <w:szCs w:val="24"/>
          <w:highlight w:val="none"/>
        </w:rPr>
        <w:t>于</w:t>
      </w:r>
      <w:r>
        <w:rPr>
          <w:rFonts w:hint="eastAsia" w:hAnsi="宋体" w:cs="宋体"/>
          <w:b w:val="0"/>
          <w:color w:val="auto"/>
          <w:szCs w:val="24"/>
          <w:highlight w:val="none"/>
          <w:lang w:eastAsia="zh-CN"/>
        </w:rPr>
        <w:t>硒鼓</w:t>
      </w:r>
      <w:r>
        <w:rPr>
          <w:rFonts w:hint="eastAsia" w:hAnsi="宋体" w:cs="宋体"/>
          <w:b w:val="0"/>
          <w:szCs w:val="24"/>
          <w:highlight w:val="none"/>
        </w:rPr>
        <w:t>的功能、性能、安装等方面的技术要求。</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本招标技术文件提出的是最低限度的技术要求, 并未对一切技术细节作出规定, 也未充分引述有关标准和规范的条文, 投标方应提供符合本招标技术文件和工业标准的产品。</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如果投标方没有以书面形式对本招标技术文件的条文提出异议, 则意味着投标方提供的设备(或系统)完全符合本招标技术文件的要求。如有异议, 不管是多么微小, 都应在报价书中以“对招标技术文件的意见和同招标技术文件的差异”为标题的专门章节中加以详细描述。</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本招标技术文件所使用的标准如遇与投标方所执行的标准不一致时, 按较高标准执行。</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本招标技术文件经买、卖双方确认后作为订货合同的技术附件，与合同正文具有同等法律效力。</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投标方应在投标的技术应答文件按本招标技术文件的要求如实详细的填写应标设备的标准配置表，并在应标商务部分按此标准配置进行报价，如发现二者有矛盾之处，将对评标工作有不同程度的影响。</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本招标技术文件未尽事宜, 由买卖双方协商确定。</w:t>
      </w:r>
    </w:p>
    <w:p>
      <w:pPr>
        <w:pStyle w:val="4"/>
        <w:keepNext w:val="0"/>
        <w:keepLines w:val="0"/>
        <w:widowControl/>
        <w:numPr>
          <w:ilvl w:val="0"/>
          <w:numId w:val="1"/>
        </w:numPr>
        <w:spacing w:before="480"/>
        <w:contextualSpacing/>
        <w:jc w:val="left"/>
        <w:rPr>
          <w:rFonts w:hAnsi="宋体" w:cs="宋体"/>
          <w:szCs w:val="24"/>
        </w:rPr>
      </w:pPr>
      <w:bookmarkStart w:id="1" w:name="_Toc17749"/>
      <w:bookmarkStart w:id="2" w:name="_Toc352233454"/>
      <w:r>
        <w:rPr>
          <w:rFonts w:hint="eastAsia" w:hAnsi="宋体" w:cs="宋体"/>
          <w:szCs w:val="24"/>
        </w:rPr>
        <w:t>范围</w:t>
      </w:r>
      <w:bookmarkEnd w:id="1"/>
      <w:bookmarkEnd w:id="2"/>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本标书适应于本次招标设备的设计、制造、装配、工厂试验、交付、现场安装和试验的指导、监督以及试运行工作。</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现场安装和试验在招标方的指导和监督下由投标方完成。</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本标书未说明，但又与设计、制造、装配、试验、运输、包装、保管、安装和运行维护有关的技术要求，按条款3所规定的有关标准执行。</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投标方应按本标书的要求提供全新的、合格的设备及其附属设备、备品备件、专用工具和仪器。</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投标方所提供的组件或附件如需向第三方外购时，投标方应对质量向招标方负责，并提供相应出厂和验收证明。</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提供的设备具体规格、数量见表1，投标方要确保供货范围完整，需满足本技术规范的供货要求及技术、功能、性能等要求，并以能满足用户安装、运行要求为原则。若签订合同后，在安装、调试、运行中发现缺项，则由投标方负责免费补充。</w:t>
      </w:r>
    </w:p>
    <w:p>
      <w:pPr>
        <w:jc w:val="center"/>
        <w:rPr>
          <w:rFonts w:hAnsi="宋体" w:cs="宋体"/>
        </w:rPr>
      </w:pPr>
      <w:r>
        <w:rPr>
          <w:rFonts w:hint="eastAsia" w:hAnsi="宋体" w:cs="宋体"/>
        </w:rPr>
        <w:t>表1 供货范围及设备技术规格一览表</w:t>
      </w:r>
    </w:p>
    <w:tbl>
      <w:tblPr>
        <w:tblStyle w:val="10"/>
        <w:tblW w:w="87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77"/>
        <w:gridCol w:w="910"/>
        <w:gridCol w:w="520"/>
        <w:gridCol w:w="4430"/>
        <w:gridCol w:w="710"/>
        <w:gridCol w:w="987"/>
        <w:gridCol w:w="54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677" w:type="dxa"/>
            <w:vMerge w:val="restart"/>
            <w:vAlign w:val="center"/>
          </w:tcPr>
          <w:p>
            <w:pPr>
              <w:rPr>
                <w:rFonts w:hAnsi="宋体" w:cs="宋体"/>
              </w:rPr>
            </w:pPr>
            <w:r>
              <w:rPr>
                <w:rFonts w:hint="eastAsia" w:hAnsi="宋体" w:cs="宋体"/>
              </w:rPr>
              <w:t>序号</w:t>
            </w:r>
          </w:p>
        </w:tc>
        <w:tc>
          <w:tcPr>
            <w:tcW w:w="910" w:type="dxa"/>
            <w:vMerge w:val="restart"/>
            <w:vAlign w:val="center"/>
          </w:tcPr>
          <w:p>
            <w:pPr>
              <w:jc w:val="center"/>
              <w:rPr>
                <w:rFonts w:hAnsi="宋体" w:cs="宋体"/>
              </w:rPr>
            </w:pPr>
            <w:r>
              <w:rPr>
                <w:rFonts w:hint="eastAsia" w:hAnsi="宋体" w:cs="宋体"/>
              </w:rPr>
              <w:t>名  称</w:t>
            </w:r>
          </w:p>
        </w:tc>
        <w:tc>
          <w:tcPr>
            <w:tcW w:w="520" w:type="dxa"/>
            <w:vMerge w:val="restart"/>
            <w:vAlign w:val="center"/>
          </w:tcPr>
          <w:p>
            <w:pPr>
              <w:rPr>
                <w:rFonts w:hAnsi="宋体" w:cs="宋体"/>
              </w:rPr>
            </w:pPr>
            <w:r>
              <w:rPr>
                <w:rFonts w:hint="eastAsia" w:hAnsi="宋体" w:cs="宋体"/>
              </w:rPr>
              <w:t>单位</w:t>
            </w:r>
          </w:p>
        </w:tc>
        <w:tc>
          <w:tcPr>
            <w:tcW w:w="5140" w:type="dxa"/>
            <w:gridSpan w:val="2"/>
            <w:vAlign w:val="center"/>
          </w:tcPr>
          <w:p>
            <w:pPr>
              <w:jc w:val="center"/>
              <w:rPr>
                <w:rFonts w:hAnsi="宋体" w:cs="宋体"/>
              </w:rPr>
            </w:pPr>
            <w:r>
              <w:rPr>
                <w:rFonts w:hint="eastAsia" w:hAnsi="宋体" w:cs="宋体"/>
              </w:rPr>
              <w:t>项目要求</w:t>
            </w:r>
          </w:p>
        </w:tc>
        <w:tc>
          <w:tcPr>
            <w:tcW w:w="1527" w:type="dxa"/>
            <w:gridSpan w:val="2"/>
            <w:vAlign w:val="center"/>
          </w:tcPr>
          <w:p>
            <w:pPr>
              <w:jc w:val="center"/>
              <w:rPr>
                <w:rFonts w:hAnsi="宋体" w:cs="宋体"/>
              </w:rPr>
            </w:pPr>
            <w:r>
              <w:rPr>
                <w:rFonts w:hint="eastAsia" w:hAnsi="宋体" w:cs="宋体"/>
              </w:rPr>
              <w:t>投标方保证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677" w:type="dxa"/>
            <w:vMerge w:val="continue"/>
            <w:vAlign w:val="center"/>
          </w:tcPr>
          <w:p>
            <w:pPr>
              <w:rPr>
                <w:rFonts w:hAnsi="宋体" w:cs="宋体"/>
              </w:rPr>
            </w:pPr>
          </w:p>
        </w:tc>
        <w:tc>
          <w:tcPr>
            <w:tcW w:w="910" w:type="dxa"/>
            <w:vMerge w:val="continue"/>
            <w:vAlign w:val="center"/>
          </w:tcPr>
          <w:p>
            <w:pPr>
              <w:rPr>
                <w:rFonts w:hAnsi="宋体" w:cs="宋体"/>
              </w:rPr>
            </w:pPr>
          </w:p>
        </w:tc>
        <w:tc>
          <w:tcPr>
            <w:tcW w:w="520" w:type="dxa"/>
            <w:vMerge w:val="continue"/>
            <w:vAlign w:val="center"/>
          </w:tcPr>
          <w:p>
            <w:pPr>
              <w:rPr>
                <w:rFonts w:hAnsi="宋体" w:cs="宋体"/>
              </w:rPr>
            </w:pPr>
          </w:p>
        </w:tc>
        <w:tc>
          <w:tcPr>
            <w:tcW w:w="4430" w:type="dxa"/>
            <w:vAlign w:val="center"/>
          </w:tcPr>
          <w:p>
            <w:pPr>
              <w:jc w:val="center"/>
              <w:rPr>
                <w:rFonts w:hAnsi="宋体" w:cs="宋体"/>
              </w:rPr>
            </w:pPr>
            <w:r>
              <w:rPr>
                <w:rFonts w:hint="eastAsia" w:hAnsi="宋体" w:cs="宋体"/>
              </w:rPr>
              <w:t>型式、规格</w:t>
            </w:r>
          </w:p>
        </w:tc>
        <w:tc>
          <w:tcPr>
            <w:tcW w:w="710" w:type="dxa"/>
            <w:vAlign w:val="center"/>
          </w:tcPr>
          <w:p>
            <w:pPr>
              <w:jc w:val="center"/>
              <w:rPr>
                <w:rFonts w:hAnsi="宋体" w:cs="宋体"/>
              </w:rPr>
            </w:pPr>
            <w:r>
              <w:rPr>
                <w:rFonts w:hint="eastAsia" w:hAnsi="宋体" w:cs="宋体"/>
              </w:rPr>
              <w:t>数量</w:t>
            </w:r>
          </w:p>
        </w:tc>
        <w:tc>
          <w:tcPr>
            <w:tcW w:w="987" w:type="dxa"/>
            <w:vAlign w:val="center"/>
          </w:tcPr>
          <w:p>
            <w:pPr>
              <w:jc w:val="center"/>
              <w:rPr>
                <w:rFonts w:hAnsi="宋体" w:cs="宋体"/>
              </w:rPr>
            </w:pPr>
            <w:r>
              <w:rPr>
                <w:rFonts w:hint="eastAsia" w:hAnsi="宋体" w:cs="宋体"/>
              </w:rPr>
              <w:t>型式、规格</w:t>
            </w:r>
          </w:p>
        </w:tc>
        <w:tc>
          <w:tcPr>
            <w:tcW w:w="540" w:type="dxa"/>
            <w:vAlign w:val="center"/>
          </w:tcPr>
          <w:p>
            <w:pPr>
              <w:rPr>
                <w:rFonts w:hAnsi="宋体" w:cs="宋体"/>
              </w:rPr>
            </w:pPr>
            <w:r>
              <w:rPr>
                <w:rFonts w:hint="eastAsia" w:hAnsi="宋体" w:cs="宋体"/>
              </w:rPr>
              <w:t>数量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677" w:type="dxa"/>
            <w:vAlign w:val="center"/>
          </w:tcPr>
          <w:p>
            <w:pPr>
              <w:keepNext w:val="0"/>
              <w:keepLines w:val="0"/>
              <w:widowControl/>
              <w:suppressLineNumbers w:val="0"/>
              <w:jc w:val="center"/>
              <w:textAlignment w:val="center"/>
              <w:rPr>
                <w:rFonts w:hint="default" w:hAnsi="宋体" w:cs="宋体"/>
                <w:color w:val="auto"/>
                <w:highlight w:val="none"/>
                <w:lang w:val="en-US" w:eastAsia="zh-CN"/>
              </w:rPr>
            </w:pPr>
            <w:r>
              <w:rPr>
                <w:rFonts w:hint="eastAsia" w:hAnsi="宋体" w:cs="宋体"/>
                <w:color w:val="auto"/>
                <w:highlight w:val="none"/>
                <w:lang w:val="en-US" w:eastAsia="zh-CN"/>
              </w:rPr>
              <w:t>1</w:t>
            </w:r>
          </w:p>
        </w:tc>
        <w:tc>
          <w:tcPr>
            <w:tcW w:w="910" w:type="dxa"/>
            <w:shd w:val="clear" w:color="auto" w:fill="auto"/>
            <w:vAlign w:val="center"/>
          </w:tcPr>
          <w:p>
            <w:pPr>
              <w:keepNext w:val="0"/>
              <w:keepLines w:val="0"/>
              <w:widowControl/>
              <w:suppressLineNumbers w:val="0"/>
              <w:jc w:val="center"/>
              <w:textAlignment w:val="center"/>
              <w:rPr>
                <w:rFonts w:hint="eastAsia" w:hAnsi="宋体" w:cs="宋体"/>
                <w:i w:val="0"/>
                <w:iCs w:val="0"/>
                <w:color w:val="auto"/>
                <w:kern w:val="2"/>
                <w:sz w:val="28"/>
                <w:szCs w:val="28"/>
                <w:u w:val="none"/>
                <w:lang w:val="en-US" w:eastAsia="zh-CN" w:bidi="ar-SA"/>
              </w:rPr>
            </w:pPr>
            <w:r>
              <w:rPr>
                <w:rFonts w:hint="eastAsia" w:ascii="宋体" w:hAnsi="宋体" w:eastAsia="宋体" w:cs="宋体"/>
                <w:i w:val="0"/>
                <w:iCs w:val="0"/>
                <w:color w:val="auto"/>
                <w:kern w:val="0"/>
                <w:sz w:val="28"/>
                <w:szCs w:val="28"/>
                <w:u w:val="none"/>
                <w:lang w:val="en-US" w:eastAsia="zh-CN" w:bidi="ar"/>
              </w:rPr>
              <w:t>硒鼓</w:t>
            </w:r>
          </w:p>
        </w:tc>
        <w:tc>
          <w:tcPr>
            <w:tcW w:w="520" w:type="dxa"/>
            <w:vAlign w:val="center"/>
          </w:tcPr>
          <w:p>
            <w:pPr>
              <w:keepNext w:val="0"/>
              <w:keepLines w:val="0"/>
              <w:widowControl/>
              <w:suppressLineNumbers w:val="0"/>
              <w:jc w:val="center"/>
              <w:textAlignment w:val="center"/>
              <w:rPr>
                <w:rFonts w:hint="eastAsia" w:hAnsi="宋体" w:cs="宋体"/>
                <w:color w:val="auto"/>
                <w:highlight w:val="none"/>
                <w:lang w:val="en-US" w:eastAsia="zh-CN"/>
              </w:rPr>
            </w:pPr>
            <w:r>
              <w:rPr>
                <w:rFonts w:hint="eastAsia" w:ascii="宋体" w:hAnsi="宋体" w:eastAsia="宋体" w:cs="宋体"/>
                <w:i w:val="0"/>
                <w:iCs w:val="0"/>
                <w:color w:val="auto"/>
                <w:kern w:val="0"/>
                <w:sz w:val="28"/>
                <w:szCs w:val="28"/>
                <w:u w:val="none"/>
                <w:lang w:val="en-US" w:eastAsia="zh-CN" w:bidi="ar"/>
              </w:rPr>
              <w:t>个</w:t>
            </w:r>
          </w:p>
        </w:tc>
        <w:tc>
          <w:tcPr>
            <w:tcW w:w="4430" w:type="dxa"/>
            <w:vAlign w:val="center"/>
          </w:tcPr>
          <w:p>
            <w:pPr>
              <w:keepNext w:val="0"/>
              <w:keepLines w:val="0"/>
              <w:widowControl/>
              <w:suppressLineNumbers w:val="0"/>
              <w:jc w:val="both"/>
              <w:textAlignment w:val="center"/>
              <w:rPr>
                <w:rFonts w:hint="eastAsia"/>
                <w:color w:val="auto"/>
                <w:lang w:val="en-US" w:eastAsia="zh-CN"/>
              </w:rPr>
            </w:pPr>
            <w:r>
              <w:rPr>
                <w:rStyle w:val="13"/>
                <w:color w:val="auto"/>
                <w:lang w:val="en-US" w:eastAsia="zh-CN" w:bidi="ar"/>
              </w:rPr>
              <w:t>规格：LT2610粉盒，红色，适用于联想7810 DXF Pro打印机，打印量≥2000页</w:t>
            </w:r>
          </w:p>
        </w:tc>
        <w:tc>
          <w:tcPr>
            <w:tcW w:w="710" w:type="dxa"/>
            <w:vAlign w:val="center"/>
          </w:tcPr>
          <w:p>
            <w:pPr>
              <w:keepNext w:val="0"/>
              <w:keepLines w:val="0"/>
              <w:widowControl/>
              <w:suppressLineNumbers w:val="0"/>
              <w:jc w:val="center"/>
              <w:textAlignment w:val="center"/>
              <w:rPr>
                <w:rFonts w:hint="eastAsia" w:hAnsi="宋体" w:cs="宋体"/>
                <w:color w:val="auto"/>
                <w:highlight w:val="none"/>
                <w:lang w:val="en-US" w:eastAsia="zh-CN"/>
              </w:rPr>
            </w:pPr>
            <w:r>
              <w:rPr>
                <w:rFonts w:hint="eastAsia" w:ascii="宋体" w:hAnsi="宋体" w:eastAsia="宋体" w:cs="宋体"/>
                <w:i w:val="0"/>
                <w:iCs w:val="0"/>
                <w:color w:val="auto"/>
                <w:kern w:val="0"/>
                <w:sz w:val="28"/>
                <w:szCs w:val="28"/>
                <w:u w:val="none"/>
                <w:lang w:val="en-US" w:eastAsia="zh-CN" w:bidi="ar"/>
              </w:rPr>
              <w:t>80</w:t>
            </w:r>
          </w:p>
        </w:tc>
        <w:tc>
          <w:tcPr>
            <w:tcW w:w="987" w:type="dxa"/>
          </w:tcPr>
          <w:p>
            <w:pPr>
              <w:rPr>
                <w:rFonts w:hAnsi="宋体" w:cs="宋体"/>
                <w:highlight w:val="none"/>
              </w:rPr>
            </w:pPr>
          </w:p>
        </w:tc>
        <w:tc>
          <w:tcPr>
            <w:tcW w:w="540" w:type="dxa"/>
          </w:tcPr>
          <w:p>
            <w:pPr>
              <w:rPr>
                <w:rFonts w:hAnsi="宋体" w:cs="宋体"/>
                <w:highlight w:val="none"/>
              </w:rPr>
            </w:pPr>
          </w:p>
        </w:tc>
      </w:tr>
    </w:tbl>
    <w:p>
      <w:pPr>
        <w:pStyle w:val="5"/>
        <w:keepNext w:val="0"/>
        <w:keepLines w:val="0"/>
        <w:widowControl/>
        <w:spacing w:before="200"/>
        <w:jc w:val="left"/>
        <w:rPr>
          <w:rFonts w:hint="default" w:ascii="Times New Roman" w:hAnsi="Times New Roman" w:cs="宋体"/>
          <w:b w:val="0"/>
          <w:color w:val="auto"/>
          <w:sz w:val="24"/>
          <w:szCs w:val="24"/>
          <w:highlight w:val="none"/>
          <w:shd w:val="clear" w:color="auto" w:fill="auto"/>
          <w:lang w:val="en-US"/>
        </w:rPr>
      </w:pPr>
      <w:r>
        <w:rPr>
          <w:rFonts w:hint="default" w:ascii="Times New Roman" w:hAnsi="Times New Roman" w:cs="Times New Roman"/>
          <w:b w:val="0"/>
          <w:color w:val="auto"/>
          <w:sz w:val="24"/>
          <w:szCs w:val="24"/>
          <w:highlight w:val="none"/>
          <w:shd w:val="clear" w:color="auto" w:fill="auto"/>
        </w:rPr>
        <w:t>需方联系人及电话</w:t>
      </w:r>
      <w:r>
        <w:rPr>
          <w:rFonts w:hint="eastAsia" w:ascii="Times New Roman" w:hAnsi="Times New Roman" w:cs="Times New Roman"/>
          <w:b w:val="0"/>
          <w:color w:val="auto"/>
          <w:sz w:val="24"/>
          <w:szCs w:val="24"/>
          <w:highlight w:val="none"/>
          <w:shd w:val="clear" w:color="auto" w:fill="auto"/>
          <w:lang w:eastAsia="zh-CN"/>
        </w:rPr>
        <w:t>：</w:t>
      </w:r>
      <w:r>
        <w:rPr>
          <w:rFonts w:hint="eastAsia" w:hAnsi="宋体" w:cs="宋体"/>
          <w:b w:val="0"/>
          <w:color w:val="auto"/>
          <w:szCs w:val="24"/>
          <w:highlight w:val="none"/>
          <w:shd w:val="clear" w:color="auto" w:fill="auto"/>
          <w:lang w:val="en-US" w:eastAsia="zh-CN"/>
        </w:rPr>
        <w:t>潘鹏凯 0777-2802586</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工厂试验可由投标方在生产厂家内完成。</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现场安装和试验由投标方完成，投标方按标准检查安装质量，处理调试投运过程中出现的问题，做好售后服务工作。投标方应选派有经验的技术人员，对安装和运行人员免费培训。</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投标方应协助招标方解决设备运行中出现的问题。</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设备安装、调试和性能试验合格后方可投运。</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如果安装、调试、性能试验、试运行及质保期内技术指标一项或多项不能满足合同技术部分要求，买卖双方共同分析原因，分清责任，如属制造方面的原因，或涉及索赔部分，按商务部分有关条款执行。</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根据设备运行要求、型号参数等，结合房间面积和承重要求，合理安装设备，要求投标方提供的设备需满足现场的安装条件，若尺寸满足不了现场条件，需对设备进行无条件更换，并提供承诺函。最终布置方案应经招标方确认后方可付诸实施。</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投标方应负责将相关设备搬运至图纸所示位置，如果大楼电梯满足要求则可从电梯搬运至机房现场，如果大楼电梯不满足要求则需用吊机从外墙吊运至图纸所示位置。</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在本技术规范书的框架下，没有明确说明但属于供货规定范围内，为全套装置运行所必要的供货和服务，投标方都应该提供。</w:t>
      </w:r>
    </w:p>
    <w:p>
      <w:pPr>
        <w:pStyle w:val="5"/>
        <w:keepNext w:val="0"/>
        <w:keepLines w:val="0"/>
        <w:widowControl/>
        <w:numPr>
          <w:ilvl w:val="1"/>
          <w:numId w:val="1"/>
        </w:numPr>
        <w:spacing w:before="200" w:line="360" w:lineRule="auto"/>
        <w:jc w:val="left"/>
        <w:rPr>
          <w:rFonts w:hAnsi="宋体" w:cs="宋体"/>
        </w:rPr>
      </w:pPr>
      <w:r>
        <w:rPr>
          <w:rFonts w:hint="eastAsia" w:ascii="Times New Roman" w:hAnsi="Times New Roman" w:cs="宋体"/>
          <w:b w:val="0"/>
          <w:sz w:val="24"/>
          <w:szCs w:val="24"/>
          <w:highlight w:val="none"/>
        </w:rPr>
        <w:t>对于投标文件没有列出的而对设备的正常运行和维护必不可少的部件、配件等，投标方有责任无条件给予补充，并含在此次报价中。</w:t>
      </w:r>
    </w:p>
    <w:p>
      <w:pPr>
        <w:pStyle w:val="4"/>
        <w:keepNext w:val="0"/>
        <w:keepLines w:val="0"/>
        <w:widowControl/>
        <w:numPr>
          <w:ilvl w:val="0"/>
          <w:numId w:val="1"/>
        </w:numPr>
        <w:spacing w:before="480"/>
        <w:contextualSpacing/>
        <w:jc w:val="left"/>
        <w:rPr>
          <w:rFonts w:hAnsi="宋体" w:cs="宋体"/>
          <w:szCs w:val="24"/>
        </w:rPr>
      </w:pPr>
      <w:bookmarkStart w:id="3" w:name="_Toc26887"/>
      <w:r>
        <w:rPr>
          <w:rFonts w:hint="eastAsia" w:hAnsi="宋体" w:cs="宋体"/>
          <w:szCs w:val="24"/>
        </w:rPr>
        <w:t>应遵循的主要标准</w:t>
      </w:r>
      <w:bookmarkEnd w:id="3"/>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表2所列标准所包含的条文,通过在本招标技术文件中引用而构成本招标技术文件的基本条文。在本招标技术文件出版时, 若未指明标准号年份，则使用所列标准的最新版本。如果各标准对同一内容要求有所不同，则需满足最高的标准要求。</w:t>
      </w:r>
    </w:p>
    <w:p>
      <w:pPr>
        <w:jc w:val="center"/>
        <w:rPr>
          <w:rFonts w:hAnsi="宋体" w:cs="宋体"/>
        </w:rPr>
      </w:pPr>
      <w:r>
        <w:rPr>
          <w:rFonts w:hint="eastAsia" w:hAnsi="宋体" w:cs="宋体"/>
        </w:rPr>
        <w:t>表2 设备应遵循主要标准列表</w:t>
      </w:r>
    </w:p>
    <w:tbl>
      <w:tblPr>
        <w:tblStyle w:val="10"/>
        <w:tblW w:w="8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6"/>
        <w:gridCol w:w="58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标准号/发文号-年份</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Q/CSG118005-2012</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中国南方电网有限责任公司信息机房建设技术规范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Q/CSG118012-2011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中国南方电网有限责任公司办公局域网建设技术规范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GB 50174-2017</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 xml:space="preserve">数据中心设计规范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GB 50462-2015</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数据中心基础设施施工及验收规范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GB_T 9361-2011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计算机场地安全要求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GB_T 2887-2011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计算机场地通用规范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GB50016-2006</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建筑设计防火规范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GB 50222-2001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建筑内部装修设计防火规范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t>Q/CSG118010-2012</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rPr>
              <w:t>中国南方电网有限责任公司信息安全保障体系</w:t>
            </w:r>
          </w:p>
        </w:tc>
      </w:tr>
    </w:tbl>
    <w:p>
      <w:pPr>
        <w:pStyle w:val="4"/>
        <w:keepNext w:val="0"/>
        <w:keepLines w:val="0"/>
        <w:widowControl/>
        <w:numPr>
          <w:ilvl w:val="0"/>
          <w:numId w:val="1"/>
        </w:numPr>
        <w:spacing w:before="480"/>
        <w:contextualSpacing/>
        <w:jc w:val="left"/>
        <w:rPr>
          <w:rFonts w:hAnsi="宋体" w:cs="宋体"/>
          <w:szCs w:val="24"/>
        </w:rPr>
      </w:pPr>
      <w:bookmarkStart w:id="4" w:name="_Toc25269"/>
      <w:r>
        <w:rPr>
          <w:rFonts w:hint="eastAsia" w:hAnsi="宋体" w:cs="宋体"/>
          <w:szCs w:val="24"/>
        </w:rPr>
        <w:t>使用条件</w:t>
      </w:r>
      <w:bookmarkEnd w:id="4"/>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正常工作大气条件</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环境温度：-10℃～+55℃；</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相对湿度：5%~95%（产品内部不应结冰）；</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大气压力：80kPa～106kPa。</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贮存、运输环境条件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装置在运输中允许的环境温度-40℃～＋70℃，相对湿度不大于85%；</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在贮存中允许的环境温度-25℃～＋55℃，相对湿度不大于85%，在不施加任何激励量的条件下，装置不出现不可逆变化。</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周围环境</w:t>
      </w:r>
    </w:p>
    <w:p>
      <w:pPr>
        <w:pStyle w:val="5"/>
        <w:keepNext w:val="0"/>
        <w:keepLines w:val="0"/>
        <w:widowControl/>
        <w:numPr>
          <w:ilvl w:val="2"/>
          <w:numId w:val="1"/>
        </w:numPr>
        <w:spacing w:before="200"/>
        <w:jc w:val="left"/>
        <w:rPr>
          <w:rFonts w:hAnsi="宋体" w:cs="宋体"/>
          <w:b w:val="0"/>
          <w:kern w:val="0"/>
          <w:szCs w:val="24"/>
        </w:rPr>
      </w:pPr>
      <w:r>
        <w:rPr>
          <w:rFonts w:hint="eastAsia" w:hAnsi="宋体"/>
          <w:b w:val="0"/>
          <w:szCs w:val="24"/>
        </w:rPr>
        <w:t>场地符合GB/T 9361-1988中B类安全要求；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使用地点不出现超过GB/T 11287规定的严酷等级为I级的振动；不发生GB/T 17742－1999规定的烈度为Ⅶ度的地震；</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使用地点无爆炸危险的物质，周围介质 中不含有能腐蚀金属、破坏绝缘和表面敷层的介质及导电介质，没有严重的霉菌存在；</w:t>
      </w:r>
    </w:p>
    <w:p>
      <w:pPr>
        <w:pStyle w:val="4"/>
        <w:keepNext w:val="0"/>
        <w:keepLines w:val="0"/>
        <w:widowControl/>
        <w:numPr>
          <w:ilvl w:val="0"/>
          <w:numId w:val="1"/>
        </w:numPr>
        <w:spacing w:before="480"/>
        <w:contextualSpacing/>
        <w:jc w:val="left"/>
        <w:rPr>
          <w:rFonts w:hAnsi="宋体" w:cs="宋体"/>
          <w:szCs w:val="24"/>
        </w:rPr>
      </w:pPr>
      <w:bookmarkStart w:id="5" w:name="_Toc19023"/>
      <w:r>
        <w:rPr>
          <w:rFonts w:hint="eastAsia" w:hAnsi="宋体" w:cs="宋体"/>
          <w:szCs w:val="24"/>
        </w:rPr>
        <w:t>技术要求</w:t>
      </w:r>
      <w:bookmarkEnd w:id="5"/>
    </w:p>
    <w:p>
      <w:pPr>
        <w:pStyle w:val="5"/>
        <w:keepNext w:val="0"/>
        <w:keepLines w:val="0"/>
        <w:widowControl/>
        <w:numPr>
          <w:ilvl w:val="0"/>
          <w:numId w:val="0"/>
        </w:numPr>
        <w:spacing w:before="200"/>
        <w:ind w:leftChars="0"/>
        <w:jc w:val="left"/>
        <w:rPr>
          <w:rFonts w:hAnsi="宋体" w:cs="宋体"/>
          <w:b w:val="0"/>
          <w:bCs w:val="0"/>
          <w:color w:val="auto"/>
          <w:highlight w:val="none"/>
        </w:rPr>
      </w:pPr>
      <w:r>
        <w:rPr>
          <w:rFonts w:hint="eastAsia"/>
          <w:b w:val="0"/>
          <w:bCs w:val="0"/>
          <w:color w:val="auto"/>
          <w:lang w:val="en-US" w:eastAsia="zh-CN"/>
        </w:rPr>
        <w:t>5.1规格：LT2610粉盒，红色，适用于联想7810 DXF Pro打印机，打印量≥2000页</w:t>
      </w:r>
    </w:p>
    <w:p>
      <w:pPr>
        <w:pStyle w:val="5"/>
        <w:keepNext w:val="0"/>
        <w:keepLines w:val="0"/>
        <w:widowControl/>
        <w:numPr>
          <w:ilvl w:val="0"/>
          <w:numId w:val="0"/>
        </w:numPr>
        <w:spacing w:before="200"/>
        <w:ind w:leftChars="0"/>
        <w:jc w:val="left"/>
      </w:pPr>
      <w:r>
        <w:rPr>
          <w:rFonts w:hint="eastAsia" w:hAnsi="宋体" w:cs="宋体"/>
          <w:color w:val="auto"/>
          <w:highlight w:val="none"/>
          <w:lang w:val="en-US" w:eastAsia="zh-CN"/>
        </w:rPr>
        <w:t>5.2</w:t>
      </w:r>
      <w:r>
        <w:rPr>
          <w:rFonts w:hint="eastAsia" w:hAnsi="宋体" w:cs="宋体"/>
          <w:color w:val="auto"/>
          <w:highlight w:val="none"/>
        </w:rPr>
        <w:t>安全要求</w:t>
      </w:r>
    </w:p>
    <w:p>
      <w:pPr>
        <w:pStyle w:val="5"/>
        <w:keepNext w:val="0"/>
        <w:keepLines w:val="0"/>
        <w:widowControl/>
        <w:numPr>
          <w:ilvl w:val="0"/>
          <w:numId w:val="0"/>
        </w:numPr>
        <w:spacing w:line="480" w:lineRule="auto"/>
        <w:ind w:leftChars="0"/>
        <w:jc w:val="left"/>
        <w:rPr>
          <w:rFonts w:hint="eastAsia"/>
          <w:b w:val="0"/>
          <w:bCs w:val="0"/>
          <w:color w:val="auto"/>
        </w:rPr>
      </w:pPr>
      <w:r>
        <w:rPr>
          <w:rFonts w:hint="eastAsia" w:hAnsi="宋体"/>
          <w:b w:val="0"/>
          <w:bCs w:val="0"/>
          <w:color w:val="auto"/>
          <w:sz w:val="21"/>
          <w:szCs w:val="24"/>
          <w:lang w:val="en-US" w:eastAsia="zh-CN"/>
        </w:rPr>
        <w:t>5.2.1</w:t>
      </w:r>
      <w:bookmarkStart w:id="16" w:name="_GoBack"/>
      <w:bookmarkEnd w:id="16"/>
      <w:r>
        <w:rPr>
          <w:rFonts w:hint="eastAsia" w:ascii="宋体" w:hAnsi="宋体"/>
          <w:b w:val="0"/>
          <w:bCs w:val="0"/>
          <w:color w:val="auto"/>
          <w:sz w:val="21"/>
          <w:szCs w:val="24"/>
        </w:rPr>
        <w:t>★投标方及其产品和服务的提供者须承诺不利用提供产品和服务的便利条件非法获取用户数据、非法控制和操纵用户设备。无正当理由不中断产品供应或必要的技术支持服务等。</w:t>
      </w:r>
    </w:p>
    <w:p>
      <w:pPr>
        <w:pStyle w:val="4"/>
        <w:keepNext w:val="0"/>
        <w:keepLines w:val="0"/>
        <w:widowControl/>
        <w:numPr>
          <w:ilvl w:val="0"/>
          <w:numId w:val="1"/>
        </w:numPr>
        <w:spacing w:before="480"/>
        <w:contextualSpacing/>
        <w:jc w:val="left"/>
        <w:rPr>
          <w:rFonts w:hAnsi="宋体" w:cs="宋体"/>
          <w:szCs w:val="24"/>
        </w:rPr>
      </w:pPr>
      <w:bookmarkStart w:id="6" w:name="_Toc19652"/>
      <w:r>
        <w:rPr>
          <w:rFonts w:hint="eastAsia" w:hAnsi="宋体" w:cs="宋体"/>
          <w:szCs w:val="24"/>
        </w:rPr>
        <w:t>试验及验收</w:t>
      </w:r>
      <w:bookmarkEnd w:id="6"/>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验收要求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招标方将负责对现场安装和测试进行指导，投标方的工程师将完成现场试验验收。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在现场验收完成后，双方的代表将签署设备到货验收清单。</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验收计划由投标方准备，交招标方审查同意。</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为有利于系统的安装、投运和测试，投标方应派出有经验的专家提供技术服务。</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在现场安装、投运及验收过程中，投标方应对损坏的设备负责。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备品备件、文档资料均作为验收的一部分。</w:t>
      </w:r>
    </w:p>
    <w:p>
      <w:pPr>
        <w:pStyle w:val="4"/>
        <w:keepNext w:val="0"/>
        <w:keepLines w:val="0"/>
        <w:widowControl/>
        <w:numPr>
          <w:ilvl w:val="0"/>
          <w:numId w:val="1"/>
        </w:numPr>
        <w:spacing w:before="480"/>
        <w:contextualSpacing/>
        <w:jc w:val="left"/>
        <w:rPr>
          <w:rFonts w:hAnsi="宋体" w:cs="宋体"/>
          <w:szCs w:val="24"/>
        </w:rPr>
      </w:pPr>
      <w:bookmarkStart w:id="7" w:name="_Toc13322"/>
      <w:r>
        <w:rPr>
          <w:rFonts w:hint="eastAsia" w:hAnsi="宋体" w:cs="宋体"/>
          <w:szCs w:val="24"/>
        </w:rPr>
        <w:t>监造、包装、运输、安装及质量保证</w:t>
      </w:r>
      <w:bookmarkEnd w:id="7"/>
    </w:p>
    <w:p>
      <w:pPr>
        <w:pStyle w:val="5"/>
        <w:keepNext w:val="0"/>
        <w:keepLines w:val="0"/>
        <w:widowControl/>
        <w:numPr>
          <w:ilvl w:val="1"/>
          <w:numId w:val="1"/>
        </w:numPr>
        <w:spacing w:before="200"/>
        <w:jc w:val="left"/>
        <w:rPr>
          <w:rFonts w:hint="eastAsia" w:hAnsi="宋体" w:cs="宋体"/>
          <w:b w:val="0"/>
          <w:kern w:val="0"/>
          <w:szCs w:val="24"/>
        </w:rPr>
      </w:pPr>
      <w:bookmarkStart w:id="8" w:name="_Toc296962416"/>
      <w:bookmarkStart w:id="9" w:name="_Toc296962415"/>
      <w:bookmarkStart w:id="10" w:name="_Toc296359235"/>
      <w:bookmarkStart w:id="11" w:name="_Toc296359234"/>
      <w:r>
        <w:rPr>
          <w:rFonts w:hint="eastAsia" w:hAnsi="宋体" w:cs="宋体"/>
          <w:b w:val="0"/>
          <w:kern w:val="0"/>
          <w:szCs w:val="24"/>
          <w:lang w:val="en-US" w:eastAsia="zh-CN"/>
        </w:rPr>
        <w:t xml:space="preserve">  </w:t>
      </w:r>
      <w:r>
        <w:rPr>
          <w:rFonts w:hint="eastAsia" w:hAnsi="宋体" w:cs="宋体"/>
          <w:b w:val="0"/>
          <w:kern w:val="0"/>
          <w:szCs w:val="24"/>
        </w:rPr>
        <w:t>设备制造完成并通过试验后应及时包装, 否则应得到切实的保护, 确保其不受污损。</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所有部件经妥善包装或装箱后,在运输过程中尚应采取其它防护措施,以免散失损坏或被盗。</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在包装箱外应标明需方的订货号、发货号。</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各种包装应能确保各零部件在运输过程中不致遭到损坏、丢失、变形、受潮和腐蚀。</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包装箱上应有明显的包装储运图示标志。</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整体产品或分别运输的部件都要适合运输和装载的要求。</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随产品提供的技术资料应完整无缺。</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订购的新型产品除应满足本招标技术文件外， 投标方还应提供产品的鉴定证书。</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投标方应保证制造过程中的所有工艺、材料等（包括投标方的外购件在内）均应符合本招标技术文件的规定。若招标方根据运行经验指定投标方提供某种外购零部件，投标方应积极配合。</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rPr>
        <w:t>柜内的各种元件,应选择具有生产许可证的专业制造厂家的产品。</w:t>
      </w:r>
    </w:p>
    <w:p>
      <w:pPr>
        <w:pStyle w:val="5"/>
        <w:keepNext w:val="0"/>
        <w:keepLines w:val="0"/>
        <w:widowControl/>
        <w:numPr>
          <w:ilvl w:val="1"/>
          <w:numId w:val="1"/>
        </w:numPr>
        <w:spacing w:before="200"/>
        <w:jc w:val="left"/>
        <w:rPr>
          <w:rFonts w:hAnsi="宋体" w:cs="宋体"/>
          <w:b w:val="0"/>
          <w:kern w:val="0"/>
          <w:szCs w:val="24"/>
        </w:rPr>
      </w:pPr>
      <w:r>
        <w:rPr>
          <w:rFonts w:hint="eastAsia" w:hAnsi="宋体" w:cs="宋体"/>
          <w:b w:val="0"/>
          <w:kern w:val="0"/>
          <w:szCs w:val="24"/>
        </w:rPr>
        <w:t>交货地点：广</w:t>
      </w:r>
      <w:r>
        <w:rPr>
          <w:rFonts w:hint="eastAsia" w:hAnsi="宋体" w:cs="宋体"/>
          <w:b w:val="0"/>
          <w:color w:val="auto"/>
          <w:kern w:val="0"/>
          <w:szCs w:val="24"/>
        </w:rPr>
        <w:t>西</w:t>
      </w:r>
      <w:r>
        <w:rPr>
          <w:rFonts w:hint="eastAsia" w:hAnsi="宋体" w:cs="宋体"/>
          <w:b w:val="0"/>
          <w:color w:val="auto"/>
          <w:kern w:val="0"/>
          <w:szCs w:val="24"/>
          <w:lang w:eastAsia="zh-CN"/>
        </w:rPr>
        <w:t>钦州</w:t>
      </w:r>
      <w:r>
        <w:rPr>
          <w:rFonts w:hint="eastAsia" w:hAnsi="宋体" w:cs="宋体"/>
          <w:b w:val="0"/>
          <w:color w:val="auto"/>
          <w:kern w:val="0"/>
          <w:szCs w:val="24"/>
        </w:rPr>
        <w:t>市内招</w:t>
      </w:r>
      <w:r>
        <w:rPr>
          <w:rFonts w:hint="eastAsia" w:hAnsi="宋体" w:cs="宋体"/>
          <w:b w:val="0"/>
          <w:kern w:val="0"/>
          <w:szCs w:val="24"/>
        </w:rPr>
        <w:t>标方指定地点。</w:t>
      </w:r>
    </w:p>
    <w:bookmarkEnd w:id="8"/>
    <w:bookmarkEnd w:id="9"/>
    <w:bookmarkEnd w:id="10"/>
    <w:bookmarkEnd w:id="11"/>
    <w:p>
      <w:pPr>
        <w:pStyle w:val="4"/>
        <w:keepNext w:val="0"/>
        <w:keepLines w:val="0"/>
        <w:widowControl/>
        <w:numPr>
          <w:ilvl w:val="0"/>
          <w:numId w:val="1"/>
        </w:numPr>
        <w:spacing w:before="480"/>
        <w:contextualSpacing/>
        <w:jc w:val="left"/>
        <w:rPr>
          <w:rFonts w:hAnsi="宋体" w:cs="宋体"/>
          <w:szCs w:val="24"/>
        </w:rPr>
      </w:pPr>
      <w:bookmarkStart w:id="12" w:name="_Toc8953"/>
      <w:r>
        <w:rPr>
          <w:rFonts w:hint="eastAsia" w:hAnsi="宋体" w:cs="宋体"/>
          <w:szCs w:val="24"/>
        </w:rPr>
        <w:t>双方工作安排</w:t>
      </w:r>
      <w:bookmarkEnd w:id="12"/>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招标方职责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负责对本招标书进行解释。</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招标方保留对本招标书增删、修改的权利。</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招标方有权对投标方的技术建议书的内容进行取舍。</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授予合同前，招标方有权要求投标方提供产品功能演示，以验证投标方投标产品满足功能要求。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协助投标方开展现场相关工作。</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确认投标方提供的相关资料和文件。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负责提供现场安装的条件及必要的支持。</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协助现场设备布置。</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组织现场验收。</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投标方职责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投标方负责提供投标范围内所有硬件设备以及这些设备之间的联接线缆并保证所提供的所有设备的质量、性能均满足要求。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提供设备自现场验收后，质量保证期内的免费修理、维护服务。投标方应积极配合系统集成商处理现场故障。</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提供完整的设备文档（包括硬件和软件的文档）。投标方必须对最终提供的全部技术资料的准确性负责。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在现场验收前，投标方应负责提供设备稳定运行最新版本的软件，并在现场验收后的质量保证期内免费负责这些软件版本的更新。</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负责承担现场验收相关事宜，编写相关验收大纲。</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服务商、供应商）按照广西电网公司档案管理要求，根据归档范围负责自“项目准备”至“项目验收”阶段的项目文件收集、整理、组卷，并按规定时限向招标方项目负责人移交。投标方应明确负责档案管理的人员，开工前投标方必须向招标方提供档案管理人员名单表，经招标方确认后方可实施。</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现场服务及售后服务</w:t>
      </w:r>
    </w:p>
    <w:p>
      <w:pPr>
        <w:pStyle w:val="5"/>
        <w:keepNext w:val="0"/>
        <w:keepLines w:val="0"/>
        <w:widowControl/>
        <w:numPr>
          <w:ilvl w:val="2"/>
          <w:numId w:val="1"/>
        </w:numPr>
        <w:spacing w:before="200"/>
        <w:jc w:val="left"/>
        <w:rPr>
          <w:rFonts w:hAnsi="宋体" w:cs="宋体"/>
          <w:kern w:val="0"/>
          <w:szCs w:val="24"/>
        </w:rPr>
      </w:pPr>
      <w:r>
        <w:rPr>
          <w:rFonts w:hint="eastAsia" w:hAnsi="宋体" w:cs="宋体"/>
          <w:kern w:val="0"/>
          <w:szCs w:val="24"/>
        </w:rPr>
        <w:t>现场服务要求</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投标方应派人员到现场负责安装、调试、测试、验收、试运行，并负责解决合同设备制造及性能等方面的有关问题，详细解答合同范围内招标方提出的问题。</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在产品质保期内有制造质量的设备，由投标方负责修理或更换。对非投标方责任造成的设备损坏，投标方有优先提供配件和修理的义务。</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对招标方选购的与本合同设备有关的配套设备，投标方有提供技术配合的义务，并不由此而增加任何费用。</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投标方到招标方现场进行设备安装及维修人员必须为其正式员工。</w:t>
      </w:r>
    </w:p>
    <w:p>
      <w:pPr>
        <w:pStyle w:val="5"/>
        <w:keepNext w:val="0"/>
        <w:keepLines w:val="0"/>
        <w:widowControl/>
        <w:numPr>
          <w:ilvl w:val="2"/>
          <w:numId w:val="1"/>
        </w:numPr>
        <w:spacing w:before="200"/>
        <w:jc w:val="left"/>
        <w:rPr>
          <w:rFonts w:hAnsi="宋体" w:cs="宋体"/>
          <w:kern w:val="0"/>
          <w:szCs w:val="24"/>
        </w:rPr>
      </w:pPr>
      <w:r>
        <w:rPr>
          <w:rFonts w:hint="eastAsia" w:hAnsi="宋体" w:cs="宋体"/>
          <w:kern w:val="0"/>
          <w:szCs w:val="24"/>
        </w:rPr>
        <w:t>售后服务要求</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在承诺的质量保证期内，投标方应提供7×24小时的技术支持服务，提供固定的技术负责人及联络电话、传真号码、e-mail地址等。</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质保期内硬件故障时，投标方必须在用户提出维护要求的4小时内作出响应，所提供的替代硬件设备的性能应等于和高于原产品的性能，24小时内故障应得以解决。</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在承诺的质量保证期内，投标方应免费提供系统软件升级、培训、设计联络、技术服务，优惠提供有关扩建工程的软件扩容服务。</w:t>
      </w:r>
    </w:p>
    <w:p>
      <w:pPr>
        <w:pStyle w:val="5"/>
        <w:keepNext w:val="0"/>
        <w:keepLines w:val="0"/>
        <w:widowControl/>
        <w:numPr>
          <w:ilvl w:val="3"/>
          <w:numId w:val="1"/>
        </w:numPr>
        <w:spacing w:before="200"/>
        <w:jc w:val="left"/>
        <w:rPr>
          <w:rFonts w:hAnsi="宋体" w:cs="宋体"/>
          <w:b w:val="0"/>
          <w:kern w:val="0"/>
          <w:szCs w:val="24"/>
          <w:highlight w:val="none"/>
        </w:rPr>
      </w:pPr>
      <w:r>
        <w:rPr>
          <w:rFonts w:hint="eastAsia" w:hAnsi="宋体" w:cs="宋体"/>
          <w:b w:val="0"/>
          <w:kern w:val="0"/>
          <w:szCs w:val="24"/>
          <w:highlight w:val="none"/>
        </w:rPr>
        <w:t>在用户发现软件故障时，投标方必须在用户提出维护要求的2小时内作出响应，12小时内提交故障分析报告和解决方案，24小时内故障得以解决。</w:t>
      </w:r>
    </w:p>
    <w:p>
      <w:pPr>
        <w:pStyle w:val="5"/>
        <w:keepNext w:val="0"/>
        <w:keepLines w:val="0"/>
        <w:widowControl/>
        <w:numPr>
          <w:ilvl w:val="3"/>
          <w:numId w:val="1"/>
        </w:numPr>
        <w:spacing w:before="200"/>
        <w:jc w:val="left"/>
        <w:rPr>
          <w:rFonts w:hAnsi="宋体" w:cs="宋体"/>
          <w:b w:val="0"/>
          <w:kern w:val="0"/>
          <w:szCs w:val="24"/>
          <w:highlight w:val="none"/>
        </w:rPr>
      </w:pPr>
      <w:r>
        <w:rPr>
          <w:rFonts w:hint="eastAsia" w:hAnsi="宋体" w:cs="宋体"/>
          <w:b w:val="0"/>
          <w:kern w:val="0"/>
          <w:szCs w:val="24"/>
          <w:highlight w:val="none"/>
        </w:rPr>
        <w:t>对于用户提出的软件性能提高、功能增加等改进要求，如属“招标技术文件”或“合同”的范畴，投标方应在2周内予以解决；如属“招标技术文件”或“合同”以外的功能开发，也应提供优惠服务。</w:t>
      </w:r>
    </w:p>
    <w:p>
      <w:pPr>
        <w:pStyle w:val="4"/>
        <w:keepNext w:val="0"/>
        <w:keepLines w:val="0"/>
        <w:widowControl/>
        <w:numPr>
          <w:ilvl w:val="0"/>
          <w:numId w:val="1"/>
        </w:numPr>
        <w:spacing w:before="480"/>
        <w:contextualSpacing/>
        <w:jc w:val="left"/>
        <w:rPr>
          <w:rFonts w:hAnsi="宋体" w:cs="宋体"/>
          <w:szCs w:val="24"/>
        </w:rPr>
      </w:pPr>
      <w:bookmarkStart w:id="13" w:name="_Toc21971"/>
      <w:r>
        <w:rPr>
          <w:rFonts w:hint="eastAsia" w:hAnsi="宋体" w:cs="宋体"/>
          <w:szCs w:val="24"/>
        </w:rPr>
        <w:t>备品备件及主要工器具</w:t>
      </w:r>
      <w:bookmarkEnd w:id="13"/>
    </w:p>
    <w:p>
      <w:pPr>
        <w:pStyle w:val="5"/>
        <w:keepNext w:val="0"/>
        <w:keepLines w:val="0"/>
        <w:widowControl/>
        <w:spacing w:before="200"/>
        <w:ind w:firstLine="480" w:firstLineChars="200"/>
        <w:jc w:val="left"/>
        <w:rPr>
          <w:rFonts w:hAnsi="宋体" w:cs="宋体"/>
          <w:b w:val="0"/>
          <w:kern w:val="0"/>
          <w:szCs w:val="24"/>
        </w:rPr>
      </w:pPr>
      <w:r>
        <w:rPr>
          <w:rFonts w:hint="eastAsia" w:hAnsi="宋体" w:cs="宋体"/>
          <w:b w:val="0"/>
          <w:kern w:val="0"/>
          <w:szCs w:val="24"/>
        </w:rPr>
        <w:t>投标方应根据自身设备的情况，向招标方提供必要的备品备件和安装、运行、检修所需的专用工具，包括专用调试、测试仪表等设备，供招标方选择。</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备品备件</w:t>
      </w:r>
    </w:p>
    <w:p>
      <w:pPr>
        <w:pStyle w:val="5"/>
        <w:keepNext w:val="0"/>
        <w:keepLines w:val="0"/>
        <w:pageBreakBefore w:val="0"/>
        <w:widowControl/>
        <w:numPr>
          <w:ilvl w:val="2"/>
          <w:numId w:val="1"/>
        </w:numPr>
        <w:kinsoku/>
        <w:wordWrap/>
        <w:overflowPunct/>
        <w:topLinePunct w:val="0"/>
        <w:autoSpaceDE/>
        <w:autoSpaceDN/>
        <w:bidi w:val="0"/>
        <w:adjustRightInd/>
        <w:snapToGrid/>
        <w:spacing w:before="200"/>
        <w:jc w:val="left"/>
        <w:textAlignment w:val="auto"/>
        <w:rPr>
          <w:rFonts w:hAnsi="宋体" w:cs="宋体"/>
          <w:b w:val="0"/>
          <w:kern w:val="0"/>
          <w:szCs w:val="24"/>
        </w:rPr>
      </w:pPr>
      <w:r>
        <w:rPr>
          <w:rFonts w:hint="eastAsia" w:hAnsi="宋体" w:cs="宋体"/>
          <w:b w:val="0"/>
          <w:kern w:val="0"/>
          <w:szCs w:val="24"/>
        </w:rPr>
        <w:t>投标方应保证备品备件长期稳定的供货。对主要备品备件及与其可兼容的插件替代品，其备品的供货期至少是设备验收后三年或该设备在市场停销后三年。当投标方决定中断生产某些组件或设备时，应预先告知招标方，以便招标方增加这些设备的备品备件。投标方应在该期限内向招标方提供最优惠的价格，满足招标方购买时的要求。</w:t>
      </w:r>
    </w:p>
    <w:p>
      <w:pPr>
        <w:pStyle w:val="5"/>
        <w:keepNext w:val="0"/>
        <w:keepLines w:val="0"/>
        <w:pageBreakBefore w:val="0"/>
        <w:widowControl/>
        <w:numPr>
          <w:ilvl w:val="2"/>
          <w:numId w:val="1"/>
        </w:numPr>
        <w:kinsoku/>
        <w:wordWrap/>
        <w:overflowPunct/>
        <w:topLinePunct w:val="0"/>
        <w:autoSpaceDE/>
        <w:autoSpaceDN/>
        <w:bidi w:val="0"/>
        <w:adjustRightInd/>
        <w:snapToGrid/>
        <w:spacing w:before="200"/>
        <w:jc w:val="left"/>
        <w:textAlignment w:val="auto"/>
        <w:rPr>
          <w:rFonts w:hAnsi="宋体" w:cs="宋体"/>
          <w:b w:val="0"/>
          <w:kern w:val="0"/>
          <w:szCs w:val="24"/>
        </w:rPr>
      </w:pPr>
      <w:r>
        <w:rPr>
          <w:rFonts w:hint="eastAsia" w:hAnsi="宋体" w:cs="宋体"/>
          <w:b w:val="0"/>
          <w:kern w:val="0"/>
          <w:szCs w:val="24"/>
        </w:rPr>
        <w:t>投标方应对所提供设备联调及运维所必须的备品备件提出建议和报价。</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投标方应提供有关备品备件的保管储藏资料，如存放期限、所需的干燥器等。</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所有备品备件的一些主要部件(如印刷电路板)在发运前，都应逐一进行测试，以保证在系统中正常运行。</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备品备件应是新品，与设备同型号、同工艺。</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专用工具</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bCs w:val="0"/>
          <w:kern w:val="0"/>
          <w:szCs w:val="24"/>
        </w:rPr>
        <w:t>投标方应推荐用于维修和安装设备的专用工具，此类工具是用户难于从当地市场买到，专用工具至少应包括下列项目</w:t>
      </w:r>
      <w:r>
        <w:rPr>
          <w:rFonts w:hint="eastAsia" w:hAnsi="宋体" w:cs="宋体"/>
          <w:b w:val="0"/>
          <w:kern w:val="0"/>
          <w:szCs w:val="24"/>
        </w:rPr>
        <w:t>。</w:t>
      </w:r>
    </w:p>
    <w:p>
      <w:pPr>
        <w:rPr>
          <w:rFonts w:hAnsi="宋体" w:cs="宋体"/>
          <w:kern w:val="0"/>
        </w:rPr>
      </w:pPr>
      <w:r>
        <w:rPr>
          <w:rFonts w:hint="eastAsia" w:hAnsi="宋体" w:cs="宋体"/>
          <w:kern w:val="0"/>
        </w:rPr>
        <w:t>9.2.2 专用测试设备、仪器；</w:t>
      </w:r>
    </w:p>
    <w:p>
      <w:pPr>
        <w:rPr>
          <w:rFonts w:hAnsi="宋体" w:cs="宋体"/>
          <w:kern w:val="0"/>
        </w:rPr>
      </w:pPr>
      <w:r>
        <w:rPr>
          <w:rFonts w:hint="eastAsia" w:hAnsi="宋体" w:cs="宋体"/>
          <w:kern w:val="0"/>
        </w:rPr>
        <w:t>9.2.3 专用工具、夹具、卡具；</w:t>
      </w:r>
    </w:p>
    <w:p>
      <w:pPr>
        <w:rPr>
          <w:rFonts w:hAnsi="宋体" w:cs="宋体"/>
          <w:kern w:val="0"/>
        </w:rPr>
      </w:pPr>
      <w:r>
        <w:rPr>
          <w:rFonts w:hint="eastAsia" w:hAnsi="宋体" w:cs="宋体"/>
          <w:kern w:val="0"/>
        </w:rPr>
        <w:t>9.2.4 除专用工具外，投标方还应向招标方提供一份推荐的维修测试常用的标准工具清单，格式见表3。</w:t>
      </w:r>
    </w:p>
    <w:p>
      <w:pPr>
        <w:ind w:left="366"/>
        <w:jc w:val="center"/>
        <w:rPr>
          <w:rFonts w:hAnsi="宋体" w:cs="宋体"/>
        </w:rPr>
      </w:pPr>
      <w:r>
        <w:rPr>
          <w:rFonts w:hint="eastAsia" w:hAnsi="宋体" w:cs="宋体"/>
        </w:rPr>
        <w:t>表3 常用标准工具清单</w:t>
      </w:r>
    </w:p>
    <w:tbl>
      <w:tblPr>
        <w:tblStyle w:val="10"/>
        <w:tblW w:w="8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134"/>
        <w:gridCol w:w="1136"/>
        <w:gridCol w:w="1416"/>
        <w:gridCol w:w="567"/>
        <w:gridCol w:w="850"/>
        <w:gridCol w:w="1156"/>
        <w:gridCol w:w="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设备名称</w:t>
            </w:r>
          </w:p>
        </w:tc>
        <w:tc>
          <w:tcPr>
            <w:tcW w:w="113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型号规格</w:t>
            </w:r>
          </w:p>
        </w:tc>
        <w:tc>
          <w:tcPr>
            <w:tcW w:w="141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技术说明</w:t>
            </w:r>
          </w:p>
        </w:tc>
        <w:tc>
          <w:tcPr>
            <w:tcW w:w="567"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单位</w:t>
            </w:r>
          </w:p>
        </w:tc>
        <w:tc>
          <w:tcPr>
            <w:tcW w:w="850"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数量</w:t>
            </w:r>
          </w:p>
        </w:tc>
        <w:tc>
          <w:tcPr>
            <w:tcW w:w="115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生产厂家</w:t>
            </w:r>
          </w:p>
        </w:tc>
        <w:tc>
          <w:tcPr>
            <w:tcW w:w="971"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是否专用工具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rPr>
          <w:rFonts w:hAnsi="宋体" w:cs="宋体"/>
        </w:rPr>
      </w:pP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备品备件和专用工具报价表</w:t>
      </w: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投标方必须设备安装、运行必需的备品备件、专用工具在表4中列出供招标方选择；</w:t>
      </w:r>
    </w:p>
    <w:p>
      <w:pPr>
        <w:jc w:val="center"/>
        <w:rPr>
          <w:rFonts w:hAnsi="宋体" w:cs="宋体"/>
        </w:rPr>
      </w:pPr>
      <w:r>
        <w:rPr>
          <w:rFonts w:hint="eastAsia" w:hAnsi="宋体" w:cs="宋体"/>
        </w:rPr>
        <w:t>表4 备品备件和专用工具报价表</w:t>
      </w:r>
    </w:p>
    <w:tbl>
      <w:tblPr>
        <w:tblStyle w:val="10"/>
        <w:tblW w:w="8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61"/>
        <w:gridCol w:w="862"/>
        <w:gridCol w:w="862"/>
        <w:gridCol w:w="800"/>
        <w:gridCol w:w="862"/>
        <w:gridCol w:w="862"/>
        <w:gridCol w:w="829"/>
        <w:gridCol w:w="1248"/>
        <w:gridCol w:w="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序号</w:t>
            </w: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设备名称</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型号规格</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技术说明</w:t>
            </w:r>
          </w:p>
        </w:tc>
        <w:tc>
          <w:tcPr>
            <w:tcW w:w="800"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单位</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单价</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数量</w:t>
            </w:r>
          </w:p>
        </w:tc>
        <w:tc>
          <w:tcPr>
            <w:tcW w:w="829"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价格</w:t>
            </w:r>
          </w:p>
          <w:p>
            <w:pPr>
              <w:rPr>
                <w:rFonts w:hAnsi="宋体" w:cs="宋体"/>
              </w:rPr>
            </w:pPr>
            <w:r>
              <w:rPr>
                <w:rFonts w:hint="eastAsia" w:hAnsi="宋体" w:cs="宋体"/>
              </w:rPr>
              <w:t>合计</w:t>
            </w: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生产厂家及产地</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rPr>
          <w:rFonts w:hAnsi="宋体" w:cs="宋体"/>
          <w:kern w:val="0"/>
        </w:rPr>
      </w:pP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备品备件和专用工具报价不计入投标总价；</w:t>
      </w: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设备主要部件(电源模块、显示模块、插板等)的报价总和不得高于单台设备价格。</w:t>
      </w:r>
    </w:p>
    <w:p>
      <w:pPr>
        <w:pStyle w:val="4"/>
        <w:keepNext w:val="0"/>
        <w:keepLines w:val="0"/>
        <w:widowControl/>
        <w:numPr>
          <w:ilvl w:val="0"/>
          <w:numId w:val="1"/>
        </w:numPr>
        <w:spacing w:before="480"/>
        <w:ind w:left="366" w:hanging="425"/>
        <w:contextualSpacing/>
        <w:jc w:val="left"/>
        <w:rPr>
          <w:rFonts w:hAnsi="宋体" w:cs="宋体"/>
          <w:szCs w:val="24"/>
        </w:rPr>
      </w:pPr>
      <w:bookmarkStart w:id="14" w:name="_Toc4163"/>
      <w:r>
        <w:rPr>
          <w:rFonts w:hint="eastAsia" w:hAnsi="宋体" w:cs="宋体"/>
          <w:szCs w:val="24"/>
        </w:rPr>
        <w:t>技术性能偏差表</w:t>
      </w:r>
      <w:bookmarkEnd w:id="14"/>
    </w:p>
    <w:p>
      <w:pPr>
        <w:jc w:val="center"/>
        <w:rPr>
          <w:rFonts w:hAnsi="宋体" w:cs="宋体"/>
        </w:rPr>
      </w:pPr>
      <w:r>
        <w:rPr>
          <w:rFonts w:hint="eastAsia" w:hAnsi="宋体" w:cs="宋体"/>
        </w:rPr>
        <w:t>表6 技术性能偏差表</w:t>
      </w:r>
    </w:p>
    <w:tbl>
      <w:tblPr>
        <w:tblStyle w:val="10"/>
        <w:tblW w:w="8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5" w:type="dxa"/>
            <w:vMerge w:val="restart"/>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投标文件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5" w:type="dxa"/>
            <w:vMerge w:val="continue"/>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pStyle w:val="4"/>
        <w:keepNext w:val="0"/>
        <w:keepLines w:val="0"/>
        <w:widowControl/>
        <w:numPr>
          <w:ilvl w:val="0"/>
          <w:numId w:val="1"/>
        </w:numPr>
        <w:spacing w:before="480"/>
        <w:ind w:left="366" w:hanging="425"/>
        <w:contextualSpacing/>
        <w:jc w:val="left"/>
        <w:rPr>
          <w:rFonts w:hAnsi="宋体" w:cs="宋体"/>
          <w:szCs w:val="24"/>
        </w:rPr>
      </w:pPr>
      <w:bookmarkStart w:id="15" w:name="_Toc15698"/>
      <w:r>
        <w:rPr>
          <w:rFonts w:hint="eastAsia" w:hAnsi="宋体" w:cs="宋体"/>
          <w:szCs w:val="24"/>
        </w:rPr>
        <w:t>投标方需要说明的其它问题</w:t>
      </w:r>
      <w:bookmarkEnd w:id="15"/>
    </w:p>
    <w:tbl>
      <w:tblPr>
        <w:tblStyle w:val="10"/>
        <w:tblW w:w="8700"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2" w:hRule="atLeast"/>
        </w:trPr>
        <w:tc>
          <w:tcPr>
            <w:tcW w:w="8700" w:type="dxa"/>
          </w:tcPr>
          <w:p>
            <w:pPr>
              <w:rPr>
                <w:rFonts w:hAnsi="宋体" w:cs="宋体"/>
              </w:rPr>
            </w:pPr>
          </w:p>
          <w:p>
            <w:pPr>
              <w:rPr>
                <w:rFonts w:hAnsi="宋体" w:cs="宋体"/>
              </w:rPr>
            </w:pPr>
          </w:p>
          <w:p>
            <w:pPr>
              <w:rPr>
                <w:rFonts w:hAnsi="宋体" w:cs="宋体"/>
              </w:rPr>
            </w:pPr>
          </w:p>
          <w:p>
            <w:pPr>
              <w:rPr>
                <w:rFonts w:hAnsi="宋体" w:cs="宋体"/>
              </w:rPr>
            </w:pPr>
          </w:p>
          <w:p>
            <w:pPr>
              <w:rPr>
                <w:rFonts w:hAnsi="宋体" w:cs="宋体"/>
              </w:rPr>
            </w:pPr>
          </w:p>
        </w:tc>
      </w:tr>
    </w:tbl>
    <w:p/>
    <w:sectPr>
      <w:headerReference r:id="rId7" w:type="default"/>
      <w:footerReference r:id="rId8"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7</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1562100" cy="266700"/>
          <wp:effectExtent l="0" t="0" r="0" b="0"/>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562100" cy="2667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6E6B83"/>
    <w:multiLevelType w:val="multilevel"/>
    <w:tmpl w:val="146E6B83"/>
    <w:lvl w:ilvl="0" w:tentative="0">
      <w:start w:val="1"/>
      <w:numFmt w:val="decimal"/>
      <w:lvlText w:val="%1"/>
      <w:lvlJc w:val="left"/>
      <w:pPr>
        <w:ind w:left="0" w:firstLine="0"/>
      </w:pPr>
      <w:rPr>
        <w:rFonts w:hint="eastAsia" w:ascii="宋体" w:hAnsi="Times New Roman" w:eastAsia="宋体"/>
        <w:b w:val="0"/>
        <w:i w:val="0"/>
        <w:color w:val="auto"/>
        <w:position w:val="0"/>
        <w:sz w:val="24"/>
      </w:rPr>
    </w:lvl>
    <w:lvl w:ilvl="1" w:tentative="0">
      <w:start w:val="1"/>
      <w:numFmt w:val="decimal"/>
      <w:lvlText w:val="%1.%2"/>
      <w:lvlJc w:val="left"/>
      <w:pPr>
        <w:ind w:left="0" w:firstLine="0"/>
      </w:pPr>
      <w:rPr>
        <w:rFonts w:hint="eastAsia"/>
        <w:b w:val="0"/>
        <w:color w:val="auto"/>
      </w:rPr>
    </w:lvl>
    <w:lvl w:ilvl="2" w:tentative="0">
      <w:start w:val="1"/>
      <w:numFmt w:val="decimal"/>
      <w:lvlText w:val="%1.%2.%3"/>
      <w:lvlJc w:val="left"/>
      <w:pPr>
        <w:ind w:left="0" w:firstLine="0"/>
      </w:pPr>
      <w:rPr>
        <w:rFonts w:hint="eastAsia"/>
        <w:b w:val="0"/>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7%1.%2.%3.%4.%5.%6..%8"/>
      <w:lvlJc w:val="left"/>
      <w:pPr>
        <w:ind w:left="0" w:firstLine="0"/>
      </w:pPr>
      <w:rPr>
        <w:rFonts w:hint="eastAsia"/>
      </w:rPr>
    </w:lvl>
    <w:lvl w:ilvl="8" w:tentative="0">
      <w:start w:val="1"/>
      <w:numFmt w:val="decimal"/>
      <w:lvlText w:val="%8%1.%2.%3.%4.%5.%6.%7..%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zOTc1ZjEwNWIxNWQxM2E5YTY3ZTRlNGY1OTY2Y2EifQ=="/>
  </w:docVars>
  <w:rsids>
    <w:rsidRoot w:val="00172A27"/>
    <w:rsid w:val="00003890"/>
    <w:rsid w:val="000A1023"/>
    <w:rsid w:val="0026594D"/>
    <w:rsid w:val="002E37C8"/>
    <w:rsid w:val="003703A3"/>
    <w:rsid w:val="00385AA0"/>
    <w:rsid w:val="003D6082"/>
    <w:rsid w:val="003F08E9"/>
    <w:rsid w:val="00442284"/>
    <w:rsid w:val="00577558"/>
    <w:rsid w:val="00642989"/>
    <w:rsid w:val="00706630"/>
    <w:rsid w:val="008314A2"/>
    <w:rsid w:val="00860600"/>
    <w:rsid w:val="00902918"/>
    <w:rsid w:val="009126FE"/>
    <w:rsid w:val="00983527"/>
    <w:rsid w:val="009B3CD6"/>
    <w:rsid w:val="00B94B52"/>
    <w:rsid w:val="00C051D3"/>
    <w:rsid w:val="00C20BFD"/>
    <w:rsid w:val="00C22249"/>
    <w:rsid w:val="00E97A22"/>
    <w:rsid w:val="00ED73A6"/>
    <w:rsid w:val="00F1561B"/>
    <w:rsid w:val="00FE7488"/>
    <w:rsid w:val="011A35B7"/>
    <w:rsid w:val="012B661C"/>
    <w:rsid w:val="012F3ECF"/>
    <w:rsid w:val="014359BF"/>
    <w:rsid w:val="0148784C"/>
    <w:rsid w:val="014C12A6"/>
    <w:rsid w:val="0154136E"/>
    <w:rsid w:val="016B3BE5"/>
    <w:rsid w:val="016F7014"/>
    <w:rsid w:val="01744E39"/>
    <w:rsid w:val="01867F3F"/>
    <w:rsid w:val="01995FA5"/>
    <w:rsid w:val="01A4603C"/>
    <w:rsid w:val="01A50268"/>
    <w:rsid w:val="01C73B2F"/>
    <w:rsid w:val="01CB0AD0"/>
    <w:rsid w:val="01CE1DF7"/>
    <w:rsid w:val="01E100F3"/>
    <w:rsid w:val="01E304AB"/>
    <w:rsid w:val="01EC7680"/>
    <w:rsid w:val="01EE36DB"/>
    <w:rsid w:val="01F749B0"/>
    <w:rsid w:val="020738E3"/>
    <w:rsid w:val="02096F01"/>
    <w:rsid w:val="020E7D4B"/>
    <w:rsid w:val="020F685F"/>
    <w:rsid w:val="02185C0B"/>
    <w:rsid w:val="02276429"/>
    <w:rsid w:val="02313263"/>
    <w:rsid w:val="023849EC"/>
    <w:rsid w:val="02393318"/>
    <w:rsid w:val="02464063"/>
    <w:rsid w:val="02482AAF"/>
    <w:rsid w:val="024D7834"/>
    <w:rsid w:val="0268395B"/>
    <w:rsid w:val="026B4204"/>
    <w:rsid w:val="026C5698"/>
    <w:rsid w:val="027276D1"/>
    <w:rsid w:val="0273385A"/>
    <w:rsid w:val="0279651D"/>
    <w:rsid w:val="027D1162"/>
    <w:rsid w:val="027E2569"/>
    <w:rsid w:val="028041F0"/>
    <w:rsid w:val="0290150A"/>
    <w:rsid w:val="029041A6"/>
    <w:rsid w:val="02926191"/>
    <w:rsid w:val="029D25A8"/>
    <w:rsid w:val="02A54AE5"/>
    <w:rsid w:val="02AC671A"/>
    <w:rsid w:val="02D21EF7"/>
    <w:rsid w:val="02D3661D"/>
    <w:rsid w:val="02D768A8"/>
    <w:rsid w:val="02DE0405"/>
    <w:rsid w:val="02E01913"/>
    <w:rsid w:val="02EE60BC"/>
    <w:rsid w:val="02EF561A"/>
    <w:rsid w:val="02F748A7"/>
    <w:rsid w:val="03032971"/>
    <w:rsid w:val="03343040"/>
    <w:rsid w:val="03543C49"/>
    <w:rsid w:val="0365412B"/>
    <w:rsid w:val="03675121"/>
    <w:rsid w:val="0383124A"/>
    <w:rsid w:val="03943DBD"/>
    <w:rsid w:val="03974469"/>
    <w:rsid w:val="03A55424"/>
    <w:rsid w:val="03AE0552"/>
    <w:rsid w:val="03AF37D3"/>
    <w:rsid w:val="03CB393A"/>
    <w:rsid w:val="03D832E5"/>
    <w:rsid w:val="03D97E85"/>
    <w:rsid w:val="03DD3D31"/>
    <w:rsid w:val="03F865F2"/>
    <w:rsid w:val="04052B9D"/>
    <w:rsid w:val="04074A35"/>
    <w:rsid w:val="042352D7"/>
    <w:rsid w:val="0437201E"/>
    <w:rsid w:val="043B20E1"/>
    <w:rsid w:val="04574B72"/>
    <w:rsid w:val="04587C60"/>
    <w:rsid w:val="045C0F6E"/>
    <w:rsid w:val="046E0913"/>
    <w:rsid w:val="04772D5E"/>
    <w:rsid w:val="048E3356"/>
    <w:rsid w:val="04AA6EB3"/>
    <w:rsid w:val="04AD3B96"/>
    <w:rsid w:val="04D97D35"/>
    <w:rsid w:val="04DD1F2D"/>
    <w:rsid w:val="04E5447B"/>
    <w:rsid w:val="04F52CF6"/>
    <w:rsid w:val="04F740C2"/>
    <w:rsid w:val="04FF7865"/>
    <w:rsid w:val="0507479C"/>
    <w:rsid w:val="05165249"/>
    <w:rsid w:val="051C3FB6"/>
    <w:rsid w:val="052C1316"/>
    <w:rsid w:val="05615007"/>
    <w:rsid w:val="056F37D3"/>
    <w:rsid w:val="05743CB5"/>
    <w:rsid w:val="058010D0"/>
    <w:rsid w:val="058C14F8"/>
    <w:rsid w:val="059315D1"/>
    <w:rsid w:val="0599609A"/>
    <w:rsid w:val="059E76A9"/>
    <w:rsid w:val="05AB7F04"/>
    <w:rsid w:val="05B02B5E"/>
    <w:rsid w:val="05BA20E9"/>
    <w:rsid w:val="05CC2D8B"/>
    <w:rsid w:val="05D11AC9"/>
    <w:rsid w:val="05D76519"/>
    <w:rsid w:val="05E059A0"/>
    <w:rsid w:val="05F017E3"/>
    <w:rsid w:val="05F75203"/>
    <w:rsid w:val="06072DDA"/>
    <w:rsid w:val="060772C5"/>
    <w:rsid w:val="061F1858"/>
    <w:rsid w:val="06243C08"/>
    <w:rsid w:val="062465B5"/>
    <w:rsid w:val="063351A2"/>
    <w:rsid w:val="06376741"/>
    <w:rsid w:val="063B5920"/>
    <w:rsid w:val="064501EC"/>
    <w:rsid w:val="064E72E3"/>
    <w:rsid w:val="065108D4"/>
    <w:rsid w:val="06520CB7"/>
    <w:rsid w:val="06704358"/>
    <w:rsid w:val="06751F0C"/>
    <w:rsid w:val="0683241F"/>
    <w:rsid w:val="068547CE"/>
    <w:rsid w:val="06881DF1"/>
    <w:rsid w:val="068E4247"/>
    <w:rsid w:val="069939C6"/>
    <w:rsid w:val="06A03242"/>
    <w:rsid w:val="06A617E3"/>
    <w:rsid w:val="06AB3401"/>
    <w:rsid w:val="06C439CF"/>
    <w:rsid w:val="06CA7011"/>
    <w:rsid w:val="06CF79A7"/>
    <w:rsid w:val="06DC2B3C"/>
    <w:rsid w:val="06EC234F"/>
    <w:rsid w:val="06F003A4"/>
    <w:rsid w:val="06F51AB7"/>
    <w:rsid w:val="06FF098C"/>
    <w:rsid w:val="070236D5"/>
    <w:rsid w:val="07185F5B"/>
    <w:rsid w:val="0722192D"/>
    <w:rsid w:val="072E03AC"/>
    <w:rsid w:val="072F3B20"/>
    <w:rsid w:val="07300840"/>
    <w:rsid w:val="07300E80"/>
    <w:rsid w:val="074A370E"/>
    <w:rsid w:val="076237A4"/>
    <w:rsid w:val="07626D67"/>
    <w:rsid w:val="07630935"/>
    <w:rsid w:val="07662C0E"/>
    <w:rsid w:val="0770619E"/>
    <w:rsid w:val="07727FC7"/>
    <w:rsid w:val="078907FF"/>
    <w:rsid w:val="078B4165"/>
    <w:rsid w:val="078D39B3"/>
    <w:rsid w:val="078F649B"/>
    <w:rsid w:val="079C5438"/>
    <w:rsid w:val="07A76E4C"/>
    <w:rsid w:val="07B803B1"/>
    <w:rsid w:val="07B86FCA"/>
    <w:rsid w:val="07C1384E"/>
    <w:rsid w:val="07D257E9"/>
    <w:rsid w:val="07DE49D0"/>
    <w:rsid w:val="07EB62BE"/>
    <w:rsid w:val="07ED6F08"/>
    <w:rsid w:val="07F2147B"/>
    <w:rsid w:val="080C7846"/>
    <w:rsid w:val="08131B49"/>
    <w:rsid w:val="08176160"/>
    <w:rsid w:val="081D469F"/>
    <w:rsid w:val="081E223B"/>
    <w:rsid w:val="083574F2"/>
    <w:rsid w:val="083C38C4"/>
    <w:rsid w:val="08406222"/>
    <w:rsid w:val="08437CAC"/>
    <w:rsid w:val="086B4808"/>
    <w:rsid w:val="087A72CA"/>
    <w:rsid w:val="08956AC8"/>
    <w:rsid w:val="08A22629"/>
    <w:rsid w:val="08B55A2B"/>
    <w:rsid w:val="08B830CD"/>
    <w:rsid w:val="08C628A5"/>
    <w:rsid w:val="08C83B59"/>
    <w:rsid w:val="08D047F9"/>
    <w:rsid w:val="08E4239C"/>
    <w:rsid w:val="08EE5DEA"/>
    <w:rsid w:val="08F465C7"/>
    <w:rsid w:val="0908370D"/>
    <w:rsid w:val="09116A41"/>
    <w:rsid w:val="092E0869"/>
    <w:rsid w:val="093D1C8C"/>
    <w:rsid w:val="094625A9"/>
    <w:rsid w:val="095F55A0"/>
    <w:rsid w:val="096331F5"/>
    <w:rsid w:val="097B35F5"/>
    <w:rsid w:val="097D69F5"/>
    <w:rsid w:val="09855520"/>
    <w:rsid w:val="098C7576"/>
    <w:rsid w:val="09BD0C7A"/>
    <w:rsid w:val="09C130DE"/>
    <w:rsid w:val="09C54139"/>
    <w:rsid w:val="09C93856"/>
    <w:rsid w:val="09D93E25"/>
    <w:rsid w:val="09DE6D47"/>
    <w:rsid w:val="09E47078"/>
    <w:rsid w:val="09EE497F"/>
    <w:rsid w:val="09FB7C9A"/>
    <w:rsid w:val="09FD0EFB"/>
    <w:rsid w:val="09FF34FD"/>
    <w:rsid w:val="09FF7B0B"/>
    <w:rsid w:val="0A163346"/>
    <w:rsid w:val="0A177CCA"/>
    <w:rsid w:val="0A2F0D05"/>
    <w:rsid w:val="0A2F32CC"/>
    <w:rsid w:val="0A5350CF"/>
    <w:rsid w:val="0A5C7082"/>
    <w:rsid w:val="0A715954"/>
    <w:rsid w:val="0A746220"/>
    <w:rsid w:val="0A753687"/>
    <w:rsid w:val="0A7A49BE"/>
    <w:rsid w:val="0A884029"/>
    <w:rsid w:val="0A9B1244"/>
    <w:rsid w:val="0AAE2945"/>
    <w:rsid w:val="0ABA6796"/>
    <w:rsid w:val="0AD17A90"/>
    <w:rsid w:val="0AE140A0"/>
    <w:rsid w:val="0AE2612A"/>
    <w:rsid w:val="0AE465BD"/>
    <w:rsid w:val="0AEA1993"/>
    <w:rsid w:val="0AF77816"/>
    <w:rsid w:val="0AFD2F49"/>
    <w:rsid w:val="0B012491"/>
    <w:rsid w:val="0B0444DD"/>
    <w:rsid w:val="0B1455D0"/>
    <w:rsid w:val="0B16557B"/>
    <w:rsid w:val="0B1B60F1"/>
    <w:rsid w:val="0B29727B"/>
    <w:rsid w:val="0B3F2802"/>
    <w:rsid w:val="0B4043D0"/>
    <w:rsid w:val="0B504206"/>
    <w:rsid w:val="0B52114F"/>
    <w:rsid w:val="0B935A86"/>
    <w:rsid w:val="0B9475D7"/>
    <w:rsid w:val="0B963357"/>
    <w:rsid w:val="0B9E4443"/>
    <w:rsid w:val="0BB06C69"/>
    <w:rsid w:val="0BBE3CA0"/>
    <w:rsid w:val="0BD12678"/>
    <w:rsid w:val="0BD9286F"/>
    <w:rsid w:val="0BDA7945"/>
    <w:rsid w:val="0BEA0D53"/>
    <w:rsid w:val="0BF06AD4"/>
    <w:rsid w:val="0BF504F5"/>
    <w:rsid w:val="0C0F3C26"/>
    <w:rsid w:val="0C2D4395"/>
    <w:rsid w:val="0C3629D6"/>
    <w:rsid w:val="0C424F49"/>
    <w:rsid w:val="0C564D28"/>
    <w:rsid w:val="0C5D611E"/>
    <w:rsid w:val="0C674BC9"/>
    <w:rsid w:val="0C7721F4"/>
    <w:rsid w:val="0C803E69"/>
    <w:rsid w:val="0C804B65"/>
    <w:rsid w:val="0C806CF5"/>
    <w:rsid w:val="0C837782"/>
    <w:rsid w:val="0C9B3D05"/>
    <w:rsid w:val="0CA73615"/>
    <w:rsid w:val="0CB10DE5"/>
    <w:rsid w:val="0CB61541"/>
    <w:rsid w:val="0CD8392C"/>
    <w:rsid w:val="0CE166F9"/>
    <w:rsid w:val="0CE73BA8"/>
    <w:rsid w:val="0CE94E7E"/>
    <w:rsid w:val="0CF032D2"/>
    <w:rsid w:val="0CFE48C3"/>
    <w:rsid w:val="0D070E67"/>
    <w:rsid w:val="0D2205B1"/>
    <w:rsid w:val="0D246B1B"/>
    <w:rsid w:val="0D254DDF"/>
    <w:rsid w:val="0D257F35"/>
    <w:rsid w:val="0D260F8A"/>
    <w:rsid w:val="0D283383"/>
    <w:rsid w:val="0D2C0A23"/>
    <w:rsid w:val="0D3C2EA0"/>
    <w:rsid w:val="0D4B7A6F"/>
    <w:rsid w:val="0D4E17AA"/>
    <w:rsid w:val="0D4E33B9"/>
    <w:rsid w:val="0D687DE7"/>
    <w:rsid w:val="0D6D4F58"/>
    <w:rsid w:val="0D7B124B"/>
    <w:rsid w:val="0D7E12BE"/>
    <w:rsid w:val="0D8C0190"/>
    <w:rsid w:val="0D925978"/>
    <w:rsid w:val="0D944578"/>
    <w:rsid w:val="0DA4789F"/>
    <w:rsid w:val="0DA5280A"/>
    <w:rsid w:val="0DB92CF5"/>
    <w:rsid w:val="0DBB3B97"/>
    <w:rsid w:val="0DC27EC0"/>
    <w:rsid w:val="0DCE7909"/>
    <w:rsid w:val="0DD7003B"/>
    <w:rsid w:val="0DDA4BCA"/>
    <w:rsid w:val="0DF1760D"/>
    <w:rsid w:val="0E024827"/>
    <w:rsid w:val="0E0D2C81"/>
    <w:rsid w:val="0E1C063C"/>
    <w:rsid w:val="0E205AF7"/>
    <w:rsid w:val="0E282372"/>
    <w:rsid w:val="0E3F0E99"/>
    <w:rsid w:val="0E411880"/>
    <w:rsid w:val="0E4958DE"/>
    <w:rsid w:val="0E4D4BCF"/>
    <w:rsid w:val="0E567C13"/>
    <w:rsid w:val="0E5F7E52"/>
    <w:rsid w:val="0E6B7E67"/>
    <w:rsid w:val="0E743D97"/>
    <w:rsid w:val="0E782331"/>
    <w:rsid w:val="0E837DA4"/>
    <w:rsid w:val="0E8537F8"/>
    <w:rsid w:val="0E8846D5"/>
    <w:rsid w:val="0E9A5A7A"/>
    <w:rsid w:val="0EA62FFF"/>
    <w:rsid w:val="0EAD6C8F"/>
    <w:rsid w:val="0EB23AF7"/>
    <w:rsid w:val="0EC419F7"/>
    <w:rsid w:val="0EC93BF8"/>
    <w:rsid w:val="0ECB725F"/>
    <w:rsid w:val="0ECE3B0E"/>
    <w:rsid w:val="0ED270F3"/>
    <w:rsid w:val="0ED44045"/>
    <w:rsid w:val="0ED64A19"/>
    <w:rsid w:val="0EDA089D"/>
    <w:rsid w:val="0EDC00BB"/>
    <w:rsid w:val="0EF82979"/>
    <w:rsid w:val="0F086979"/>
    <w:rsid w:val="0F1A0C72"/>
    <w:rsid w:val="0F1A44BC"/>
    <w:rsid w:val="0F314C3F"/>
    <w:rsid w:val="0F3826C9"/>
    <w:rsid w:val="0F497D12"/>
    <w:rsid w:val="0F544370"/>
    <w:rsid w:val="0F7D2F79"/>
    <w:rsid w:val="0F834BCE"/>
    <w:rsid w:val="0F861EE7"/>
    <w:rsid w:val="0F9B0FDD"/>
    <w:rsid w:val="0F9F6AF4"/>
    <w:rsid w:val="0FA6376C"/>
    <w:rsid w:val="0FB20BBC"/>
    <w:rsid w:val="0FCD1D60"/>
    <w:rsid w:val="0FE47A0C"/>
    <w:rsid w:val="0FE75C88"/>
    <w:rsid w:val="0FED46DE"/>
    <w:rsid w:val="1017409E"/>
    <w:rsid w:val="10380148"/>
    <w:rsid w:val="10534CBB"/>
    <w:rsid w:val="10682561"/>
    <w:rsid w:val="10712FD2"/>
    <w:rsid w:val="107C5A6F"/>
    <w:rsid w:val="10955AEF"/>
    <w:rsid w:val="10A236D5"/>
    <w:rsid w:val="10C03972"/>
    <w:rsid w:val="10C042F9"/>
    <w:rsid w:val="10CB6104"/>
    <w:rsid w:val="10D410DF"/>
    <w:rsid w:val="10E40500"/>
    <w:rsid w:val="10E4215F"/>
    <w:rsid w:val="10F3527E"/>
    <w:rsid w:val="10F54E45"/>
    <w:rsid w:val="10FB7761"/>
    <w:rsid w:val="11235DFC"/>
    <w:rsid w:val="11254B6E"/>
    <w:rsid w:val="113D0788"/>
    <w:rsid w:val="11490ABC"/>
    <w:rsid w:val="115E21BA"/>
    <w:rsid w:val="115E7A17"/>
    <w:rsid w:val="116D2290"/>
    <w:rsid w:val="11784C87"/>
    <w:rsid w:val="11805ABC"/>
    <w:rsid w:val="11AF1FD9"/>
    <w:rsid w:val="11B273CE"/>
    <w:rsid w:val="11BB388A"/>
    <w:rsid w:val="11D015E8"/>
    <w:rsid w:val="11D25073"/>
    <w:rsid w:val="11D42B5B"/>
    <w:rsid w:val="11D74E77"/>
    <w:rsid w:val="11E92E46"/>
    <w:rsid w:val="11F879C1"/>
    <w:rsid w:val="120103F0"/>
    <w:rsid w:val="12022D6A"/>
    <w:rsid w:val="1203309C"/>
    <w:rsid w:val="120E7D7A"/>
    <w:rsid w:val="12140C86"/>
    <w:rsid w:val="121F4B24"/>
    <w:rsid w:val="122C48F7"/>
    <w:rsid w:val="12302EE0"/>
    <w:rsid w:val="12337A3D"/>
    <w:rsid w:val="12340FFF"/>
    <w:rsid w:val="123838E5"/>
    <w:rsid w:val="125167FB"/>
    <w:rsid w:val="12666965"/>
    <w:rsid w:val="12896C75"/>
    <w:rsid w:val="128A4A71"/>
    <w:rsid w:val="12982A5E"/>
    <w:rsid w:val="129B6018"/>
    <w:rsid w:val="12AB523E"/>
    <w:rsid w:val="12B47FF0"/>
    <w:rsid w:val="12BC47D2"/>
    <w:rsid w:val="12CB6B08"/>
    <w:rsid w:val="12E12A16"/>
    <w:rsid w:val="12EE7842"/>
    <w:rsid w:val="12F22CE0"/>
    <w:rsid w:val="13185967"/>
    <w:rsid w:val="13387214"/>
    <w:rsid w:val="134434B5"/>
    <w:rsid w:val="1349506D"/>
    <w:rsid w:val="134B676D"/>
    <w:rsid w:val="13607B51"/>
    <w:rsid w:val="13646D7F"/>
    <w:rsid w:val="136940A3"/>
    <w:rsid w:val="137D6C5B"/>
    <w:rsid w:val="13864B8E"/>
    <w:rsid w:val="138D2A80"/>
    <w:rsid w:val="138F3816"/>
    <w:rsid w:val="13AD6FFC"/>
    <w:rsid w:val="13BD6E1F"/>
    <w:rsid w:val="13D54333"/>
    <w:rsid w:val="13E544AE"/>
    <w:rsid w:val="13F11461"/>
    <w:rsid w:val="13F17380"/>
    <w:rsid w:val="13F32E78"/>
    <w:rsid w:val="13FA2586"/>
    <w:rsid w:val="14317033"/>
    <w:rsid w:val="144B1799"/>
    <w:rsid w:val="144E1C25"/>
    <w:rsid w:val="1453188D"/>
    <w:rsid w:val="1465478C"/>
    <w:rsid w:val="147079DE"/>
    <w:rsid w:val="14716E06"/>
    <w:rsid w:val="14827BDC"/>
    <w:rsid w:val="14891A12"/>
    <w:rsid w:val="148B39BA"/>
    <w:rsid w:val="14A505BC"/>
    <w:rsid w:val="14A97D56"/>
    <w:rsid w:val="14AD3416"/>
    <w:rsid w:val="14C31976"/>
    <w:rsid w:val="14CA5009"/>
    <w:rsid w:val="14D2438B"/>
    <w:rsid w:val="14EE1CE0"/>
    <w:rsid w:val="14F430B5"/>
    <w:rsid w:val="14FB77C6"/>
    <w:rsid w:val="14FD0448"/>
    <w:rsid w:val="14FE03B1"/>
    <w:rsid w:val="150C0F1A"/>
    <w:rsid w:val="152214AF"/>
    <w:rsid w:val="152F6AEF"/>
    <w:rsid w:val="153570C5"/>
    <w:rsid w:val="15377F23"/>
    <w:rsid w:val="153C0A44"/>
    <w:rsid w:val="153D118C"/>
    <w:rsid w:val="154C3470"/>
    <w:rsid w:val="1566209F"/>
    <w:rsid w:val="157151A1"/>
    <w:rsid w:val="157445D1"/>
    <w:rsid w:val="159D2A6C"/>
    <w:rsid w:val="15C02691"/>
    <w:rsid w:val="15CF4EA3"/>
    <w:rsid w:val="15D469F1"/>
    <w:rsid w:val="15E75985"/>
    <w:rsid w:val="160A044F"/>
    <w:rsid w:val="16283A4D"/>
    <w:rsid w:val="164522F1"/>
    <w:rsid w:val="165343BC"/>
    <w:rsid w:val="16625AB4"/>
    <w:rsid w:val="16635A74"/>
    <w:rsid w:val="166835E0"/>
    <w:rsid w:val="166A443B"/>
    <w:rsid w:val="168702E3"/>
    <w:rsid w:val="169100CC"/>
    <w:rsid w:val="169115CC"/>
    <w:rsid w:val="169F1EBD"/>
    <w:rsid w:val="16A32711"/>
    <w:rsid w:val="16A54284"/>
    <w:rsid w:val="16B43C4D"/>
    <w:rsid w:val="16B72E9A"/>
    <w:rsid w:val="16B85060"/>
    <w:rsid w:val="16C55B1B"/>
    <w:rsid w:val="16CA484F"/>
    <w:rsid w:val="16D92266"/>
    <w:rsid w:val="16DA0DD1"/>
    <w:rsid w:val="16E046ED"/>
    <w:rsid w:val="16F41DB1"/>
    <w:rsid w:val="16F57F1D"/>
    <w:rsid w:val="17005B7F"/>
    <w:rsid w:val="1705320E"/>
    <w:rsid w:val="17094AE7"/>
    <w:rsid w:val="170F67C3"/>
    <w:rsid w:val="17226FB6"/>
    <w:rsid w:val="173C0473"/>
    <w:rsid w:val="173D6C07"/>
    <w:rsid w:val="1740120F"/>
    <w:rsid w:val="17453D6F"/>
    <w:rsid w:val="175F4A54"/>
    <w:rsid w:val="17626C92"/>
    <w:rsid w:val="17636563"/>
    <w:rsid w:val="176775BA"/>
    <w:rsid w:val="176B1140"/>
    <w:rsid w:val="176C27E4"/>
    <w:rsid w:val="17760ED8"/>
    <w:rsid w:val="177A0A15"/>
    <w:rsid w:val="17840CAB"/>
    <w:rsid w:val="179C0427"/>
    <w:rsid w:val="17A35B33"/>
    <w:rsid w:val="17A9055F"/>
    <w:rsid w:val="17AC598A"/>
    <w:rsid w:val="17C242FF"/>
    <w:rsid w:val="17C33E6C"/>
    <w:rsid w:val="17D32190"/>
    <w:rsid w:val="17D75999"/>
    <w:rsid w:val="17D8072A"/>
    <w:rsid w:val="17D87E45"/>
    <w:rsid w:val="17F36C0C"/>
    <w:rsid w:val="180259EA"/>
    <w:rsid w:val="1814044D"/>
    <w:rsid w:val="1832198E"/>
    <w:rsid w:val="18492666"/>
    <w:rsid w:val="18544EA2"/>
    <w:rsid w:val="185D2D01"/>
    <w:rsid w:val="186C3382"/>
    <w:rsid w:val="18841A1E"/>
    <w:rsid w:val="188B3525"/>
    <w:rsid w:val="18A754DE"/>
    <w:rsid w:val="18AD4567"/>
    <w:rsid w:val="18B03442"/>
    <w:rsid w:val="18B703FC"/>
    <w:rsid w:val="18BE5E94"/>
    <w:rsid w:val="18C272A1"/>
    <w:rsid w:val="18D044C4"/>
    <w:rsid w:val="18D13CAD"/>
    <w:rsid w:val="18D90821"/>
    <w:rsid w:val="18EE43F0"/>
    <w:rsid w:val="18F20122"/>
    <w:rsid w:val="18FF1106"/>
    <w:rsid w:val="190D5799"/>
    <w:rsid w:val="192F1FE8"/>
    <w:rsid w:val="193D7381"/>
    <w:rsid w:val="193F4BFC"/>
    <w:rsid w:val="194072EC"/>
    <w:rsid w:val="19550D02"/>
    <w:rsid w:val="19565586"/>
    <w:rsid w:val="196E6F31"/>
    <w:rsid w:val="197B1E5C"/>
    <w:rsid w:val="197C77A4"/>
    <w:rsid w:val="19814F10"/>
    <w:rsid w:val="198717D2"/>
    <w:rsid w:val="198E4E05"/>
    <w:rsid w:val="19975A63"/>
    <w:rsid w:val="199D6C33"/>
    <w:rsid w:val="19BA1140"/>
    <w:rsid w:val="19C5380C"/>
    <w:rsid w:val="19D858F1"/>
    <w:rsid w:val="19DA0055"/>
    <w:rsid w:val="1A0E065B"/>
    <w:rsid w:val="1A2E4DC7"/>
    <w:rsid w:val="1A45512F"/>
    <w:rsid w:val="1A521AA7"/>
    <w:rsid w:val="1A6318B6"/>
    <w:rsid w:val="1A6525DA"/>
    <w:rsid w:val="1A7F1EAD"/>
    <w:rsid w:val="1A7F7E57"/>
    <w:rsid w:val="1A9565D2"/>
    <w:rsid w:val="1A9F146A"/>
    <w:rsid w:val="1AA0463F"/>
    <w:rsid w:val="1AA770AE"/>
    <w:rsid w:val="1AC01D82"/>
    <w:rsid w:val="1AC95E5C"/>
    <w:rsid w:val="1AD373FD"/>
    <w:rsid w:val="1AD64026"/>
    <w:rsid w:val="1AD94DD6"/>
    <w:rsid w:val="1ADC6FAD"/>
    <w:rsid w:val="1ADD2D54"/>
    <w:rsid w:val="1AE173F9"/>
    <w:rsid w:val="1AE679B7"/>
    <w:rsid w:val="1AF12533"/>
    <w:rsid w:val="1B090D5B"/>
    <w:rsid w:val="1B16412B"/>
    <w:rsid w:val="1B1E7583"/>
    <w:rsid w:val="1B3A6583"/>
    <w:rsid w:val="1B475AFA"/>
    <w:rsid w:val="1B4A5382"/>
    <w:rsid w:val="1B5301AC"/>
    <w:rsid w:val="1B612A14"/>
    <w:rsid w:val="1B6C33B2"/>
    <w:rsid w:val="1B852809"/>
    <w:rsid w:val="1B867968"/>
    <w:rsid w:val="1B9C29A6"/>
    <w:rsid w:val="1BAF7580"/>
    <w:rsid w:val="1BB22F18"/>
    <w:rsid w:val="1BB97564"/>
    <w:rsid w:val="1BBA796D"/>
    <w:rsid w:val="1BCA2785"/>
    <w:rsid w:val="1BCF230D"/>
    <w:rsid w:val="1BD44237"/>
    <w:rsid w:val="1BD528BC"/>
    <w:rsid w:val="1BE11C74"/>
    <w:rsid w:val="1BFF4D7D"/>
    <w:rsid w:val="1C112C93"/>
    <w:rsid w:val="1C213F9F"/>
    <w:rsid w:val="1C2967F0"/>
    <w:rsid w:val="1C3130FA"/>
    <w:rsid w:val="1C3823AD"/>
    <w:rsid w:val="1C4C1A5F"/>
    <w:rsid w:val="1C5E57C4"/>
    <w:rsid w:val="1C6D4055"/>
    <w:rsid w:val="1C9F03B0"/>
    <w:rsid w:val="1CC3457F"/>
    <w:rsid w:val="1CDE4410"/>
    <w:rsid w:val="1CE82D83"/>
    <w:rsid w:val="1CF473AE"/>
    <w:rsid w:val="1D044F6F"/>
    <w:rsid w:val="1D046A29"/>
    <w:rsid w:val="1D0635C5"/>
    <w:rsid w:val="1D0B45DA"/>
    <w:rsid w:val="1D193E0F"/>
    <w:rsid w:val="1D232B1C"/>
    <w:rsid w:val="1D246B19"/>
    <w:rsid w:val="1D2F2313"/>
    <w:rsid w:val="1D393269"/>
    <w:rsid w:val="1D504AC7"/>
    <w:rsid w:val="1D512443"/>
    <w:rsid w:val="1D5D6496"/>
    <w:rsid w:val="1D6261F7"/>
    <w:rsid w:val="1D6716EA"/>
    <w:rsid w:val="1D6A2479"/>
    <w:rsid w:val="1D6C51A3"/>
    <w:rsid w:val="1D6F6F54"/>
    <w:rsid w:val="1D723B98"/>
    <w:rsid w:val="1D7F4BDD"/>
    <w:rsid w:val="1D89329E"/>
    <w:rsid w:val="1D8E1614"/>
    <w:rsid w:val="1D8F7C7C"/>
    <w:rsid w:val="1D9712EE"/>
    <w:rsid w:val="1D9D7961"/>
    <w:rsid w:val="1DC30D83"/>
    <w:rsid w:val="1DC45928"/>
    <w:rsid w:val="1DE37891"/>
    <w:rsid w:val="1E0437E7"/>
    <w:rsid w:val="1E073088"/>
    <w:rsid w:val="1E0762E2"/>
    <w:rsid w:val="1E144241"/>
    <w:rsid w:val="1E292597"/>
    <w:rsid w:val="1E2E1B7B"/>
    <w:rsid w:val="1E32158F"/>
    <w:rsid w:val="1E343080"/>
    <w:rsid w:val="1E36229F"/>
    <w:rsid w:val="1E424A1C"/>
    <w:rsid w:val="1E677A93"/>
    <w:rsid w:val="1E6A5293"/>
    <w:rsid w:val="1E8028A2"/>
    <w:rsid w:val="1E8A5EEF"/>
    <w:rsid w:val="1E8B5C3A"/>
    <w:rsid w:val="1E8F4212"/>
    <w:rsid w:val="1E905EC3"/>
    <w:rsid w:val="1E9252D4"/>
    <w:rsid w:val="1E9533E8"/>
    <w:rsid w:val="1E9769E6"/>
    <w:rsid w:val="1E9832A1"/>
    <w:rsid w:val="1E9E1876"/>
    <w:rsid w:val="1EAE0DAE"/>
    <w:rsid w:val="1EAE2AB6"/>
    <w:rsid w:val="1EC032A4"/>
    <w:rsid w:val="1ED07863"/>
    <w:rsid w:val="1ED203A4"/>
    <w:rsid w:val="1ED46DBF"/>
    <w:rsid w:val="1EDB6F2E"/>
    <w:rsid w:val="1EF3273A"/>
    <w:rsid w:val="1EFF21F8"/>
    <w:rsid w:val="1F0A5821"/>
    <w:rsid w:val="1F104F2F"/>
    <w:rsid w:val="1F1747BC"/>
    <w:rsid w:val="1F19066E"/>
    <w:rsid w:val="1F1F11B6"/>
    <w:rsid w:val="1F30452D"/>
    <w:rsid w:val="1F320D69"/>
    <w:rsid w:val="1F35794F"/>
    <w:rsid w:val="1F3F5B71"/>
    <w:rsid w:val="1F42719C"/>
    <w:rsid w:val="1F5344A2"/>
    <w:rsid w:val="1F565686"/>
    <w:rsid w:val="1F65796B"/>
    <w:rsid w:val="1F6C2CD3"/>
    <w:rsid w:val="1F6E3330"/>
    <w:rsid w:val="1F6F6E20"/>
    <w:rsid w:val="1F732040"/>
    <w:rsid w:val="1F880A2D"/>
    <w:rsid w:val="1F983F1B"/>
    <w:rsid w:val="1FAC5E41"/>
    <w:rsid w:val="1FB320CA"/>
    <w:rsid w:val="1FCD5EAA"/>
    <w:rsid w:val="1FCD6A36"/>
    <w:rsid w:val="1FD475CB"/>
    <w:rsid w:val="1FD765C5"/>
    <w:rsid w:val="1FDF59D4"/>
    <w:rsid w:val="1FE54D1F"/>
    <w:rsid w:val="1FE67C64"/>
    <w:rsid w:val="1FF30231"/>
    <w:rsid w:val="200214CA"/>
    <w:rsid w:val="20063FB5"/>
    <w:rsid w:val="200C6430"/>
    <w:rsid w:val="20291F49"/>
    <w:rsid w:val="20325132"/>
    <w:rsid w:val="2033626A"/>
    <w:rsid w:val="203A0031"/>
    <w:rsid w:val="203B50CF"/>
    <w:rsid w:val="203E4199"/>
    <w:rsid w:val="20401188"/>
    <w:rsid w:val="20435CF6"/>
    <w:rsid w:val="2046584A"/>
    <w:rsid w:val="20546735"/>
    <w:rsid w:val="206355AF"/>
    <w:rsid w:val="206B5BDE"/>
    <w:rsid w:val="206D372F"/>
    <w:rsid w:val="20714433"/>
    <w:rsid w:val="20803D90"/>
    <w:rsid w:val="208C7698"/>
    <w:rsid w:val="2091356C"/>
    <w:rsid w:val="209334A8"/>
    <w:rsid w:val="20936DB0"/>
    <w:rsid w:val="20B52247"/>
    <w:rsid w:val="20B766C1"/>
    <w:rsid w:val="20BF621B"/>
    <w:rsid w:val="20D24874"/>
    <w:rsid w:val="20E56523"/>
    <w:rsid w:val="20EA7D43"/>
    <w:rsid w:val="20EB45A8"/>
    <w:rsid w:val="20EE7BA5"/>
    <w:rsid w:val="21007685"/>
    <w:rsid w:val="21150DDF"/>
    <w:rsid w:val="21195E1D"/>
    <w:rsid w:val="21201F99"/>
    <w:rsid w:val="21211AC3"/>
    <w:rsid w:val="21303668"/>
    <w:rsid w:val="213A2739"/>
    <w:rsid w:val="21480284"/>
    <w:rsid w:val="2149055F"/>
    <w:rsid w:val="215D2589"/>
    <w:rsid w:val="21616B9B"/>
    <w:rsid w:val="21701082"/>
    <w:rsid w:val="21701D07"/>
    <w:rsid w:val="2186007B"/>
    <w:rsid w:val="2189171E"/>
    <w:rsid w:val="21973B55"/>
    <w:rsid w:val="21C504F0"/>
    <w:rsid w:val="21CD2EAB"/>
    <w:rsid w:val="21D54B66"/>
    <w:rsid w:val="21DD2A3C"/>
    <w:rsid w:val="21F70A77"/>
    <w:rsid w:val="221628CC"/>
    <w:rsid w:val="221C7185"/>
    <w:rsid w:val="22334456"/>
    <w:rsid w:val="223E0F55"/>
    <w:rsid w:val="225A719E"/>
    <w:rsid w:val="226E701F"/>
    <w:rsid w:val="22A86A7B"/>
    <w:rsid w:val="22CC740B"/>
    <w:rsid w:val="22E06430"/>
    <w:rsid w:val="22E406E3"/>
    <w:rsid w:val="22E76ADF"/>
    <w:rsid w:val="22F41A96"/>
    <w:rsid w:val="22F762B6"/>
    <w:rsid w:val="22F961D5"/>
    <w:rsid w:val="23103011"/>
    <w:rsid w:val="23106FD3"/>
    <w:rsid w:val="2313146F"/>
    <w:rsid w:val="231C2A4C"/>
    <w:rsid w:val="2330301C"/>
    <w:rsid w:val="233139E0"/>
    <w:rsid w:val="233279A4"/>
    <w:rsid w:val="233331C4"/>
    <w:rsid w:val="234704B8"/>
    <w:rsid w:val="235A0FB1"/>
    <w:rsid w:val="235E77A8"/>
    <w:rsid w:val="23611265"/>
    <w:rsid w:val="23632E0D"/>
    <w:rsid w:val="236718CB"/>
    <w:rsid w:val="236B387A"/>
    <w:rsid w:val="237329DB"/>
    <w:rsid w:val="237F13B4"/>
    <w:rsid w:val="239463FD"/>
    <w:rsid w:val="23BF159F"/>
    <w:rsid w:val="23C631C7"/>
    <w:rsid w:val="23EC02A5"/>
    <w:rsid w:val="24162A5B"/>
    <w:rsid w:val="241C5CAC"/>
    <w:rsid w:val="241E1E62"/>
    <w:rsid w:val="242549EE"/>
    <w:rsid w:val="243A4BE4"/>
    <w:rsid w:val="243C1D02"/>
    <w:rsid w:val="24425169"/>
    <w:rsid w:val="245837C4"/>
    <w:rsid w:val="246E3F7F"/>
    <w:rsid w:val="2474456B"/>
    <w:rsid w:val="24794B25"/>
    <w:rsid w:val="247A20D3"/>
    <w:rsid w:val="247B0A6F"/>
    <w:rsid w:val="24A23508"/>
    <w:rsid w:val="24AF66E8"/>
    <w:rsid w:val="24C5738E"/>
    <w:rsid w:val="24D45096"/>
    <w:rsid w:val="24FB3A49"/>
    <w:rsid w:val="24FD3FD5"/>
    <w:rsid w:val="25016E91"/>
    <w:rsid w:val="2518516A"/>
    <w:rsid w:val="252406BC"/>
    <w:rsid w:val="25247622"/>
    <w:rsid w:val="25260D8A"/>
    <w:rsid w:val="25362C4D"/>
    <w:rsid w:val="254069C3"/>
    <w:rsid w:val="25442653"/>
    <w:rsid w:val="254D1B3F"/>
    <w:rsid w:val="255B6C88"/>
    <w:rsid w:val="25665CF1"/>
    <w:rsid w:val="25666F7A"/>
    <w:rsid w:val="256E1DFA"/>
    <w:rsid w:val="25733A7C"/>
    <w:rsid w:val="25816D56"/>
    <w:rsid w:val="259128AC"/>
    <w:rsid w:val="25C06508"/>
    <w:rsid w:val="25C62840"/>
    <w:rsid w:val="25E01BCD"/>
    <w:rsid w:val="25E74788"/>
    <w:rsid w:val="25F1065E"/>
    <w:rsid w:val="25F1679C"/>
    <w:rsid w:val="25F91CB1"/>
    <w:rsid w:val="25FF1D90"/>
    <w:rsid w:val="260B672E"/>
    <w:rsid w:val="26107E06"/>
    <w:rsid w:val="261460EC"/>
    <w:rsid w:val="26167BFD"/>
    <w:rsid w:val="262418F6"/>
    <w:rsid w:val="262F1BE5"/>
    <w:rsid w:val="263827A2"/>
    <w:rsid w:val="264631E9"/>
    <w:rsid w:val="26491A74"/>
    <w:rsid w:val="26910273"/>
    <w:rsid w:val="269347C3"/>
    <w:rsid w:val="26A86578"/>
    <w:rsid w:val="26B31DC1"/>
    <w:rsid w:val="26B3548D"/>
    <w:rsid w:val="26BC5F47"/>
    <w:rsid w:val="26BE46AF"/>
    <w:rsid w:val="26D926E5"/>
    <w:rsid w:val="26DF6E37"/>
    <w:rsid w:val="26EB11DD"/>
    <w:rsid w:val="27072D96"/>
    <w:rsid w:val="271050F8"/>
    <w:rsid w:val="271349E7"/>
    <w:rsid w:val="27147841"/>
    <w:rsid w:val="274F44E1"/>
    <w:rsid w:val="275E183E"/>
    <w:rsid w:val="27611570"/>
    <w:rsid w:val="277175C7"/>
    <w:rsid w:val="277750FB"/>
    <w:rsid w:val="27802826"/>
    <w:rsid w:val="27837E56"/>
    <w:rsid w:val="27896792"/>
    <w:rsid w:val="279A109D"/>
    <w:rsid w:val="279C348E"/>
    <w:rsid w:val="27A73A7B"/>
    <w:rsid w:val="27A93A86"/>
    <w:rsid w:val="27C169CC"/>
    <w:rsid w:val="27C25DCF"/>
    <w:rsid w:val="27D01E78"/>
    <w:rsid w:val="27D21658"/>
    <w:rsid w:val="27DE495F"/>
    <w:rsid w:val="27FB3A37"/>
    <w:rsid w:val="27FC547F"/>
    <w:rsid w:val="28025F40"/>
    <w:rsid w:val="28176655"/>
    <w:rsid w:val="281B4860"/>
    <w:rsid w:val="283649E9"/>
    <w:rsid w:val="284A2F1C"/>
    <w:rsid w:val="284A471A"/>
    <w:rsid w:val="284D0D6F"/>
    <w:rsid w:val="285B5FE8"/>
    <w:rsid w:val="2863558D"/>
    <w:rsid w:val="287525EE"/>
    <w:rsid w:val="287D08F2"/>
    <w:rsid w:val="28996484"/>
    <w:rsid w:val="28B97D50"/>
    <w:rsid w:val="28BF77CB"/>
    <w:rsid w:val="28D25225"/>
    <w:rsid w:val="28DC5955"/>
    <w:rsid w:val="28DC5B36"/>
    <w:rsid w:val="28F92217"/>
    <w:rsid w:val="28FA0047"/>
    <w:rsid w:val="29046258"/>
    <w:rsid w:val="291305BD"/>
    <w:rsid w:val="29246A29"/>
    <w:rsid w:val="292D3329"/>
    <w:rsid w:val="293A3FBA"/>
    <w:rsid w:val="294F214D"/>
    <w:rsid w:val="296827E4"/>
    <w:rsid w:val="297270DB"/>
    <w:rsid w:val="29A73770"/>
    <w:rsid w:val="29AD73C3"/>
    <w:rsid w:val="29BC5639"/>
    <w:rsid w:val="29BF16CA"/>
    <w:rsid w:val="29C40BD9"/>
    <w:rsid w:val="29CF5AEB"/>
    <w:rsid w:val="29D3393E"/>
    <w:rsid w:val="29E0525D"/>
    <w:rsid w:val="29EA6A0F"/>
    <w:rsid w:val="2A055A44"/>
    <w:rsid w:val="2A0C59F5"/>
    <w:rsid w:val="2A0F514C"/>
    <w:rsid w:val="2A145792"/>
    <w:rsid w:val="2A2602C5"/>
    <w:rsid w:val="2A366D10"/>
    <w:rsid w:val="2A371C38"/>
    <w:rsid w:val="2A3745B2"/>
    <w:rsid w:val="2A3956AB"/>
    <w:rsid w:val="2A42352B"/>
    <w:rsid w:val="2A471A20"/>
    <w:rsid w:val="2A4A5DC7"/>
    <w:rsid w:val="2A4B03B1"/>
    <w:rsid w:val="2A8A1067"/>
    <w:rsid w:val="2A9117AC"/>
    <w:rsid w:val="2A9A34B7"/>
    <w:rsid w:val="2A9A4D23"/>
    <w:rsid w:val="2A9D3ED6"/>
    <w:rsid w:val="2AA02292"/>
    <w:rsid w:val="2AB22DC0"/>
    <w:rsid w:val="2AB414BA"/>
    <w:rsid w:val="2AB92548"/>
    <w:rsid w:val="2ABA4EBA"/>
    <w:rsid w:val="2AC86123"/>
    <w:rsid w:val="2AD730A5"/>
    <w:rsid w:val="2AE03C69"/>
    <w:rsid w:val="2AE602C2"/>
    <w:rsid w:val="2AE60765"/>
    <w:rsid w:val="2AF3354E"/>
    <w:rsid w:val="2B0C71C7"/>
    <w:rsid w:val="2B453025"/>
    <w:rsid w:val="2B5E4CDE"/>
    <w:rsid w:val="2B696528"/>
    <w:rsid w:val="2B755DE6"/>
    <w:rsid w:val="2B7963A8"/>
    <w:rsid w:val="2B824137"/>
    <w:rsid w:val="2B8D3DC2"/>
    <w:rsid w:val="2B945ECC"/>
    <w:rsid w:val="2B9F35C7"/>
    <w:rsid w:val="2BD241A0"/>
    <w:rsid w:val="2C044215"/>
    <w:rsid w:val="2C190FA0"/>
    <w:rsid w:val="2C21564E"/>
    <w:rsid w:val="2C2277B8"/>
    <w:rsid w:val="2C251085"/>
    <w:rsid w:val="2C322ABC"/>
    <w:rsid w:val="2C37749E"/>
    <w:rsid w:val="2C403A01"/>
    <w:rsid w:val="2C835797"/>
    <w:rsid w:val="2C850173"/>
    <w:rsid w:val="2C917D60"/>
    <w:rsid w:val="2C98628F"/>
    <w:rsid w:val="2CA523E7"/>
    <w:rsid w:val="2CAB328E"/>
    <w:rsid w:val="2CAE261B"/>
    <w:rsid w:val="2CB728F3"/>
    <w:rsid w:val="2CD7323B"/>
    <w:rsid w:val="2CF76E27"/>
    <w:rsid w:val="2CFC5D6D"/>
    <w:rsid w:val="2CFD5D35"/>
    <w:rsid w:val="2D044185"/>
    <w:rsid w:val="2D294F26"/>
    <w:rsid w:val="2D343328"/>
    <w:rsid w:val="2D3627AF"/>
    <w:rsid w:val="2D40308D"/>
    <w:rsid w:val="2D5209E9"/>
    <w:rsid w:val="2D585283"/>
    <w:rsid w:val="2D7F6BDC"/>
    <w:rsid w:val="2D936905"/>
    <w:rsid w:val="2D9F76F8"/>
    <w:rsid w:val="2DAC3604"/>
    <w:rsid w:val="2DC4349A"/>
    <w:rsid w:val="2DCA7A77"/>
    <w:rsid w:val="2DE8664C"/>
    <w:rsid w:val="2E0431BC"/>
    <w:rsid w:val="2E0645EA"/>
    <w:rsid w:val="2E0A6BD5"/>
    <w:rsid w:val="2E1944E8"/>
    <w:rsid w:val="2E1D7E7F"/>
    <w:rsid w:val="2E577D7E"/>
    <w:rsid w:val="2E59432E"/>
    <w:rsid w:val="2E6D1DA5"/>
    <w:rsid w:val="2E790D1F"/>
    <w:rsid w:val="2E7E386E"/>
    <w:rsid w:val="2E80261B"/>
    <w:rsid w:val="2E804ABC"/>
    <w:rsid w:val="2E8D5B09"/>
    <w:rsid w:val="2E903E70"/>
    <w:rsid w:val="2E9B716F"/>
    <w:rsid w:val="2EAC19F1"/>
    <w:rsid w:val="2EAC2601"/>
    <w:rsid w:val="2EC65809"/>
    <w:rsid w:val="2ECB2BD5"/>
    <w:rsid w:val="2ED4712F"/>
    <w:rsid w:val="2EDC7E20"/>
    <w:rsid w:val="2EDE2E56"/>
    <w:rsid w:val="2EF00A2B"/>
    <w:rsid w:val="2EF11EF8"/>
    <w:rsid w:val="2EF47C7A"/>
    <w:rsid w:val="2EFD076E"/>
    <w:rsid w:val="2F043678"/>
    <w:rsid w:val="2F0A3A24"/>
    <w:rsid w:val="2F144B69"/>
    <w:rsid w:val="2F35339F"/>
    <w:rsid w:val="2F3E5CE7"/>
    <w:rsid w:val="2F5648ED"/>
    <w:rsid w:val="2F643FE5"/>
    <w:rsid w:val="2F830F93"/>
    <w:rsid w:val="2F9408B3"/>
    <w:rsid w:val="2F951705"/>
    <w:rsid w:val="2FAE70A7"/>
    <w:rsid w:val="2FB20232"/>
    <w:rsid w:val="2FC14DBB"/>
    <w:rsid w:val="2FCD2F97"/>
    <w:rsid w:val="2FE16787"/>
    <w:rsid w:val="2FE36B7B"/>
    <w:rsid w:val="2FE7729F"/>
    <w:rsid w:val="2FEE1CC9"/>
    <w:rsid w:val="2FF85155"/>
    <w:rsid w:val="2FF85DEE"/>
    <w:rsid w:val="2FFB49DC"/>
    <w:rsid w:val="30082131"/>
    <w:rsid w:val="30096E7C"/>
    <w:rsid w:val="30190DD3"/>
    <w:rsid w:val="30382F35"/>
    <w:rsid w:val="304F7B0E"/>
    <w:rsid w:val="30526678"/>
    <w:rsid w:val="30635885"/>
    <w:rsid w:val="30786E57"/>
    <w:rsid w:val="30861339"/>
    <w:rsid w:val="30894B1F"/>
    <w:rsid w:val="30A81ECF"/>
    <w:rsid w:val="30B866BB"/>
    <w:rsid w:val="30BC54A6"/>
    <w:rsid w:val="30BE159A"/>
    <w:rsid w:val="30D029AF"/>
    <w:rsid w:val="30E53493"/>
    <w:rsid w:val="30E958FB"/>
    <w:rsid w:val="310F26A7"/>
    <w:rsid w:val="3148249A"/>
    <w:rsid w:val="314A536E"/>
    <w:rsid w:val="314C7C0D"/>
    <w:rsid w:val="3154288E"/>
    <w:rsid w:val="3190468D"/>
    <w:rsid w:val="31923A4B"/>
    <w:rsid w:val="319A591C"/>
    <w:rsid w:val="31A52553"/>
    <w:rsid w:val="31A63A86"/>
    <w:rsid w:val="31B12DAE"/>
    <w:rsid w:val="31B3041F"/>
    <w:rsid w:val="31B65420"/>
    <w:rsid w:val="31C10282"/>
    <w:rsid w:val="31D57F1D"/>
    <w:rsid w:val="31F01A99"/>
    <w:rsid w:val="31F04D23"/>
    <w:rsid w:val="31F9421F"/>
    <w:rsid w:val="31FC591C"/>
    <w:rsid w:val="320D0609"/>
    <w:rsid w:val="321802AB"/>
    <w:rsid w:val="324437FF"/>
    <w:rsid w:val="324546CF"/>
    <w:rsid w:val="324D4148"/>
    <w:rsid w:val="325B0E5F"/>
    <w:rsid w:val="326F6F88"/>
    <w:rsid w:val="32723E54"/>
    <w:rsid w:val="32770584"/>
    <w:rsid w:val="32795905"/>
    <w:rsid w:val="328264CC"/>
    <w:rsid w:val="32AE6C17"/>
    <w:rsid w:val="32B63F61"/>
    <w:rsid w:val="32CA0533"/>
    <w:rsid w:val="32E05A43"/>
    <w:rsid w:val="32F43672"/>
    <w:rsid w:val="33084C6E"/>
    <w:rsid w:val="331B5D6C"/>
    <w:rsid w:val="332B0D04"/>
    <w:rsid w:val="33322925"/>
    <w:rsid w:val="333C578A"/>
    <w:rsid w:val="334C085C"/>
    <w:rsid w:val="335255CF"/>
    <w:rsid w:val="336901D9"/>
    <w:rsid w:val="336C2B5B"/>
    <w:rsid w:val="33774E22"/>
    <w:rsid w:val="3392176B"/>
    <w:rsid w:val="3392223A"/>
    <w:rsid w:val="339D2866"/>
    <w:rsid w:val="33A07BBD"/>
    <w:rsid w:val="33A64C2F"/>
    <w:rsid w:val="33BB16E1"/>
    <w:rsid w:val="33BE1E38"/>
    <w:rsid w:val="33C10D8A"/>
    <w:rsid w:val="33D82C6E"/>
    <w:rsid w:val="340171E2"/>
    <w:rsid w:val="340641EE"/>
    <w:rsid w:val="34133813"/>
    <w:rsid w:val="341F003A"/>
    <w:rsid w:val="342029E5"/>
    <w:rsid w:val="342466EA"/>
    <w:rsid w:val="34286335"/>
    <w:rsid w:val="34476B3D"/>
    <w:rsid w:val="34512653"/>
    <w:rsid w:val="34553FF7"/>
    <w:rsid w:val="346323A9"/>
    <w:rsid w:val="346B1559"/>
    <w:rsid w:val="347A3091"/>
    <w:rsid w:val="3482414D"/>
    <w:rsid w:val="34911D1F"/>
    <w:rsid w:val="34B20845"/>
    <w:rsid w:val="34B3242B"/>
    <w:rsid w:val="34B3595A"/>
    <w:rsid w:val="34BB0B3B"/>
    <w:rsid w:val="34BF6DAC"/>
    <w:rsid w:val="34E11CDE"/>
    <w:rsid w:val="34E825A8"/>
    <w:rsid w:val="34EA248D"/>
    <w:rsid w:val="34F652A4"/>
    <w:rsid w:val="35031FD5"/>
    <w:rsid w:val="350677AA"/>
    <w:rsid w:val="350C0D36"/>
    <w:rsid w:val="351B20AB"/>
    <w:rsid w:val="351F67CB"/>
    <w:rsid w:val="352B58C6"/>
    <w:rsid w:val="35340BBE"/>
    <w:rsid w:val="35346EFB"/>
    <w:rsid w:val="353946D6"/>
    <w:rsid w:val="35402142"/>
    <w:rsid w:val="35406EE5"/>
    <w:rsid w:val="3577501F"/>
    <w:rsid w:val="35850999"/>
    <w:rsid w:val="358D493D"/>
    <w:rsid w:val="359B63AE"/>
    <w:rsid w:val="35A55A89"/>
    <w:rsid w:val="35A90815"/>
    <w:rsid w:val="35AA14B9"/>
    <w:rsid w:val="35CF27D7"/>
    <w:rsid w:val="35E63AB6"/>
    <w:rsid w:val="35EB735E"/>
    <w:rsid w:val="35ED135F"/>
    <w:rsid w:val="35F50F11"/>
    <w:rsid w:val="360D1F58"/>
    <w:rsid w:val="360E556C"/>
    <w:rsid w:val="36150041"/>
    <w:rsid w:val="361817C7"/>
    <w:rsid w:val="36233F62"/>
    <w:rsid w:val="36340110"/>
    <w:rsid w:val="363D39C9"/>
    <w:rsid w:val="36581A39"/>
    <w:rsid w:val="3683192E"/>
    <w:rsid w:val="36AF00E8"/>
    <w:rsid w:val="36B229B0"/>
    <w:rsid w:val="36B74D9A"/>
    <w:rsid w:val="36D651E8"/>
    <w:rsid w:val="36DA5739"/>
    <w:rsid w:val="36DE66DC"/>
    <w:rsid w:val="36E4049E"/>
    <w:rsid w:val="36FF1994"/>
    <w:rsid w:val="37006A6D"/>
    <w:rsid w:val="370553B5"/>
    <w:rsid w:val="371C5660"/>
    <w:rsid w:val="37256685"/>
    <w:rsid w:val="372801F5"/>
    <w:rsid w:val="372B4B72"/>
    <w:rsid w:val="372F41D8"/>
    <w:rsid w:val="37545BC7"/>
    <w:rsid w:val="37714B26"/>
    <w:rsid w:val="37756F78"/>
    <w:rsid w:val="377C3C64"/>
    <w:rsid w:val="378935AE"/>
    <w:rsid w:val="37897D50"/>
    <w:rsid w:val="378C2E76"/>
    <w:rsid w:val="378D69D6"/>
    <w:rsid w:val="37926FAB"/>
    <w:rsid w:val="37932A65"/>
    <w:rsid w:val="379B64F2"/>
    <w:rsid w:val="379D6DB3"/>
    <w:rsid w:val="37A319ED"/>
    <w:rsid w:val="37A36BA3"/>
    <w:rsid w:val="37A57B5A"/>
    <w:rsid w:val="37BF156B"/>
    <w:rsid w:val="37C21428"/>
    <w:rsid w:val="37C31879"/>
    <w:rsid w:val="37C627F6"/>
    <w:rsid w:val="37CF088E"/>
    <w:rsid w:val="37D76310"/>
    <w:rsid w:val="37D83AFF"/>
    <w:rsid w:val="37DF187C"/>
    <w:rsid w:val="37F84740"/>
    <w:rsid w:val="38114EC9"/>
    <w:rsid w:val="381D2141"/>
    <w:rsid w:val="381E35AC"/>
    <w:rsid w:val="38225EB4"/>
    <w:rsid w:val="3826289F"/>
    <w:rsid w:val="3828236D"/>
    <w:rsid w:val="3832348C"/>
    <w:rsid w:val="38340FF3"/>
    <w:rsid w:val="384704AB"/>
    <w:rsid w:val="384D207B"/>
    <w:rsid w:val="385E0D7E"/>
    <w:rsid w:val="385F4639"/>
    <w:rsid w:val="38612AEF"/>
    <w:rsid w:val="386760FA"/>
    <w:rsid w:val="38692313"/>
    <w:rsid w:val="386B47A0"/>
    <w:rsid w:val="38780D27"/>
    <w:rsid w:val="388013BA"/>
    <w:rsid w:val="388C65A0"/>
    <w:rsid w:val="3898040F"/>
    <w:rsid w:val="389E2B69"/>
    <w:rsid w:val="389E7225"/>
    <w:rsid w:val="38A23A59"/>
    <w:rsid w:val="38A7602F"/>
    <w:rsid w:val="38AB34ED"/>
    <w:rsid w:val="38C7303C"/>
    <w:rsid w:val="38CB2FF8"/>
    <w:rsid w:val="38D36968"/>
    <w:rsid w:val="38DB1853"/>
    <w:rsid w:val="38DC7CD8"/>
    <w:rsid w:val="38E77F11"/>
    <w:rsid w:val="38EC6796"/>
    <w:rsid w:val="38ED708C"/>
    <w:rsid w:val="39006843"/>
    <w:rsid w:val="390571F5"/>
    <w:rsid w:val="391853CF"/>
    <w:rsid w:val="392425BE"/>
    <w:rsid w:val="393E4EF1"/>
    <w:rsid w:val="394F5F56"/>
    <w:rsid w:val="39501A47"/>
    <w:rsid w:val="39532512"/>
    <w:rsid w:val="39575DC1"/>
    <w:rsid w:val="3975716D"/>
    <w:rsid w:val="397641E8"/>
    <w:rsid w:val="397A3708"/>
    <w:rsid w:val="3983542F"/>
    <w:rsid w:val="39A26710"/>
    <w:rsid w:val="39A30533"/>
    <w:rsid w:val="39D2719C"/>
    <w:rsid w:val="39D3616A"/>
    <w:rsid w:val="39D3759C"/>
    <w:rsid w:val="39D618FE"/>
    <w:rsid w:val="39D72E32"/>
    <w:rsid w:val="39E119E7"/>
    <w:rsid w:val="3A0F7AA8"/>
    <w:rsid w:val="3A1E2863"/>
    <w:rsid w:val="3A213D56"/>
    <w:rsid w:val="3A385973"/>
    <w:rsid w:val="3A3C6E3F"/>
    <w:rsid w:val="3A3F544F"/>
    <w:rsid w:val="3A450A1C"/>
    <w:rsid w:val="3A553A11"/>
    <w:rsid w:val="3A6C227C"/>
    <w:rsid w:val="3A7A772A"/>
    <w:rsid w:val="3A800B41"/>
    <w:rsid w:val="3A815182"/>
    <w:rsid w:val="3A8B2991"/>
    <w:rsid w:val="3A8D51C7"/>
    <w:rsid w:val="3A992653"/>
    <w:rsid w:val="3A9A7A19"/>
    <w:rsid w:val="3A9E06E5"/>
    <w:rsid w:val="3A9E7EAA"/>
    <w:rsid w:val="3AAD058B"/>
    <w:rsid w:val="3AB22451"/>
    <w:rsid w:val="3AD46ABF"/>
    <w:rsid w:val="3AE15A93"/>
    <w:rsid w:val="3AF92D3A"/>
    <w:rsid w:val="3AF9332D"/>
    <w:rsid w:val="3B0F5A3F"/>
    <w:rsid w:val="3B216B81"/>
    <w:rsid w:val="3B237943"/>
    <w:rsid w:val="3B275F8A"/>
    <w:rsid w:val="3B33532A"/>
    <w:rsid w:val="3B372FB1"/>
    <w:rsid w:val="3B3D413F"/>
    <w:rsid w:val="3B4A49ED"/>
    <w:rsid w:val="3B5539F4"/>
    <w:rsid w:val="3B56028D"/>
    <w:rsid w:val="3B6F11C2"/>
    <w:rsid w:val="3B723644"/>
    <w:rsid w:val="3B7C2C55"/>
    <w:rsid w:val="3B9760D7"/>
    <w:rsid w:val="3BA14E8E"/>
    <w:rsid w:val="3BA455B1"/>
    <w:rsid w:val="3BA64B64"/>
    <w:rsid w:val="3BA650C1"/>
    <w:rsid w:val="3BAA1C26"/>
    <w:rsid w:val="3BBD432A"/>
    <w:rsid w:val="3BC00C10"/>
    <w:rsid w:val="3BC06BE3"/>
    <w:rsid w:val="3BE3505A"/>
    <w:rsid w:val="3BE43535"/>
    <w:rsid w:val="3BF41324"/>
    <w:rsid w:val="3C067D9B"/>
    <w:rsid w:val="3C1874B7"/>
    <w:rsid w:val="3C1A7650"/>
    <w:rsid w:val="3C232937"/>
    <w:rsid w:val="3C25736D"/>
    <w:rsid w:val="3C283F24"/>
    <w:rsid w:val="3C2B4F96"/>
    <w:rsid w:val="3C315183"/>
    <w:rsid w:val="3C3F61F8"/>
    <w:rsid w:val="3C4038DA"/>
    <w:rsid w:val="3C494573"/>
    <w:rsid w:val="3C4F61B8"/>
    <w:rsid w:val="3C4F687F"/>
    <w:rsid w:val="3C5C247D"/>
    <w:rsid w:val="3C736793"/>
    <w:rsid w:val="3C967611"/>
    <w:rsid w:val="3C9A1DFA"/>
    <w:rsid w:val="3C9D746E"/>
    <w:rsid w:val="3CA65BE5"/>
    <w:rsid w:val="3CAF1447"/>
    <w:rsid w:val="3CCC024A"/>
    <w:rsid w:val="3CDD75C0"/>
    <w:rsid w:val="3CE32C4A"/>
    <w:rsid w:val="3CEC4FBF"/>
    <w:rsid w:val="3CED2DC1"/>
    <w:rsid w:val="3CF0309D"/>
    <w:rsid w:val="3CF57F3C"/>
    <w:rsid w:val="3CFB04B4"/>
    <w:rsid w:val="3D0B37F4"/>
    <w:rsid w:val="3D192EBD"/>
    <w:rsid w:val="3D1E474D"/>
    <w:rsid w:val="3D340715"/>
    <w:rsid w:val="3D5D2303"/>
    <w:rsid w:val="3D895238"/>
    <w:rsid w:val="3D8A2F44"/>
    <w:rsid w:val="3D8E23CF"/>
    <w:rsid w:val="3DA04473"/>
    <w:rsid w:val="3DAB1F44"/>
    <w:rsid w:val="3DC11307"/>
    <w:rsid w:val="3DD66075"/>
    <w:rsid w:val="3DD877BC"/>
    <w:rsid w:val="3DDB79FF"/>
    <w:rsid w:val="3DE0520D"/>
    <w:rsid w:val="3DE375FB"/>
    <w:rsid w:val="3DF75D9C"/>
    <w:rsid w:val="3DFF416F"/>
    <w:rsid w:val="3E057B23"/>
    <w:rsid w:val="3E123CB0"/>
    <w:rsid w:val="3E2D20FA"/>
    <w:rsid w:val="3E3C04F2"/>
    <w:rsid w:val="3E407CC1"/>
    <w:rsid w:val="3E544587"/>
    <w:rsid w:val="3E5E30A6"/>
    <w:rsid w:val="3E832A29"/>
    <w:rsid w:val="3EAA7FB5"/>
    <w:rsid w:val="3EBB7187"/>
    <w:rsid w:val="3EBD384C"/>
    <w:rsid w:val="3EBF5C01"/>
    <w:rsid w:val="3EC741BD"/>
    <w:rsid w:val="3ECD75B1"/>
    <w:rsid w:val="3ED84DEE"/>
    <w:rsid w:val="3EE73556"/>
    <w:rsid w:val="3EE95C49"/>
    <w:rsid w:val="3EEA3CE7"/>
    <w:rsid w:val="3EF15C82"/>
    <w:rsid w:val="3EFD263C"/>
    <w:rsid w:val="3F044FF5"/>
    <w:rsid w:val="3F070CD8"/>
    <w:rsid w:val="3F080D66"/>
    <w:rsid w:val="3F0F2492"/>
    <w:rsid w:val="3F100970"/>
    <w:rsid w:val="3F1D23F0"/>
    <w:rsid w:val="3F24733E"/>
    <w:rsid w:val="3F302F8C"/>
    <w:rsid w:val="3F3A058F"/>
    <w:rsid w:val="3F4117C1"/>
    <w:rsid w:val="3F502315"/>
    <w:rsid w:val="3F506F8E"/>
    <w:rsid w:val="3F563B24"/>
    <w:rsid w:val="3F587E91"/>
    <w:rsid w:val="3F616833"/>
    <w:rsid w:val="3F6B2869"/>
    <w:rsid w:val="3F804565"/>
    <w:rsid w:val="3F812FAF"/>
    <w:rsid w:val="3F847A25"/>
    <w:rsid w:val="3F9B6CD1"/>
    <w:rsid w:val="3FA33508"/>
    <w:rsid w:val="3FD0696F"/>
    <w:rsid w:val="3FD46155"/>
    <w:rsid w:val="3FE56171"/>
    <w:rsid w:val="3FF64794"/>
    <w:rsid w:val="400B554D"/>
    <w:rsid w:val="401D6409"/>
    <w:rsid w:val="402167CE"/>
    <w:rsid w:val="403F6141"/>
    <w:rsid w:val="40403958"/>
    <w:rsid w:val="40442589"/>
    <w:rsid w:val="405C6E47"/>
    <w:rsid w:val="40650027"/>
    <w:rsid w:val="406D31C6"/>
    <w:rsid w:val="40714C16"/>
    <w:rsid w:val="408929F0"/>
    <w:rsid w:val="408C34EA"/>
    <w:rsid w:val="408E2C24"/>
    <w:rsid w:val="409639A0"/>
    <w:rsid w:val="40D56BA4"/>
    <w:rsid w:val="40DB3579"/>
    <w:rsid w:val="40E33ED6"/>
    <w:rsid w:val="40E92C80"/>
    <w:rsid w:val="40EC68B2"/>
    <w:rsid w:val="40F83E11"/>
    <w:rsid w:val="40FD5DEB"/>
    <w:rsid w:val="40FE061C"/>
    <w:rsid w:val="4116506C"/>
    <w:rsid w:val="411E7006"/>
    <w:rsid w:val="4120008E"/>
    <w:rsid w:val="41202650"/>
    <w:rsid w:val="412274DE"/>
    <w:rsid w:val="413456FD"/>
    <w:rsid w:val="41415461"/>
    <w:rsid w:val="41470D28"/>
    <w:rsid w:val="41472E1B"/>
    <w:rsid w:val="41685226"/>
    <w:rsid w:val="416C5221"/>
    <w:rsid w:val="416F3168"/>
    <w:rsid w:val="418C1529"/>
    <w:rsid w:val="418E64B5"/>
    <w:rsid w:val="418F019B"/>
    <w:rsid w:val="41A6116C"/>
    <w:rsid w:val="41A92DC2"/>
    <w:rsid w:val="41B94872"/>
    <w:rsid w:val="41E56D38"/>
    <w:rsid w:val="41E71BD7"/>
    <w:rsid w:val="42013A62"/>
    <w:rsid w:val="42336798"/>
    <w:rsid w:val="423B65D5"/>
    <w:rsid w:val="426112C7"/>
    <w:rsid w:val="4263553E"/>
    <w:rsid w:val="426D055F"/>
    <w:rsid w:val="42736652"/>
    <w:rsid w:val="427E792A"/>
    <w:rsid w:val="428D53A6"/>
    <w:rsid w:val="429066D6"/>
    <w:rsid w:val="42954E2C"/>
    <w:rsid w:val="42965DAB"/>
    <w:rsid w:val="42977835"/>
    <w:rsid w:val="429917EF"/>
    <w:rsid w:val="42AA77AB"/>
    <w:rsid w:val="42AF3E9E"/>
    <w:rsid w:val="42B84B3E"/>
    <w:rsid w:val="42BA0213"/>
    <w:rsid w:val="42D34093"/>
    <w:rsid w:val="42D97E13"/>
    <w:rsid w:val="42F442D8"/>
    <w:rsid w:val="43061F1F"/>
    <w:rsid w:val="4309743B"/>
    <w:rsid w:val="430A2CD6"/>
    <w:rsid w:val="430B176D"/>
    <w:rsid w:val="43116001"/>
    <w:rsid w:val="431D5C4D"/>
    <w:rsid w:val="433026B6"/>
    <w:rsid w:val="433A1056"/>
    <w:rsid w:val="435C7425"/>
    <w:rsid w:val="435E0599"/>
    <w:rsid w:val="4388377E"/>
    <w:rsid w:val="439265BE"/>
    <w:rsid w:val="4394129B"/>
    <w:rsid w:val="43AA44D4"/>
    <w:rsid w:val="43B130D7"/>
    <w:rsid w:val="43B74E46"/>
    <w:rsid w:val="43C0778E"/>
    <w:rsid w:val="43CB217C"/>
    <w:rsid w:val="440373A7"/>
    <w:rsid w:val="4406744E"/>
    <w:rsid w:val="441028F6"/>
    <w:rsid w:val="441E2C19"/>
    <w:rsid w:val="44264350"/>
    <w:rsid w:val="443161EC"/>
    <w:rsid w:val="44591501"/>
    <w:rsid w:val="445C331C"/>
    <w:rsid w:val="446C2529"/>
    <w:rsid w:val="447610F5"/>
    <w:rsid w:val="447F0895"/>
    <w:rsid w:val="44801893"/>
    <w:rsid w:val="44853C40"/>
    <w:rsid w:val="44AD5AFE"/>
    <w:rsid w:val="44B25A2D"/>
    <w:rsid w:val="44B8096B"/>
    <w:rsid w:val="44BF107F"/>
    <w:rsid w:val="44C21AE1"/>
    <w:rsid w:val="44C70A94"/>
    <w:rsid w:val="44D94AB5"/>
    <w:rsid w:val="44F60C70"/>
    <w:rsid w:val="44FD1149"/>
    <w:rsid w:val="45020095"/>
    <w:rsid w:val="45041F16"/>
    <w:rsid w:val="45093DA4"/>
    <w:rsid w:val="450944EF"/>
    <w:rsid w:val="451A5258"/>
    <w:rsid w:val="4529026F"/>
    <w:rsid w:val="452A4C25"/>
    <w:rsid w:val="452E78DC"/>
    <w:rsid w:val="452F753A"/>
    <w:rsid w:val="453D08E9"/>
    <w:rsid w:val="454A4047"/>
    <w:rsid w:val="454D3928"/>
    <w:rsid w:val="454D5D99"/>
    <w:rsid w:val="454F54CF"/>
    <w:rsid w:val="457262D2"/>
    <w:rsid w:val="457816CB"/>
    <w:rsid w:val="4582749A"/>
    <w:rsid w:val="45915E5F"/>
    <w:rsid w:val="459A57AF"/>
    <w:rsid w:val="45D960E3"/>
    <w:rsid w:val="45E050BD"/>
    <w:rsid w:val="45E228B5"/>
    <w:rsid w:val="45E5250D"/>
    <w:rsid w:val="45ED5C94"/>
    <w:rsid w:val="45F07288"/>
    <w:rsid w:val="46011560"/>
    <w:rsid w:val="46264B80"/>
    <w:rsid w:val="4627078E"/>
    <w:rsid w:val="462B452E"/>
    <w:rsid w:val="462B5987"/>
    <w:rsid w:val="46336A45"/>
    <w:rsid w:val="465645FE"/>
    <w:rsid w:val="466A47CF"/>
    <w:rsid w:val="46756A73"/>
    <w:rsid w:val="468363B7"/>
    <w:rsid w:val="468817C0"/>
    <w:rsid w:val="468B0DAD"/>
    <w:rsid w:val="469026FD"/>
    <w:rsid w:val="46947B47"/>
    <w:rsid w:val="469D48F0"/>
    <w:rsid w:val="46A53D32"/>
    <w:rsid w:val="46AB37B8"/>
    <w:rsid w:val="46C30444"/>
    <w:rsid w:val="46D81E8D"/>
    <w:rsid w:val="46DB093D"/>
    <w:rsid w:val="46DC2BB8"/>
    <w:rsid w:val="46E543B0"/>
    <w:rsid w:val="46EC1E88"/>
    <w:rsid w:val="46ED351A"/>
    <w:rsid w:val="46F47688"/>
    <w:rsid w:val="46FC02D6"/>
    <w:rsid w:val="46FE1ADB"/>
    <w:rsid w:val="46FF3CC1"/>
    <w:rsid w:val="470F362A"/>
    <w:rsid w:val="47102900"/>
    <w:rsid w:val="47213669"/>
    <w:rsid w:val="473A3485"/>
    <w:rsid w:val="473C0241"/>
    <w:rsid w:val="4741030A"/>
    <w:rsid w:val="47514284"/>
    <w:rsid w:val="47540606"/>
    <w:rsid w:val="47573E15"/>
    <w:rsid w:val="47707CFE"/>
    <w:rsid w:val="479A1DCB"/>
    <w:rsid w:val="479E743D"/>
    <w:rsid w:val="47B61335"/>
    <w:rsid w:val="47C22BD4"/>
    <w:rsid w:val="47C24AF8"/>
    <w:rsid w:val="47C507BB"/>
    <w:rsid w:val="47C577FA"/>
    <w:rsid w:val="47E7269C"/>
    <w:rsid w:val="47F33C88"/>
    <w:rsid w:val="47FE28FF"/>
    <w:rsid w:val="480364FD"/>
    <w:rsid w:val="48085F8B"/>
    <w:rsid w:val="480B1E40"/>
    <w:rsid w:val="48116A23"/>
    <w:rsid w:val="481233BC"/>
    <w:rsid w:val="48166FE1"/>
    <w:rsid w:val="48197269"/>
    <w:rsid w:val="482D49A8"/>
    <w:rsid w:val="48366D4F"/>
    <w:rsid w:val="4848720A"/>
    <w:rsid w:val="484C3AC8"/>
    <w:rsid w:val="484D0E34"/>
    <w:rsid w:val="4858499F"/>
    <w:rsid w:val="485A2C4B"/>
    <w:rsid w:val="485B4220"/>
    <w:rsid w:val="486C1FFA"/>
    <w:rsid w:val="48796038"/>
    <w:rsid w:val="487A1FD2"/>
    <w:rsid w:val="487D04CB"/>
    <w:rsid w:val="48877D93"/>
    <w:rsid w:val="48992E70"/>
    <w:rsid w:val="489A11D9"/>
    <w:rsid w:val="48AA4DF7"/>
    <w:rsid w:val="48B00486"/>
    <w:rsid w:val="48C35D09"/>
    <w:rsid w:val="48D030F6"/>
    <w:rsid w:val="48E6214E"/>
    <w:rsid w:val="48EE430D"/>
    <w:rsid w:val="48F63F59"/>
    <w:rsid w:val="49167873"/>
    <w:rsid w:val="491A4219"/>
    <w:rsid w:val="491D2F8F"/>
    <w:rsid w:val="49256A75"/>
    <w:rsid w:val="4927648D"/>
    <w:rsid w:val="493077F4"/>
    <w:rsid w:val="49553DD3"/>
    <w:rsid w:val="4957258E"/>
    <w:rsid w:val="495970E5"/>
    <w:rsid w:val="496F4EB8"/>
    <w:rsid w:val="497B1E16"/>
    <w:rsid w:val="49891D9E"/>
    <w:rsid w:val="49A6421C"/>
    <w:rsid w:val="49AA45B4"/>
    <w:rsid w:val="49B3151A"/>
    <w:rsid w:val="49B7168D"/>
    <w:rsid w:val="49C12686"/>
    <w:rsid w:val="49E1362E"/>
    <w:rsid w:val="49F14AD2"/>
    <w:rsid w:val="49FB12A1"/>
    <w:rsid w:val="49FC43FF"/>
    <w:rsid w:val="4A1514A3"/>
    <w:rsid w:val="4A250DE9"/>
    <w:rsid w:val="4A2D6650"/>
    <w:rsid w:val="4A2F381A"/>
    <w:rsid w:val="4A3D590C"/>
    <w:rsid w:val="4A4701B6"/>
    <w:rsid w:val="4A62236E"/>
    <w:rsid w:val="4A6442F2"/>
    <w:rsid w:val="4A731A47"/>
    <w:rsid w:val="4A7B12A0"/>
    <w:rsid w:val="4A7B587E"/>
    <w:rsid w:val="4A882C7F"/>
    <w:rsid w:val="4A8D1B17"/>
    <w:rsid w:val="4AA534EC"/>
    <w:rsid w:val="4AB3381F"/>
    <w:rsid w:val="4AB92878"/>
    <w:rsid w:val="4AD531F2"/>
    <w:rsid w:val="4ADB0A78"/>
    <w:rsid w:val="4AE25492"/>
    <w:rsid w:val="4AE5707C"/>
    <w:rsid w:val="4AE858B7"/>
    <w:rsid w:val="4AEC679F"/>
    <w:rsid w:val="4AEF3451"/>
    <w:rsid w:val="4AF06652"/>
    <w:rsid w:val="4AF077E8"/>
    <w:rsid w:val="4AFD5C19"/>
    <w:rsid w:val="4B0A4BB7"/>
    <w:rsid w:val="4B0C4824"/>
    <w:rsid w:val="4B1E423A"/>
    <w:rsid w:val="4B384283"/>
    <w:rsid w:val="4B3B64A8"/>
    <w:rsid w:val="4B446C72"/>
    <w:rsid w:val="4B447982"/>
    <w:rsid w:val="4B464B27"/>
    <w:rsid w:val="4B6A78FF"/>
    <w:rsid w:val="4B914449"/>
    <w:rsid w:val="4B941E3A"/>
    <w:rsid w:val="4B9A08DA"/>
    <w:rsid w:val="4BB35487"/>
    <w:rsid w:val="4BBB7D5D"/>
    <w:rsid w:val="4BC86491"/>
    <w:rsid w:val="4BCC4216"/>
    <w:rsid w:val="4BCD39AF"/>
    <w:rsid w:val="4BF66FE4"/>
    <w:rsid w:val="4BF73FD7"/>
    <w:rsid w:val="4BFB4027"/>
    <w:rsid w:val="4C077399"/>
    <w:rsid w:val="4C0773D8"/>
    <w:rsid w:val="4C080D4F"/>
    <w:rsid w:val="4C0E2073"/>
    <w:rsid w:val="4C112479"/>
    <w:rsid w:val="4C117F59"/>
    <w:rsid w:val="4C181AEC"/>
    <w:rsid w:val="4C182D26"/>
    <w:rsid w:val="4C1A7C01"/>
    <w:rsid w:val="4C221D01"/>
    <w:rsid w:val="4C223DE9"/>
    <w:rsid w:val="4C2B690B"/>
    <w:rsid w:val="4C2E6587"/>
    <w:rsid w:val="4C344101"/>
    <w:rsid w:val="4C3932F2"/>
    <w:rsid w:val="4C51039D"/>
    <w:rsid w:val="4C6D6A0B"/>
    <w:rsid w:val="4C6F1343"/>
    <w:rsid w:val="4C7162B8"/>
    <w:rsid w:val="4C781EB9"/>
    <w:rsid w:val="4C81568A"/>
    <w:rsid w:val="4C826447"/>
    <w:rsid w:val="4C895572"/>
    <w:rsid w:val="4C8B23C0"/>
    <w:rsid w:val="4CA175AE"/>
    <w:rsid w:val="4CB13B4A"/>
    <w:rsid w:val="4CD73A92"/>
    <w:rsid w:val="4CDA0BFB"/>
    <w:rsid w:val="4CDB4F06"/>
    <w:rsid w:val="4CDC1866"/>
    <w:rsid w:val="4CDF4B3A"/>
    <w:rsid w:val="4CF7582E"/>
    <w:rsid w:val="4D0A27B9"/>
    <w:rsid w:val="4D10155D"/>
    <w:rsid w:val="4D181EB0"/>
    <w:rsid w:val="4D2B1FE6"/>
    <w:rsid w:val="4D31395E"/>
    <w:rsid w:val="4D3B7449"/>
    <w:rsid w:val="4D4E2117"/>
    <w:rsid w:val="4D541F77"/>
    <w:rsid w:val="4D560FE3"/>
    <w:rsid w:val="4D605FFE"/>
    <w:rsid w:val="4D663201"/>
    <w:rsid w:val="4D7338C1"/>
    <w:rsid w:val="4D7342B9"/>
    <w:rsid w:val="4D7911E2"/>
    <w:rsid w:val="4D8233F7"/>
    <w:rsid w:val="4D9A0DC7"/>
    <w:rsid w:val="4D9C45C4"/>
    <w:rsid w:val="4DA7375D"/>
    <w:rsid w:val="4DAC6227"/>
    <w:rsid w:val="4DB16E1B"/>
    <w:rsid w:val="4DB33830"/>
    <w:rsid w:val="4DBD1FB4"/>
    <w:rsid w:val="4DBE1573"/>
    <w:rsid w:val="4DCC497A"/>
    <w:rsid w:val="4DD43C50"/>
    <w:rsid w:val="4DDB7AB1"/>
    <w:rsid w:val="4DEA5918"/>
    <w:rsid w:val="4DEE15D5"/>
    <w:rsid w:val="4DFC6C6D"/>
    <w:rsid w:val="4E002FB6"/>
    <w:rsid w:val="4E0327B4"/>
    <w:rsid w:val="4E0C6162"/>
    <w:rsid w:val="4E124B06"/>
    <w:rsid w:val="4E1E3FE9"/>
    <w:rsid w:val="4E2C0028"/>
    <w:rsid w:val="4E691208"/>
    <w:rsid w:val="4EA46066"/>
    <w:rsid w:val="4EAF576C"/>
    <w:rsid w:val="4EB959EB"/>
    <w:rsid w:val="4EC201C3"/>
    <w:rsid w:val="4EC3021F"/>
    <w:rsid w:val="4ECB0CC4"/>
    <w:rsid w:val="4ECE7D93"/>
    <w:rsid w:val="4ED548A9"/>
    <w:rsid w:val="4EDF1BA9"/>
    <w:rsid w:val="4EF4113C"/>
    <w:rsid w:val="4EF96536"/>
    <w:rsid w:val="4F080817"/>
    <w:rsid w:val="4F096D1D"/>
    <w:rsid w:val="4F183286"/>
    <w:rsid w:val="4F1857E6"/>
    <w:rsid w:val="4F2439DD"/>
    <w:rsid w:val="4F3975A5"/>
    <w:rsid w:val="4F452ED8"/>
    <w:rsid w:val="4F482236"/>
    <w:rsid w:val="4F5B1D47"/>
    <w:rsid w:val="4F7B02A3"/>
    <w:rsid w:val="4F7E774F"/>
    <w:rsid w:val="4F8058DF"/>
    <w:rsid w:val="4F8767BD"/>
    <w:rsid w:val="4F884492"/>
    <w:rsid w:val="4F8F7779"/>
    <w:rsid w:val="4F913F56"/>
    <w:rsid w:val="4F9329E7"/>
    <w:rsid w:val="4F97780E"/>
    <w:rsid w:val="4FA441B9"/>
    <w:rsid w:val="4FB9252D"/>
    <w:rsid w:val="4FBA587B"/>
    <w:rsid w:val="4FBF79AB"/>
    <w:rsid w:val="4FC876C2"/>
    <w:rsid w:val="4FE42D62"/>
    <w:rsid w:val="4FFE5E98"/>
    <w:rsid w:val="503504DB"/>
    <w:rsid w:val="50390318"/>
    <w:rsid w:val="503C6171"/>
    <w:rsid w:val="50400874"/>
    <w:rsid w:val="50494710"/>
    <w:rsid w:val="504B5934"/>
    <w:rsid w:val="50506D05"/>
    <w:rsid w:val="505C73F7"/>
    <w:rsid w:val="5062449F"/>
    <w:rsid w:val="5067735C"/>
    <w:rsid w:val="50884409"/>
    <w:rsid w:val="50970592"/>
    <w:rsid w:val="50B032E8"/>
    <w:rsid w:val="50B205D7"/>
    <w:rsid w:val="50C532B1"/>
    <w:rsid w:val="50C6515C"/>
    <w:rsid w:val="50CD2163"/>
    <w:rsid w:val="50CE2ACF"/>
    <w:rsid w:val="50D53824"/>
    <w:rsid w:val="50F25C13"/>
    <w:rsid w:val="50FE2940"/>
    <w:rsid w:val="510A12E4"/>
    <w:rsid w:val="510D0CF8"/>
    <w:rsid w:val="510E0CFA"/>
    <w:rsid w:val="510E5643"/>
    <w:rsid w:val="51110855"/>
    <w:rsid w:val="511D5CA4"/>
    <w:rsid w:val="51206AD7"/>
    <w:rsid w:val="51232961"/>
    <w:rsid w:val="51503B59"/>
    <w:rsid w:val="515610CD"/>
    <w:rsid w:val="516416B0"/>
    <w:rsid w:val="516A6C29"/>
    <w:rsid w:val="517F0604"/>
    <w:rsid w:val="51AB3539"/>
    <w:rsid w:val="51AD3C02"/>
    <w:rsid w:val="51B03B11"/>
    <w:rsid w:val="51B81A0C"/>
    <w:rsid w:val="51BE7BE5"/>
    <w:rsid w:val="51EA2FE4"/>
    <w:rsid w:val="51F32CEE"/>
    <w:rsid w:val="51FB6059"/>
    <w:rsid w:val="521C75CF"/>
    <w:rsid w:val="52244784"/>
    <w:rsid w:val="52282673"/>
    <w:rsid w:val="523636A7"/>
    <w:rsid w:val="52426EEB"/>
    <w:rsid w:val="52503EF6"/>
    <w:rsid w:val="52540D03"/>
    <w:rsid w:val="525775A2"/>
    <w:rsid w:val="526F4455"/>
    <w:rsid w:val="527531D2"/>
    <w:rsid w:val="52812571"/>
    <w:rsid w:val="52881B85"/>
    <w:rsid w:val="52940308"/>
    <w:rsid w:val="52A20D8A"/>
    <w:rsid w:val="52B048E0"/>
    <w:rsid w:val="52C25B73"/>
    <w:rsid w:val="52C50FD8"/>
    <w:rsid w:val="52CF4AB2"/>
    <w:rsid w:val="52F44F20"/>
    <w:rsid w:val="530561FB"/>
    <w:rsid w:val="53066731"/>
    <w:rsid w:val="5312188B"/>
    <w:rsid w:val="531D71DF"/>
    <w:rsid w:val="53253064"/>
    <w:rsid w:val="5335080B"/>
    <w:rsid w:val="533820C5"/>
    <w:rsid w:val="533D1F75"/>
    <w:rsid w:val="533D225C"/>
    <w:rsid w:val="53721C65"/>
    <w:rsid w:val="53791E3F"/>
    <w:rsid w:val="53881E7A"/>
    <w:rsid w:val="5393274A"/>
    <w:rsid w:val="53942E49"/>
    <w:rsid w:val="53C019F1"/>
    <w:rsid w:val="53CC55B9"/>
    <w:rsid w:val="53CE5244"/>
    <w:rsid w:val="53DA7AA1"/>
    <w:rsid w:val="53E959F0"/>
    <w:rsid w:val="54033F54"/>
    <w:rsid w:val="540F05CB"/>
    <w:rsid w:val="54223B3B"/>
    <w:rsid w:val="54240491"/>
    <w:rsid w:val="54325B08"/>
    <w:rsid w:val="543A5EA1"/>
    <w:rsid w:val="544A05E2"/>
    <w:rsid w:val="544D228C"/>
    <w:rsid w:val="54622F27"/>
    <w:rsid w:val="54693AAE"/>
    <w:rsid w:val="54783F09"/>
    <w:rsid w:val="547E1C7F"/>
    <w:rsid w:val="54855100"/>
    <w:rsid w:val="548866BE"/>
    <w:rsid w:val="548A5E8A"/>
    <w:rsid w:val="548F1744"/>
    <w:rsid w:val="54AF1243"/>
    <w:rsid w:val="54B22978"/>
    <w:rsid w:val="54B3550F"/>
    <w:rsid w:val="54BD01EE"/>
    <w:rsid w:val="54BD4CCD"/>
    <w:rsid w:val="54CC118E"/>
    <w:rsid w:val="54CC6531"/>
    <w:rsid w:val="54D0600F"/>
    <w:rsid w:val="54E75282"/>
    <w:rsid w:val="54FE23E1"/>
    <w:rsid w:val="5504685D"/>
    <w:rsid w:val="55057082"/>
    <w:rsid w:val="55064737"/>
    <w:rsid w:val="550765AC"/>
    <w:rsid w:val="55202A40"/>
    <w:rsid w:val="55380D1C"/>
    <w:rsid w:val="554844D3"/>
    <w:rsid w:val="555130E3"/>
    <w:rsid w:val="55582199"/>
    <w:rsid w:val="555F363C"/>
    <w:rsid w:val="557F279B"/>
    <w:rsid w:val="558B234B"/>
    <w:rsid w:val="558F03A6"/>
    <w:rsid w:val="55905325"/>
    <w:rsid w:val="559E4B1D"/>
    <w:rsid w:val="55A32EF2"/>
    <w:rsid w:val="55A61BF4"/>
    <w:rsid w:val="55AA258B"/>
    <w:rsid w:val="55BC74EE"/>
    <w:rsid w:val="55BF3DF6"/>
    <w:rsid w:val="55D426E9"/>
    <w:rsid w:val="55D7657A"/>
    <w:rsid w:val="55DF749E"/>
    <w:rsid w:val="55F81EFF"/>
    <w:rsid w:val="5610000E"/>
    <w:rsid w:val="56161013"/>
    <w:rsid w:val="562D0524"/>
    <w:rsid w:val="56386111"/>
    <w:rsid w:val="563F598B"/>
    <w:rsid w:val="56492CF3"/>
    <w:rsid w:val="566A4125"/>
    <w:rsid w:val="566D2509"/>
    <w:rsid w:val="56887347"/>
    <w:rsid w:val="569452BB"/>
    <w:rsid w:val="56957963"/>
    <w:rsid w:val="56A9574F"/>
    <w:rsid w:val="56B91576"/>
    <w:rsid w:val="56CD5587"/>
    <w:rsid w:val="56D91594"/>
    <w:rsid w:val="56E06413"/>
    <w:rsid w:val="56E464D3"/>
    <w:rsid w:val="56FA58CE"/>
    <w:rsid w:val="57127845"/>
    <w:rsid w:val="572B22B5"/>
    <w:rsid w:val="572F75D0"/>
    <w:rsid w:val="57332AFE"/>
    <w:rsid w:val="574958FA"/>
    <w:rsid w:val="575339CC"/>
    <w:rsid w:val="576A0E39"/>
    <w:rsid w:val="577C6643"/>
    <w:rsid w:val="577C701A"/>
    <w:rsid w:val="57942F97"/>
    <w:rsid w:val="57977E90"/>
    <w:rsid w:val="579F2CF0"/>
    <w:rsid w:val="57C541E6"/>
    <w:rsid w:val="57CF379D"/>
    <w:rsid w:val="57D75BE1"/>
    <w:rsid w:val="57DD592F"/>
    <w:rsid w:val="57E26BC4"/>
    <w:rsid w:val="57E64C44"/>
    <w:rsid w:val="57FC27BA"/>
    <w:rsid w:val="580E0CC0"/>
    <w:rsid w:val="580F3EC6"/>
    <w:rsid w:val="581D0E2F"/>
    <w:rsid w:val="582B5619"/>
    <w:rsid w:val="583C4122"/>
    <w:rsid w:val="583D7D5B"/>
    <w:rsid w:val="58606E11"/>
    <w:rsid w:val="586B3281"/>
    <w:rsid w:val="586E0D6B"/>
    <w:rsid w:val="587C7C1D"/>
    <w:rsid w:val="587E1ED1"/>
    <w:rsid w:val="587F48EC"/>
    <w:rsid w:val="5882050E"/>
    <w:rsid w:val="588D7F44"/>
    <w:rsid w:val="58A46B29"/>
    <w:rsid w:val="58AA0BA1"/>
    <w:rsid w:val="58BB259B"/>
    <w:rsid w:val="58C778DA"/>
    <w:rsid w:val="58D23ECB"/>
    <w:rsid w:val="58D259CC"/>
    <w:rsid w:val="58D27456"/>
    <w:rsid w:val="5902216B"/>
    <w:rsid w:val="5910541D"/>
    <w:rsid w:val="591F0643"/>
    <w:rsid w:val="592235D4"/>
    <w:rsid w:val="593A134C"/>
    <w:rsid w:val="59410425"/>
    <w:rsid w:val="59492BB2"/>
    <w:rsid w:val="594D137B"/>
    <w:rsid w:val="59577B9D"/>
    <w:rsid w:val="59595DE3"/>
    <w:rsid w:val="595D2DD0"/>
    <w:rsid w:val="59646D49"/>
    <w:rsid w:val="596C6A8A"/>
    <w:rsid w:val="596F2829"/>
    <w:rsid w:val="59764CA3"/>
    <w:rsid w:val="597E7E0A"/>
    <w:rsid w:val="59855B1F"/>
    <w:rsid w:val="598629F0"/>
    <w:rsid w:val="598916F3"/>
    <w:rsid w:val="599B0CC7"/>
    <w:rsid w:val="59B30BF6"/>
    <w:rsid w:val="59BD12D8"/>
    <w:rsid w:val="59BE4775"/>
    <w:rsid w:val="59C3677F"/>
    <w:rsid w:val="59D81D19"/>
    <w:rsid w:val="59D87831"/>
    <w:rsid w:val="59F15279"/>
    <w:rsid w:val="59FB71F6"/>
    <w:rsid w:val="5A0954E6"/>
    <w:rsid w:val="5A0A7CE7"/>
    <w:rsid w:val="5A1C1E43"/>
    <w:rsid w:val="5A281635"/>
    <w:rsid w:val="5A2F0219"/>
    <w:rsid w:val="5A4642F6"/>
    <w:rsid w:val="5A480A06"/>
    <w:rsid w:val="5A571991"/>
    <w:rsid w:val="5A5769E4"/>
    <w:rsid w:val="5A596038"/>
    <w:rsid w:val="5A5D4D03"/>
    <w:rsid w:val="5A7E0C24"/>
    <w:rsid w:val="5A835B5A"/>
    <w:rsid w:val="5A933973"/>
    <w:rsid w:val="5A996FB8"/>
    <w:rsid w:val="5A9C3C58"/>
    <w:rsid w:val="5AA07B50"/>
    <w:rsid w:val="5AA400F1"/>
    <w:rsid w:val="5AAC73D8"/>
    <w:rsid w:val="5AAD619E"/>
    <w:rsid w:val="5AC91B41"/>
    <w:rsid w:val="5AD037DF"/>
    <w:rsid w:val="5AD26AF6"/>
    <w:rsid w:val="5AED347B"/>
    <w:rsid w:val="5AFA14D3"/>
    <w:rsid w:val="5B0770C1"/>
    <w:rsid w:val="5B1A317F"/>
    <w:rsid w:val="5B1A720E"/>
    <w:rsid w:val="5B476AED"/>
    <w:rsid w:val="5B753242"/>
    <w:rsid w:val="5BAC7837"/>
    <w:rsid w:val="5BAE4AF3"/>
    <w:rsid w:val="5BB43F11"/>
    <w:rsid w:val="5BC73EFB"/>
    <w:rsid w:val="5BCC4E88"/>
    <w:rsid w:val="5BDA6E83"/>
    <w:rsid w:val="5BE13BC3"/>
    <w:rsid w:val="5BE21E05"/>
    <w:rsid w:val="5BEA56AB"/>
    <w:rsid w:val="5C0D3C0F"/>
    <w:rsid w:val="5C246177"/>
    <w:rsid w:val="5C2B24CA"/>
    <w:rsid w:val="5C3C6458"/>
    <w:rsid w:val="5C3F246F"/>
    <w:rsid w:val="5C511234"/>
    <w:rsid w:val="5C5C2B6A"/>
    <w:rsid w:val="5C5E1DCF"/>
    <w:rsid w:val="5C605009"/>
    <w:rsid w:val="5C6F63D4"/>
    <w:rsid w:val="5C7259A4"/>
    <w:rsid w:val="5C805037"/>
    <w:rsid w:val="5C852C5D"/>
    <w:rsid w:val="5C9B7B5D"/>
    <w:rsid w:val="5CA349B4"/>
    <w:rsid w:val="5CA92244"/>
    <w:rsid w:val="5CAE0CF7"/>
    <w:rsid w:val="5CB4395F"/>
    <w:rsid w:val="5CB87276"/>
    <w:rsid w:val="5CB95BD0"/>
    <w:rsid w:val="5CC177C7"/>
    <w:rsid w:val="5CCC2556"/>
    <w:rsid w:val="5CDF179C"/>
    <w:rsid w:val="5CE91DF5"/>
    <w:rsid w:val="5CEB6B9A"/>
    <w:rsid w:val="5CF85301"/>
    <w:rsid w:val="5CFB6840"/>
    <w:rsid w:val="5CFC25F8"/>
    <w:rsid w:val="5CFC7E56"/>
    <w:rsid w:val="5CFF4637"/>
    <w:rsid w:val="5D096A80"/>
    <w:rsid w:val="5D0F3BDB"/>
    <w:rsid w:val="5D10136E"/>
    <w:rsid w:val="5D2670B0"/>
    <w:rsid w:val="5D3320F9"/>
    <w:rsid w:val="5D400061"/>
    <w:rsid w:val="5D466417"/>
    <w:rsid w:val="5D4D02EC"/>
    <w:rsid w:val="5D4F1E0B"/>
    <w:rsid w:val="5D511BEB"/>
    <w:rsid w:val="5D525934"/>
    <w:rsid w:val="5D7D7263"/>
    <w:rsid w:val="5D83100B"/>
    <w:rsid w:val="5D871E44"/>
    <w:rsid w:val="5D9300FB"/>
    <w:rsid w:val="5DA21B33"/>
    <w:rsid w:val="5DAA7C0A"/>
    <w:rsid w:val="5DB341B5"/>
    <w:rsid w:val="5DB96E5D"/>
    <w:rsid w:val="5DE32C23"/>
    <w:rsid w:val="5DF612F5"/>
    <w:rsid w:val="5E0C6ECC"/>
    <w:rsid w:val="5E204DD1"/>
    <w:rsid w:val="5E3B23EB"/>
    <w:rsid w:val="5E3F076C"/>
    <w:rsid w:val="5E42100A"/>
    <w:rsid w:val="5E4C6141"/>
    <w:rsid w:val="5E4F2949"/>
    <w:rsid w:val="5E576014"/>
    <w:rsid w:val="5E690289"/>
    <w:rsid w:val="5E6A3BCA"/>
    <w:rsid w:val="5E6F735B"/>
    <w:rsid w:val="5E7020EF"/>
    <w:rsid w:val="5E782B13"/>
    <w:rsid w:val="5E7B6B48"/>
    <w:rsid w:val="5EA532B7"/>
    <w:rsid w:val="5EA643D2"/>
    <w:rsid w:val="5EB04E7A"/>
    <w:rsid w:val="5EB21D2C"/>
    <w:rsid w:val="5ECE5669"/>
    <w:rsid w:val="5ED610E6"/>
    <w:rsid w:val="5EDB75BB"/>
    <w:rsid w:val="5EE05AAA"/>
    <w:rsid w:val="5EE61BCF"/>
    <w:rsid w:val="5EFB6F1F"/>
    <w:rsid w:val="5F0B7E1D"/>
    <w:rsid w:val="5F1752CA"/>
    <w:rsid w:val="5F1A142C"/>
    <w:rsid w:val="5F1F2247"/>
    <w:rsid w:val="5F2519CA"/>
    <w:rsid w:val="5F2D2B59"/>
    <w:rsid w:val="5F3068C9"/>
    <w:rsid w:val="5F435338"/>
    <w:rsid w:val="5F4441D7"/>
    <w:rsid w:val="5F4827F3"/>
    <w:rsid w:val="5F482F1C"/>
    <w:rsid w:val="5F5463CA"/>
    <w:rsid w:val="5F56085A"/>
    <w:rsid w:val="5F6D6329"/>
    <w:rsid w:val="5F8B6EA5"/>
    <w:rsid w:val="5F8F7F29"/>
    <w:rsid w:val="5F973114"/>
    <w:rsid w:val="5FBB6311"/>
    <w:rsid w:val="5FD30F66"/>
    <w:rsid w:val="5FD33336"/>
    <w:rsid w:val="5FE06490"/>
    <w:rsid w:val="5FE57A18"/>
    <w:rsid w:val="5FF85B01"/>
    <w:rsid w:val="600065CF"/>
    <w:rsid w:val="60047684"/>
    <w:rsid w:val="600B3AA4"/>
    <w:rsid w:val="6026208D"/>
    <w:rsid w:val="60344C62"/>
    <w:rsid w:val="6035077E"/>
    <w:rsid w:val="603531AF"/>
    <w:rsid w:val="604373B9"/>
    <w:rsid w:val="6055131C"/>
    <w:rsid w:val="605E42D0"/>
    <w:rsid w:val="6070257A"/>
    <w:rsid w:val="60830E94"/>
    <w:rsid w:val="6090623E"/>
    <w:rsid w:val="6094589F"/>
    <w:rsid w:val="6098560F"/>
    <w:rsid w:val="60B660BB"/>
    <w:rsid w:val="60B707E2"/>
    <w:rsid w:val="60C03CB6"/>
    <w:rsid w:val="60D1701C"/>
    <w:rsid w:val="60D24C6B"/>
    <w:rsid w:val="60D56E5B"/>
    <w:rsid w:val="60D71AF4"/>
    <w:rsid w:val="60E624BF"/>
    <w:rsid w:val="60F2325C"/>
    <w:rsid w:val="60FA065F"/>
    <w:rsid w:val="610003C7"/>
    <w:rsid w:val="6101655A"/>
    <w:rsid w:val="61312512"/>
    <w:rsid w:val="614E3D00"/>
    <w:rsid w:val="615041D3"/>
    <w:rsid w:val="616D7BEB"/>
    <w:rsid w:val="616F14B5"/>
    <w:rsid w:val="61C47D6C"/>
    <w:rsid w:val="61CB3911"/>
    <w:rsid w:val="61D8703B"/>
    <w:rsid w:val="61DD05C5"/>
    <w:rsid w:val="61EF0F52"/>
    <w:rsid w:val="61F50DE3"/>
    <w:rsid w:val="61FA7297"/>
    <w:rsid w:val="6203084E"/>
    <w:rsid w:val="6204453B"/>
    <w:rsid w:val="62303F30"/>
    <w:rsid w:val="62355995"/>
    <w:rsid w:val="623B5153"/>
    <w:rsid w:val="624649D6"/>
    <w:rsid w:val="624C5C74"/>
    <w:rsid w:val="62585CD2"/>
    <w:rsid w:val="625A3709"/>
    <w:rsid w:val="62741C0E"/>
    <w:rsid w:val="62857893"/>
    <w:rsid w:val="628E69EA"/>
    <w:rsid w:val="62921A15"/>
    <w:rsid w:val="62A6313E"/>
    <w:rsid w:val="62A845B1"/>
    <w:rsid w:val="62AE0CE9"/>
    <w:rsid w:val="62B750C3"/>
    <w:rsid w:val="62BB58DD"/>
    <w:rsid w:val="62C15D15"/>
    <w:rsid w:val="62D635D6"/>
    <w:rsid w:val="62E367EF"/>
    <w:rsid w:val="62E90848"/>
    <w:rsid w:val="62EB12F4"/>
    <w:rsid w:val="63073C34"/>
    <w:rsid w:val="630F2081"/>
    <w:rsid w:val="63295912"/>
    <w:rsid w:val="63374688"/>
    <w:rsid w:val="633D725E"/>
    <w:rsid w:val="635350ED"/>
    <w:rsid w:val="63620F33"/>
    <w:rsid w:val="63671FC1"/>
    <w:rsid w:val="63761131"/>
    <w:rsid w:val="637C59FC"/>
    <w:rsid w:val="637D105A"/>
    <w:rsid w:val="638711A6"/>
    <w:rsid w:val="63A55E1F"/>
    <w:rsid w:val="63B033E0"/>
    <w:rsid w:val="63BD22A9"/>
    <w:rsid w:val="63C562DE"/>
    <w:rsid w:val="63D90280"/>
    <w:rsid w:val="63EA26B5"/>
    <w:rsid w:val="641656FA"/>
    <w:rsid w:val="6430041D"/>
    <w:rsid w:val="643733C1"/>
    <w:rsid w:val="64394D81"/>
    <w:rsid w:val="64463F9D"/>
    <w:rsid w:val="645A406A"/>
    <w:rsid w:val="64722A62"/>
    <w:rsid w:val="647566B6"/>
    <w:rsid w:val="6476194C"/>
    <w:rsid w:val="647749B0"/>
    <w:rsid w:val="64842A61"/>
    <w:rsid w:val="6493244C"/>
    <w:rsid w:val="64983236"/>
    <w:rsid w:val="649C6C9C"/>
    <w:rsid w:val="649C7BAD"/>
    <w:rsid w:val="649E2BA4"/>
    <w:rsid w:val="64A41F12"/>
    <w:rsid w:val="64AB7F33"/>
    <w:rsid w:val="64B269FD"/>
    <w:rsid w:val="64B30AEA"/>
    <w:rsid w:val="64C44658"/>
    <w:rsid w:val="64C47CA7"/>
    <w:rsid w:val="64CD57E6"/>
    <w:rsid w:val="64D04364"/>
    <w:rsid w:val="64E012ED"/>
    <w:rsid w:val="650470C0"/>
    <w:rsid w:val="650B7DB0"/>
    <w:rsid w:val="650B7DFA"/>
    <w:rsid w:val="650D7246"/>
    <w:rsid w:val="650F4C26"/>
    <w:rsid w:val="651B0933"/>
    <w:rsid w:val="651B4B82"/>
    <w:rsid w:val="65234191"/>
    <w:rsid w:val="652A6106"/>
    <w:rsid w:val="652B6490"/>
    <w:rsid w:val="654D1342"/>
    <w:rsid w:val="65547C73"/>
    <w:rsid w:val="6561522B"/>
    <w:rsid w:val="65634852"/>
    <w:rsid w:val="65671EEE"/>
    <w:rsid w:val="656F4F1A"/>
    <w:rsid w:val="65836415"/>
    <w:rsid w:val="658631BB"/>
    <w:rsid w:val="65894967"/>
    <w:rsid w:val="658F4675"/>
    <w:rsid w:val="65A33EB3"/>
    <w:rsid w:val="65A363EB"/>
    <w:rsid w:val="65A941A7"/>
    <w:rsid w:val="65BA1D3C"/>
    <w:rsid w:val="65C76070"/>
    <w:rsid w:val="65E01DB1"/>
    <w:rsid w:val="65FC60AE"/>
    <w:rsid w:val="660E2008"/>
    <w:rsid w:val="661F1596"/>
    <w:rsid w:val="6637487C"/>
    <w:rsid w:val="66384E3A"/>
    <w:rsid w:val="66410976"/>
    <w:rsid w:val="664340A2"/>
    <w:rsid w:val="664E3841"/>
    <w:rsid w:val="664F3E21"/>
    <w:rsid w:val="66587DDA"/>
    <w:rsid w:val="66645E21"/>
    <w:rsid w:val="667D0406"/>
    <w:rsid w:val="667F00A9"/>
    <w:rsid w:val="66897E1C"/>
    <w:rsid w:val="668A2C86"/>
    <w:rsid w:val="668D75C3"/>
    <w:rsid w:val="66927B75"/>
    <w:rsid w:val="66AA2B38"/>
    <w:rsid w:val="66C83811"/>
    <w:rsid w:val="66D00B6B"/>
    <w:rsid w:val="66DC1D7E"/>
    <w:rsid w:val="66DD3DB6"/>
    <w:rsid w:val="66EC15A7"/>
    <w:rsid w:val="66EE7FA2"/>
    <w:rsid w:val="66F10705"/>
    <w:rsid w:val="66FD1A98"/>
    <w:rsid w:val="6727706B"/>
    <w:rsid w:val="672F145F"/>
    <w:rsid w:val="67367F6C"/>
    <w:rsid w:val="673F5F16"/>
    <w:rsid w:val="67493352"/>
    <w:rsid w:val="67695F4F"/>
    <w:rsid w:val="676A319D"/>
    <w:rsid w:val="676F0CE3"/>
    <w:rsid w:val="67701FBC"/>
    <w:rsid w:val="677B7B72"/>
    <w:rsid w:val="679D6D21"/>
    <w:rsid w:val="67BF52E8"/>
    <w:rsid w:val="67D020CA"/>
    <w:rsid w:val="67D722BB"/>
    <w:rsid w:val="67D82EF6"/>
    <w:rsid w:val="67E27511"/>
    <w:rsid w:val="67E63EF5"/>
    <w:rsid w:val="67F10B47"/>
    <w:rsid w:val="68001280"/>
    <w:rsid w:val="681409AD"/>
    <w:rsid w:val="682002EA"/>
    <w:rsid w:val="682116BD"/>
    <w:rsid w:val="682B6C7E"/>
    <w:rsid w:val="683824B8"/>
    <w:rsid w:val="68464F52"/>
    <w:rsid w:val="684C0C3D"/>
    <w:rsid w:val="68605AF0"/>
    <w:rsid w:val="68625143"/>
    <w:rsid w:val="68633343"/>
    <w:rsid w:val="686B6201"/>
    <w:rsid w:val="68715048"/>
    <w:rsid w:val="68756336"/>
    <w:rsid w:val="687605B1"/>
    <w:rsid w:val="687D0ACA"/>
    <w:rsid w:val="688762DE"/>
    <w:rsid w:val="688F5F46"/>
    <w:rsid w:val="68934DB4"/>
    <w:rsid w:val="68AC0F49"/>
    <w:rsid w:val="68B52709"/>
    <w:rsid w:val="68BA29E7"/>
    <w:rsid w:val="68BE4885"/>
    <w:rsid w:val="68C159A3"/>
    <w:rsid w:val="68CD25BC"/>
    <w:rsid w:val="68DD75AC"/>
    <w:rsid w:val="68FB18CC"/>
    <w:rsid w:val="68FF264E"/>
    <w:rsid w:val="69127D22"/>
    <w:rsid w:val="691C4FD1"/>
    <w:rsid w:val="69252784"/>
    <w:rsid w:val="692D49F5"/>
    <w:rsid w:val="693C6CA3"/>
    <w:rsid w:val="694346B4"/>
    <w:rsid w:val="69490516"/>
    <w:rsid w:val="694F48D8"/>
    <w:rsid w:val="695B65F7"/>
    <w:rsid w:val="6964554A"/>
    <w:rsid w:val="696843DE"/>
    <w:rsid w:val="69790570"/>
    <w:rsid w:val="698A1F2C"/>
    <w:rsid w:val="6990169E"/>
    <w:rsid w:val="6991191E"/>
    <w:rsid w:val="69A57823"/>
    <w:rsid w:val="69AA75BB"/>
    <w:rsid w:val="69C06D65"/>
    <w:rsid w:val="69C06E91"/>
    <w:rsid w:val="69C676F0"/>
    <w:rsid w:val="69CB3170"/>
    <w:rsid w:val="69D6327F"/>
    <w:rsid w:val="69D96060"/>
    <w:rsid w:val="69DB24D1"/>
    <w:rsid w:val="69E07FBE"/>
    <w:rsid w:val="69E5309F"/>
    <w:rsid w:val="69E74C05"/>
    <w:rsid w:val="69EA6B99"/>
    <w:rsid w:val="69EF4B7C"/>
    <w:rsid w:val="69F94F3E"/>
    <w:rsid w:val="6A1C730F"/>
    <w:rsid w:val="6A2859AF"/>
    <w:rsid w:val="6A2F735C"/>
    <w:rsid w:val="6A402033"/>
    <w:rsid w:val="6A500583"/>
    <w:rsid w:val="6A533742"/>
    <w:rsid w:val="6A552179"/>
    <w:rsid w:val="6A5873A3"/>
    <w:rsid w:val="6A7A44D0"/>
    <w:rsid w:val="6A7E3ADE"/>
    <w:rsid w:val="6A8202BC"/>
    <w:rsid w:val="6A8737B9"/>
    <w:rsid w:val="6A8D064F"/>
    <w:rsid w:val="6A8F4ECC"/>
    <w:rsid w:val="6A970463"/>
    <w:rsid w:val="6A9B0C1B"/>
    <w:rsid w:val="6A9B6002"/>
    <w:rsid w:val="6AA144B6"/>
    <w:rsid w:val="6AC32439"/>
    <w:rsid w:val="6AC5269E"/>
    <w:rsid w:val="6ACE5399"/>
    <w:rsid w:val="6ADA4D36"/>
    <w:rsid w:val="6AF03032"/>
    <w:rsid w:val="6AF32215"/>
    <w:rsid w:val="6AF96813"/>
    <w:rsid w:val="6B03222C"/>
    <w:rsid w:val="6B09115C"/>
    <w:rsid w:val="6B0B4E0A"/>
    <w:rsid w:val="6B207F57"/>
    <w:rsid w:val="6B224BAA"/>
    <w:rsid w:val="6B2D092B"/>
    <w:rsid w:val="6B353C6C"/>
    <w:rsid w:val="6B364956"/>
    <w:rsid w:val="6B374BAF"/>
    <w:rsid w:val="6B466A8E"/>
    <w:rsid w:val="6B5955DF"/>
    <w:rsid w:val="6B5C306A"/>
    <w:rsid w:val="6B5F0ACB"/>
    <w:rsid w:val="6B600B55"/>
    <w:rsid w:val="6B630E14"/>
    <w:rsid w:val="6B6925FA"/>
    <w:rsid w:val="6B6F1B21"/>
    <w:rsid w:val="6B7C3E71"/>
    <w:rsid w:val="6B7F710A"/>
    <w:rsid w:val="6BA05FDE"/>
    <w:rsid w:val="6BA3018C"/>
    <w:rsid w:val="6BAB7928"/>
    <w:rsid w:val="6BD37B87"/>
    <w:rsid w:val="6BE33F23"/>
    <w:rsid w:val="6BE46067"/>
    <w:rsid w:val="6BEF482F"/>
    <w:rsid w:val="6BF5541F"/>
    <w:rsid w:val="6C0F46E3"/>
    <w:rsid w:val="6C150ECB"/>
    <w:rsid w:val="6C1D1756"/>
    <w:rsid w:val="6C3112BF"/>
    <w:rsid w:val="6C353BDD"/>
    <w:rsid w:val="6C4367C8"/>
    <w:rsid w:val="6C494BE5"/>
    <w:rsid w:val="6C575505"/>
    <w:rsid w:val="6C6219C2"/>
    <w:rsid w:val="6C8E61E8"/>
    <w:rsid w:val="6C9D1DB4"/>
    <w:rsid w:val="6CA32F41"/>
    <w:rsid w:val="6CA60C6C"/>
    <w:rsid w:val="6CB14F81"/>
    <w:rsid w:val="6CC247D7"/>
    <w:rsid w:val="6CD02ED5"/>
    <w:rsid w:val="6CDD3A62"/>
    <w:rsid w:val="6CF26331"/>
    <w:rsid w:val="6D122238"/>
    <w:rsid w:val="6D15165E"/>
    <w:rsid w:val="6D1545AE"/>
    <w:rsid w:val="6D292487"/>
    <w:rsid w:val="6D3D5F38"/>
    <w:rsid w:val="6D3F7795"/>
    <w:rsid w:val="6D4171AE"/>
    <w:rsid w:val="6D44437E"/>
    <w:rsid w:val="6D69480F"/>
    <w:rsid w:val="6D6C0A9B"/>
    <w:rsid w:val="6D7E299B"/>
    <w:rsid w:val="6D82339C"/>
    <w:rsid w:val="6D8427BF"/>
    <w:rsid w:val="6DAE66CF"/>
    <w:rsid w:val="6DBE7200"/>
    <w:rsid w:val="6DC07D30"/>
    <w:rsid w:val="6DC56CF4"/>
    <w:rsid w:val="6DC64AF3"/>
    <w:rsid w:val="6DC659CE"/>
    <w:rsid w:val="6DC67777"/>
    <w:rsid w:val="6DC83483"/>
    <w:rsid w:val="6DDC4D95"/>
    <w:rsid w:val="6DE037DB"/>
    <w:rsid w:val="6DE255A9"/>
    <w:rsid w:val="6DE57DC9"/>
    <w:rsid w:val="6DF212E9"/>
    <w:rsid w:val="6DF92D09"/>
    <w:rsid w:val="6E055B67"/>
    <w:rsid w:val="6E3B0F2D"/>
    <w:rsid w:val="6E3B1043"/>
    <w:rsid w:val="6E483D74"/>
    <w:rsid w:val="6E511081"/>
    <w:rsid w:val="6E6921A9"/>
    <w:rsid w:val="6E6F7D6D"/>
    <w:rsid w:val="6E7300D6"/>
    <w:rsid w:val="6E9D12C5"/>
    <w:rsid w:val="6E9E5D32"/>
    <w:rsid w:val="6EA801C2"/>
    <w:rsid w:val="6EAA6B68"/>
    <w:rsid w:val="6EC20EAC"/>
    <w:rsid w:val="6EE860F6"/>
    <w:rsid w:val="6EEC2C41"/>
    <w:rsid w:val="6EF24B58"/>
    <w:rsid w:val="6EFB664D"/>
    <w:rsid w:val="6F12036C"/>
    <w:rsid w:val="6F1A0792"/>
    <w:rsid w:val="6F1F0B90"/>
    <w:rsid w:val="6F2779FB"/>
    <w:rsid w:val="6F2F4B64"/>
    <w:rsid w:val="6F3D07AF"/>
    <w:rsid w:val="6F424616"/>
    <w:rsid w:val="6F4F3A3F"/>
    <w:rsid w:val="6F675FAB"/>
    <w:rsid w:val="6F7B19AB"/>
    <w:rsid w:val="6F7C5C16"/>
    <w:rsid w:val="6F9D0404"/>
    <w:rsid w:val="6F9F01C3"/>
    <w:rsid w:val="6F9F2F7B"/>
    <w:rsid w:val="6FAC16A8"/>
    <w:rsid w:val="6FBF0E20"/>
    <w:rsid w:val="6FC14882"/>
    <w:rsid w:val="6FD15F4D"/>
    <w:rsid w:val="6FD3617A"/>
    <w:rsid w:val="6FDC2EC3"/>
    <w:rsid w:val="6FDC76DA"/>
    <w:rsid w:val="6FFE488A"/>
    <w:rsid w:val="70195B0D"/>
    <w:rsid w:val="70212A77"/>
    <w:rsid w:val="70285A69"/>
    <w:rsid w:val="702C27AD"/>
    <w:rsid w:val="70562137"/>
    <w:rsid w:val="705750FF"/>
    <w:rsid w:val="70580DC4"/>
    <w:rsid w:val="7065738A"/>
    <w:rsid w:val="70710A9D"/>
    <w:rsid w:val="708C4D13"/>
    <w:rsid w:val="70AC4287"/>
    <w:rsid w:val="70B15611"/>
    <w:rsid w:val="70B326B5"/>
    <w:rsid w:val="70BC1808"/>
    <w:rsid w:val="70C337F7"/>
    <w:rsid w:val="70E50CDE"/>
    <w:rsid w:val="70E61A06"/>
    <w:rsid w:val="70EB459A"/>
    <w:rsid w:val="70ED5388"/>
    <w:rsid w:val="70EF7297"/>
    <w:rsid w:val="710C17F1"/>
    <w:rsid w:val="71172BB3"/>
    <w:rsid w:val="712310D5"/>
    <w:rsid w:val="71245419"/>
    <w:rsid w:val="71294B48"/>
    <w:rsid w:val="71387095"/>
    <w:rsid w:val="713F3DEC"/>
    <w:rsid w:val="71500DB3"/>
    <w:rsid w:val="71572F70"/>
    <w:rsid w:val="715946EA"/>
    <w:rsid w:val="716869D7"/>
    <w:rsid w:val="717D5285"/>
    <w:rsid w:val="71951B7C"/>
    <w:rsid w:val="719D018F"/>
    <w:rsid w:val="71C45A2E"/>
    <w:rsid w:val="71F928E8"/>
    <w:rsid w:val="71FC7035"/>
    <w:rsid w:val="720F6D77"/>
    <w:rsid w:val="72117EA9"/>
    <w:rsid w:val="72165906"/>
    <w:rsid w:val="721E1063"/>
    <w:rsid w:val="72206E3B"/>
    <w:rsid w:val="72214077"/>
    <w:rsid w:val="722A3062"/>
    <w:rsid w:val="72353E57"/>
    <w:rsid w:val="723F3744"/>
    <w:rsid w:val="72402F0F"/>
    <w:rsid w:val="72454434"/>
    <w:rsid w:val="724653A0"/>
    <w:rsid w:val="725C7742"/>
    <w:rsid w:val="726F4F19"/>
    <w:rsid w:val="727C76E6"/>
    <w:rsid w:val="72815D47"/>
    <w:rsid w:val="72837FD1"/>
    <w:rsid w:val="728C26B7"/>
    <w:rsid w:val="728D43D1"/>
    <w:rsid w:val="72960935"/>
    <w:rsid w:val="72B56B28"/>
    <w:rsid w:val="72B6653B"/>
    <w:rsid w:val="72B929C5"/>
    <w:rsid w:val="72FE101A"/>
    <w:rsid w:val="73050DAE"/>
    <w:rsid w:val="731C564F"/>
    <w:rsid w:val="733C655D"/>
    <w:rsid w:val="733D0B73"/>
    <w:rsid w:val="734E3940"/>
    <w:rsid w:val="73595BE2"/>
    <w:rsid w:val="736B5E7D"/>
    <w:rsid w:val="737C7C3C"/>
    <w:rsid w:val="737E5BE0"/>
    <w:rsid w:val="738D09DE"/>
    <w:rsid w:val="73947F71"/>
    <w:rsid w:val="739C52AD"/>
    <w:rsid w:val="73A1343D"/>
    <w:rsid w:val="73A26DF8"/>
    <w:rsid w:val="73AA1E6D"/>
    <w:rsid w:val="73AD10BD"/>
    <w:rsid w:val="73AF23BA"/>
    <w:rsid w:val="73B857BC"/>
    <w:rsid w:val="73B95412"/>
    <w:rsid w:val="73BA62DD"/>
    <w:rsid w:val="73BC4BB2"/>
    <w:rsid w:val="73C058B1"/>
    <w:rsid w:val="73C14044"/>
    <w:rsid w:val="73C93546"/>
    <w:rsid w:val="73D46DA9"/>
    <w:rsid w:val="73D54291"/>
    <w:rsid w:val="73DC643E"/>
    <w:rsid w:val="73F716FE"/>
    <w:rsid w:val="73FA77F2"/>
    <w:rsid w:val="740A3FE4"/>
    <w:rsid w:val="740C38C8"/>
    <w:rsid w:val="741915E0"/>
    <w:rsid w:val="741B176D"/>
    <w:rsid w:val="74227B87"/>
    <w:rsid w:val="74295CB8"/>
    <w:rsid w:val="74363F96"/>
    <w:rsid w:val="74394C6B"/>
    <w:rsid w:val="743E18F4"/>
    <w:rsid w:val="744739EC"/>
    <w:rsid w:val="7459598E"/>
    <w:rsid w:val="745D214B"/>
    <w:rsid w:val="74710213"/>
    <w:rsid w:val="74790CC3"/>
    <w:rsid w:val="747F75F2"/>
    <w:rsid w:val="74953B7E"/>
    <w:rsid w:val="74B3723F"/>
    <w:rsid w:val="74B7386C"/>
    <w:rsid w:val="74BA0A2D"/>
    <w:rsid w:val="74CC2408"/>
    <w:rsid w:val="74CC48A9"/>
    <w:rsid w:val="74DD4475"/>
    <w:rsid w:val="74EA3060"/>
    <w:rsid w:val="74FA725A"/>
    <w:rsid w:val="75081DFF"/>
    <w:rsid w:val="751001AC"/>
    <w:rsid w:val="75121614"/>
    <w:rsid w:val="753B32B5"/>
    <w:rsid w:val="75617225"/>
    <w:rsid w:val="75672FCE"/>
    <w:rsid w:val="75715B42"/>
    <w:rsid w:val="757171C5"/>
    <w:rsid w:val="757B3D1C"/>
    <w:rsid w:val="757D4736"/>
    <w:rsid w:val="757E5981"/>
    <w:rsid w:val="757E7898"/>
    <w:rsid w:val="758418FE"/>
    <w:rsid w:val="758827DC"/>
    <w:rsid w:val="758D4E7A"/>
    <w:rsid w:val="758E29CC"/>
    <w:rsid w:val="75AE2DD1"/>
    <w:rsid w:val="75BF09C1"/>
    <w:rsid w:val="75C73094"/>
    <w:rsid w:val="75D17159"/>
    <w:rsid w:val="75D56FBD"/>
    <w:rsid w:val="75F94C46"/>
    <w:rsid w:val="760C2AD0"/>
    <w:rsid w:val="76102FC7"/>
    <w:rsid w:val="76176784"/>
    <w:rsid w:val="761941F1"/>
    <w:rsid w:val="761D3EE5"/>
    <w:rsid w:val="762F0BFD"/>
    <w:rsid w:val="763110D0"/>
    <w:rsid w:val="76392328"/>
    <w:rsid w:val="76516AC3"/>
    <w:rsid w:val="76595405"/>
    <w:rsid w:val="765E337E"/>
    <w:rsid w:val="765E687D"/>
    <w:rsid w:val="766C52B2"/>
    <w:rsid w:val="76773037"/>
    <w:rsid w:val="76793B2D"/>
    <w:rsid w:val="767C19EB"/>
    <w:rsid w:val="767C59C7"/>
    <w:rsid w:val="7696726A"/>
    <w:rsid w:val="76974401"/>
    <w:rsid w:val="7698573F"/>
    <w:rsid w:val="76A0122C"/>
    <w:rsid w:val="76A46963"/>
    <w:rsid w:val="76A70895"/>
    <w:rsid w:val="76AF4A4F"/>
    <w:rsid w:val="76B2685C"/>
    <w:rsid w:val="76B90B2F"/>
    <w:rsid w:val="76C05658"/>
    <w:rsid w:val="76CE2AB5"/>
    <w:rsid w:val="76F52F1A"/>
    <w:rsid w:val="77034A91"/>
    <w:rsid w:val="770C2F16"/>
    <w:rsid w:val="77187C65"/>
    <w:rsid w:val="771E745D"/>
    <w:rsid w:val="7737268E"/>
    <w:rsid w:val="773862CB"/>
    <w:rsid w:val="773A5530"/>
    <w:rsid w:val="773D1E76"/>
    <w:rsid w:val="773F3BFE"/>
    <w:rsid w:val="774A4258"/>
    <w:rsid w:val="77515497"/>
    <w:rsid w:val="775718ED"/>
    <w:rsid w:val="775E489F"/>
    <w:rsid w:val="776925ED"/>
    <w:rsid w:val="77832161"/>
    <w:rsid w:val="77865D35"/>
    <w:rsid w:val="778B6C48"/>
    <w:rsid w:val="778F2D57"/>
    <w:rsid w:val="77AA17BF"/>
    <w:rsid w:val="77AE700A"/>
    <w:rsid w:val="77C44B65"/>
    <w:rsid w:val="77C726A5"/>
    <w:rsid w:val="77D0187E"/>
    <w:rsid w:val="77D72780"/>
    <w:rsid w:val="77F11A98"/>
    <w:rsid w:val="77F42683"/>
    <w:rsid w:val="78031411"/>
    <w:rsid w:val="782E38E0"/>
    <w:rsid w:val="782F3E3D"/>
    <w:rsid w:val="783B3E0E"/>
    <w:rsid w:val="78421F0E"/>
    <w:rsid w:val="78693106"/>
    <w:rsid w:val="78734768"/>
    <w:rsid w:val="788A5CBD"/>
    <w:rsid w:val="788C234E"/>
    <w:rsid w:val="788E410E"/>
    <w:rsid w:val="78963679"/>
    <w:rsid w:val="789B50C1"/>
    <w:rsid w:val="789E6DB1"/>
    <w:rsid w:val="78AB6C53"/>
    <w:rsid w:val="78E8101C"/>
    <w:rsid w:val="78F271AF"/>
    <w:rsid w:val="78F2737D"/>
    <w:rsid w:val="78F708FF"/>
    <w:rsid w:val="79094605"/>
    <w:rsid w:val="790F31EF"/>
    <w:rsid w:val="79187083"/>
    <w:rsid w:val="791C2160"/>
    <w:rsid w:val="792529E5"/>
    <w:rsid w:val="792E0AB5"/>
    <w:rsid w:val="793C1AAD"/>
    <w:rsid w:val="793D5FF8"/>
    <w:rsid w:val="79401C82"/>
    <w:rsid w:val="794270C3"/>
    <w:rsid w:val="79474E59"/>
    <w:rsid w:val="79507F92"/>
    <w:rsid w:val="79584966"/>
    <w:rsid w:val="79586541"/>
    <w:rsid w:val="795D100E"/>
    <w:rsid w:val="795F60F6"/>
    <w:rsid w:val="796457A2"/>
    <w:rsid w:val="79726BB6"/>
    <w:rsid w:val="797D021E"/>
    <w:rsid w:val="798578F7"/>
    <w:rsid w:val="798856D1"/>
    <w:rsid w:val="798954DD"/>
    <w:rsid w:val="798B757D"/>
    <w:rsid w:val="7990553F"/>
    <w:rsid w:val="799C74D5"/>
    <w:rsid w:val="79A51C7A"/>
    <w:rsid w:val="79A77196"/>
    <w:rsid w:val="79B476C7"/>
    <w:rsid w:val="79B9099A"/>
    <w:rsid w:val="79BC0365"/>
    <w:rsid w:val="79CB21D2"/>
    <w:rsid w:val="79DC725B"/>
    <w:rsid w:val="79E179A0"/>
    <w:rsid w:val="79E61F8F"/>
    <w:rsid w:val="79E70317"/>
    <w:rsid w:val="7A0903CE"/>
    <w:rsid w:val="7A1779D7"/>
    <w:rsid w:val="7A253E19"/>
    <w:rsid w:val="7A273B6C"/>
    <w:rsid w:val="7A2761B2"/>
    <w:rsid w:val="7A291DC8"/>
    <w:rsid w:val="7A3E5802"/>
    <w:rsid w:val="7A45156A"/>
    <w:rsid w:val="7A5155C3"/>
    <w:rsid w:val="7A5436EF"/>
    <w:rsid w:val="7A5A3238"/>
    <w:rsid w:val="7A5A7549"/>
    <w:rsid w:val="7A5D3625"/>
    <w:rsid w:val="7A7E024C"/>
    <w:rsid w:val="7A7E3AC4"/>
    <w:rsid w:val="7A811CC8"/>
    <w:rsid w:val="7A854A9C"/>
    <w:rsid w:val="7A8C7A05"/>
    <w:rsid w:val="7A8E7D5F"/>
    <w:rsid w:val="7A9C7867"/>
    <w:rsid w:val="7A9D78CB"/>
    <w:rsid w:val="7AA13E6B"/>
    <w:rsid w:val="7AAB1EA3"/>
    <w:rsid w:val="7ABA2C4A"/>
    <w:rsid w:val="7ACF119A"/>
    <w:rsid w:val="7AD704CF"/>
    <w:rsid w:val="7B151285"/>
    <w:rsid w:val="7B2C3219"/>
    <w:rsid w:val="7B34410D"/>
    <w:rsid w:val="7B36606F"/>
    <w:rsid w:val="7B3A3C4C"/>
    <w:rsid w:val="7B587F01"/>
    <w:rsid w:val="7B5C2C6F"/>
    <w:rsid w:val="7B5E0B24"/>
    <w:rsid w:val="7B7A4189"/>
    <w:rsid w:val="7B8635C5"/>
    <w:rsid w:val="7B8F07A5"/>
    <w:rsid w:val="7BA31E6C"/>
    <w:rsid w:val="7BA575AB"/>
    <w:rsid w:val="7BB75A28"/>
    <w:rsid w:val="7BCC0A24"/>
    <w:rsid w:val="7BDF4753"/>
    <w:rsid w:val="7BE76EBB"/>
    <w:rsid w:val="7BFA7DCB"/>
    <w:rsid w:val="7BFD6017"/>
    <w:rsid w:val="7C085F7A"/>
    <w:rsid w:val="7C0E7E2B"/>
    <w:rsid w:val="7C324DAF"/>
    <w:rsid w:val="7C4620BB"/>
    <w:rsid w:val="7C650FB4"/>
    <w:rsid w:val="7C697D10"/>
    <w:rsid w:val="7C6C5688"/>
    <w:rsid w:val="7C7D3010"/>
    <w:rsid w:val="7C84445E"/>
    <w:rsid w:val="7C960D02"/>
    <w:rsid w:val="7C9F0DC0"/>
    <w:rsid w:val="7CBE6A3B"/>
    <w:rsid w:val="7CCA611C"/>
    <w:rsid w:val="7CCE331C"/>
    <w:rsid w:val="7CD5333F"/>
    <w:rsid w:val="7CD75EAB"/>
    <w:rsid w:val="7CD91382"/>
    <w:rsid w:val="7CDB4477"/>
    <w:rsid w:val="7CEE0F11"/>
    <w:rsid w:val="7CF56C69"/>
    <w:rsid w:val="7D050BB2"/>
    <w:rsid w:val="7D110EA8"/>
    <w:rsid w:val="7D1A49D6"/>
    <w:rsid w:val="7D1D04A6"/>
    <w:rsid w:val="7D1E7949"/>
    <w:rsid w:val="7D343344"/>
    <w:rsid w:val="7D4E6711"/>
    <w:rsid w:val="7D5E37E5"/>
    <w:rsid w:val="7D6C171B"/>
    <w:rsid w:val="7D745BA9"/>
    <w:rsid w:val="7D775C5B"/>
    <w:rsid w:val="7D7A575D"/>
    <w:rsid w:val="7D7D7785"/>
    <w:rsid w:val="7D93312C"/>
    <w:rsid w:val="7D9471CC"/>
    <w:rsid w:val="7D9C35DA"/>
    <w:rsid w:val="7DAF7DCE"/>
    <w:rsid w:val="7DB274F8"/>
    <w:rsid w:val="7DCA5E20"/>
    <w:rsid w:val="7DD51574"/>
    <w:rsid w:val="7DE62602"/>
    <w:rsid w:val="7DF02D9E"/>
    <w:rsid w:val="7DFE14C6"/>
    <w:rsid w:val="7E0C2813"/>
    <w:rsid w:val="7E1A2A22"/>
    <w:rsid w:val="7E210A4A"/>
    <w:rsid w:val="7E3B07AB"/>
    <w:rsid w:val="7E555A98"/>
    <w:rsid w:val="7E575421"/>
    <w:rsid w:val="7E5C24EF"/>
    <w:rsid w:val="7E76764C"/>
    <w:rsid w:val="7EA353CC"/>
    <w:rsid w:val="7EC72EDF"/>
    <w:rsid w:val="7EDC330F"/>
    <w:rsid w:val="7EDF5BC1"/>
    <w:rsid w:val="7EF3027E"/>
    <w:rsid w:val="7EF65E00"/>
    <w:rsid w:val="7EF739A7"/>
    <w:rsid w:val="7EFE1A1B"/>
    <w:rsid w:val="7EFF33DB"/>
    <w:rsid w:val="7F012CDA"/>
    <w:rsid w:val="7F037BC1"/>
    <w:rsid w:val="7F06445A"/>
    <w:rsid w:val="7F1422F9"/>
    <w:rsid w:val="7F235255"/>
    <w:rsid w:val="7F3133EB"/>
    <w:rsid w:val="7F33148D"/>
    <w:rsid w:val="7F342F97"/>
    <w:rsid w:val="7F4359F6"/>
    <w:rsid w:val="7F766FB2"/>
    <w:rsid w:val="7F7E6663"/>
    <w:rsid w:val="7F8C399D"/>
    <w:rsid w:val="7F980D7A"/>
    <w:rsid w:val="7F987DD3"/>
    <w:rsid w:val="7FA70D1C"/>
    <w:rsid w:val="7FAC2A8A"/>
    <w:rsid w:val="7FBF6B95"/>
    <w:rsid w:val="7FC3075D"/>
    <w:rsid w:val="7FC5579A"/>
    <w:rsid w:val="7FD3747F"/>
    <w:rsid w:val="7FD40C16"/>
    <w:rsid w:val="7FFA3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Calibri" w:eastAsia="宋体" w:cs="Times New Roman"/>
      <w:kern w:val="2"/>
      <w:sz w:val="24"/>
      <w:szCs w:val="24"/>
      <w:lang w:val="en-US" w:eastAsia="zh-CN" w:bidi="ar-SA"/>
    </w:rPr>
  </w:style>
  <w:style w:type="paragraph" w:styleId="4">
    <w:name w:val="heading 1"/>
    <w:basedOn w:val="1"/>
    <w:next w:val="1"/>
    <w:qFormat/>
    <w:uiPriority w:val="0"/>
    <w:pPr>
      <w:keepNext/>
      <w:keepLines/>
      <w:outlineLvl w:val="0"/>
    </w:pPr>
    <w:rPr>
      <w:b/>
      <w:bCs/>
      <w:kern w:val="44"/>
      <w:szCs w:val="44"/>
    </w:rPr>
  </w:style>
  <w:style w:type="paragraph" w:styleId="5">
    <w:name w:val="heading 2"/>
    <w:basedOn w:val="1"/>
    <w:next w:val="1"/>
    <w:qFormat/>
    <w:uiPriority w:val="0"/>
    <w:pPr>
      <w:keepNext/>
      <w:keepLines/>
      <w:outlineLvl w:val="1"/>
    </w:pPr>
    <w:rPr>
      <w:rFonts w:hAnsi="Arial"/>
      <w:b/>
      <w:bCs/>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Cambria" w:hAnsi="Cambria" w:cs="黑体"/>
      <w:b/>
      <w:bCs/>
      <w:sz w:val="32"/>
      <w:szCs w:val="32"/>
    </w:rPr>
  </w:style>
  <w:style w:type="paragraph" w:styleId="6">
    <w:name w:val="annotation text"/>
    <w:basedOn w:val="1"/>
    <w:qFormat/>
    <w:uiPriority w:val="0"/>
    <w:pPr>
      <w:jc w:val="left"/>
    </w:p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39"/>
    <w:pPr>
      <w:tabs>
        <w:tab w:val="right" w:leader="dot" w:pos="8296"/>
      </w:tabs>
    </w:pPr>
  </w:style>
  <w:style w:type="paragraph" w:styleId="9">
    <w:name w:val="Normal (Web)"/>
    <w:basedOn w:val="1"/>
    <w:qFormat/>
    <w:uiPriority w:val="0"/>
    <w:pPr>
      <w:spacing w:beforeAutospacing="1" w:afterAutospacing="1"/>
      <w:jc w:val="left"/>
    </w:pPr>
    <w:rPr>
      <w:kern w:val="0"/>
    </w:rPr>
  </w:style>
  <w:style w:type="character" w:styleId="12">
    <w:name w:val="Strong"/>
    <w:basedOn w:val="11"/>
    <w:qFormat/>
    <w:uiPriority w:val="0"/>
    <w:rPr>
      <w:b/>
    </w:rPr>
  </w:style>
  <w:style w:type="character" w:customStyle="1" w:styleId="13">
    <w:name w:val="font01"/>
    <w:basedOn w:val="11"/>
    <w:qFormat/>
    <w:uiPriority w:val="0"/>
    <w:rPr>
      <w:rFonts w:hint="eastAsia" w:ascii="宋体" w:hAnsi="宋体" w:eastAsia="宋体" w:cs="宋体"/>
      <w:color w:val="0000FF"/>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6196</Words>
  <Characters>6581</Characters>
  <Lines>52</Lines>
  <Paragraphs>14</Paragraphs>
  <TotalTime>4</TotalTime>
  <ScaleCrop>false</ScaleCrop>
  <LinksUpToDate>false</LinksUpToDate>
  <CharactersWithSpaces>6663</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马慧灵</cp:lastModifiedBy>
  <dcterms:modified xsi:type="dcterms:W3CDTF">2026-07-23T07:25:20Z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CBEC321A84494F44A0E715C6A9E6472B</vt:lpwstr>
  </property>
  <property fmtid="{D5CDD505-2E9C-101B-9397-08002B2CF9AE}" pid="4" name="KSOTemplateDocerSaveRecord">
    <vt:lpwstr>eyJoZGlkIjoiZTBiODRiMzFmY2VlMTQxZTgzZjNjZTZlNzk3YTczODEiLCJ1c2VySWQiOiIyMTk0MTkwNTEifQ==</vt:lpwstr>
  </property>
</Properties>
</file>