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7BFF8">
      <w:pPr>
        <w:pStyle w:val="4"/>
        <w:keepNext w:val="0"/>
        <w:keepLines w:val="0"/>
        <w:pageBreakBefore w:val="0"/>
        <w:widowControl w:val="0"/>
        <w:kinsoku/>
        <w:wordWrap/>
        <w:overflowPunct/>
        <w:topLinePunct w:val="0"/>
        <w:autoSpaceDE/>
        <w:autoSpaceDN/>
        <w:bidi w:val="0"/>
        <w:adjustRightInd w:val="0"/>
        <w:snapToGrid w:val="0"/>
        <w:spacing w:beforeLines="0" w:line="560" w:lineRule="exact"/>
        <w:ind w:left="0" w:leftChars="0" w:firstLine="0" w:firstLineChars="0"/>
        <w:jc w:val="center"/>
        <w:textAlignment w:val="auto"/>
        <w:rPr>
          <w:rFonts w:hint="eastAsia" w:ascii="宋体" w:hAnsi="宋体" w:eastAsia="宋体" w:cs="Times New Roman"/>
          <w:b/>
          <w:bCs/>
          <w:kern w:val="2"/>
          <w:sz w:val="32"/>
          <w:szCs w:val="32"/>
          <w:lang w:val="en-US" w:eastAsia="zh-CN" w:bidi="ar-SA"/>
        </w:rPr>
      </w:pPr>
      <w:r>
        <w:rPr>
          <w:rFonts w:hint="eastAsia" w:ascii="宋体" w:hAnsi="宋体" w:eastAsia="宋体" w:cs="Times New Roman"/>
          <w:b/>
          <w:bCs/>
          <w:kern w:val="2"/>
          <w:sz w:val="32"/>
          <w:szCs w:val="32"/>
          <w:lang w:val="en-US" w:eastAsia="zh-CN" w:bidi="ar-SA"/>
        </w:rPr>
        <w:t>2026年广州供电局市场营销运营中介服务类项目（第一批）标的物描述</w:t>
      </w:r>
    </w:p>
    <w:p w14:paraId="797B10B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p>
    <w:p w14:paraId="46921DC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w:t>
      </w:r>
      <w:r>
        <w:rPr>
          <w:rFonts w:hint="eastAsia" w:ascii="宋体" w:hAnsi="宋体" w:cs="Times New Roman"/>
          <w:b/>
          <w:bCs/>
          <w:kern w:val="2"/>
          <w:sz w:val="28"/>
          <w:szCs w:val="28"/>
          <w:lang w:val="en-US" w:eastAsia="zh-CN" w:bidi="ar-SA"/>
        </w:rPr>
        <w:t>1：</w:t>
      </w:r>
      <w:r>
        <w:rPr>
          <w:rFonts w:hint="eastAsia" w:ascii="宋体" w:hAnsi="宋体" w:eastAsia="宋体" w:cs="Times New Roman"/>
          <w:b/>
          <w:bCs/>
          <w:kern w:val="2"/>
          <w:sz w:val="28"/>
          <w:szCs w:val="28"/>
          <w:lang w:val="en-US" w:eastAsia="zh-CN" w:bidi="ar-SA"/>
        </w:rPr>
        <w:t>2026年广州业扩报装服务全过程服务管控提高研究项目</w:t>
      </w:r>
    </w:p>
    <w:p w14:paraId="4888F92B">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1611BF7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开展2026年广州业扩报装服务全过程服务管控提高研究，完成高压业扩报装服务现状深度调研、标准化服务模板与协同机制、落实“624号文”任务实施细则并提出优化内容和标准化服务推广体系规划四方面的工作内容，具体包括：广州业扩报装全流程存在的痛点堵点环节调研以及先进省市服务模式对标、分层级制定标准化操作手册、围绕624号文等文件对业扩的要求开展政策专题研究、结合广州市产业特点选取提炼“可复制、可推广”的服务经验，形成6个以上典型案例的《业扩报装典型经验案例库》，并配套编制《最佳实践手册》，形成标准化服务的“操作指南”。</w:t>
      </w:r>
    </w:p>
    <w:p w14:paraId="083D80B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招标范围：</w:t>
      </w:r>
    </w:p>
    <w:p w14:paraId="27288FA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1、项目内容</w:t>
      </w:r>
    </w:p>
    <w:p w14:paraId="5F9E4C6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（1）高压业扩报装服务现状深度调研</w:t>
      </w:r>
    </w:p>
    <w:p w14:paraId="53D7671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以南网广州供电局近三年10kV及以上高压客户业扩报装全量数据为基础，结合现场访谈、档案追溯等方式，全面梳理从客户报装申请、供电方案编制、外线工程协同到验收并网的全流程节点，重点分析流程冗余环节、跨部门协同断点及服务标准不统一问题。同时，对比国内先进省市高压业扩报装服务模式，结合广州市“获得电力”服务升级要求及新能源并网、新质生产力用户接入等新需求，明确本地标准化建设的核心方向与优化空间。</w:t>
      </w:r>
    </w:p>
    <w:p w14:paraId="27AF7C5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（2）标准化服务模板与协同机制</w:t>
      </w:r>
    </w:p>
    <w:p w14:paraId="316DF7A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针对高压业扩报装客户申请响应、供电方案编制等核心环节，依据国家发展改革委、国家能源局“624号文”，广州市地方政策要求及南网公司《业扩管理办法规定》《业扩报装及配套项目管理规则》，分层级制定标准化操作手册：一是明确各环节服务标准、时限要求及责任主体；二是针对新能源并网、新质生产力用户等特殊场景，制定差异化服务标准，满足高可靠性供电、绿色能源接入等个性化需求。</w:t>
      </w:r>
    </w:p>
    <w:p w14:paraId="03D5DC8A">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（3）落实“624号文”任务实施细则并提出优化内容</w:t>
      </w:r>
    </w:p>
    <w:p w14:paraId="1C04BD6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聚焦“624号文”提出的提出14类38项工作任务中涉及业扩报装的任务内容，以及《南方电网公司深化提升“获得电力”服务水平全面打造现代化用电营商环境行动方案》《公司强化业扩全流程管控提升办电效率工作方案》等文件要求，根据广州供电局未落实和正在推进的任务清单，研究业扩全流程制度层面、系统层面的优化内容，进一步明确落实细则和实现路径。如广州特色产业的绿色通道服务流程和实施细则；推广“扫码用电”快用电服务模式；推广工程契约服务；“电能质量示范建设”优化内容等。</w:t>
      </w:r>
    </w:p>
    <w:p w14:paraId="60BF783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（4）标准化服务推广体系规划</w:t>
      </w:r>
    </w:p>
    <w:p w14:paraId="0A107AC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结合广州市产业特点，选取提炼“可复制、可推广”的服务经验：一是总结流程优化经验；二是提炼技术赋能经验；三是归纳服务创新经验。在此基础上，构建包含6个以上典型案例的《业扩报装典型经验案例库》，并配套编制《最佳实践手册》，形成标准化服务的“操作指南”。</w:t>
      </w:r>
    </w:p>
    <w:p w14:paraId="2A2C2FE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2、主要交付资料包括但不限于：</w:t>
      </w:r>
    </w:p>
    <w:p w14:paraId="47EB79C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（1）《业扩报装优化服务手册》</w:t>
      </w:r>
    </w:p>
    <w:p w14:paraId="459022A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（2）《高压业扩报装标准化操作手册（试行）》及特殊场景服务细则</w:t>
      </w:r>
    </w:p>
    <w:p w14:paraId="2A93400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（3）《高压业扩报装典型经验案例库》</w:t>
      </w:r>
    </w:p>
    <w:p w14:paraId="65DD867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（4）《最佳实践手册》</w:t>
      </w:r>
    </w:p>
    <w:p w14:paraId="40003BB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p>
    <w:p w14:paraId="251C1E6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w:t>
      </w:r>
      <w:r>
        <w:rPr>
          <w:rFonts w:hint="eastAsia" w:ascii="宋体" w:hAnsi="宋体" w:cs="Times New Roman"/>
          <w:b/>
          <w:bCs/>
          <w:kern w:val="2"/>
          <w:sz w:val="28"/>
          <w:szCs w:val="28"/>
          <w:lang w:val="en-US" w:eastAsia="zh-CN" w:bidi="ar-SA"/>
        </w:rPr>
        <w:t>2：</w:t>
      </w:r>
      <w:r>
        <w:rPr>
          <w:rFonts w:hint="eastAsia" w:ascii="宋体" w:hAnsi="宋体" w:eastAsia="宋体" w:cs="Times New Roman"/>
          <w:b/>
          <w:bCs/>
          <w:kern w:val="2"/>
          <w:sz w:val="28"/>
          <w:szCs w:val="28"/>
          <w:lang w:val="en-US" w:eastAsia="zh-CN" w:bidi="ar-SA"/>
        </w:rPr>
        <w:t>2026年广州供电局用电营商环境对标研究与优化提升项目</w:t>
      </w:r>
    </w:p>
    <w:p w14:paraId="00A4F80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698FEC7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开展2026年广州供电局用电营商环境对标研究与优化提升研究，完成世界银行B-READY评估结果深度解析与对标、“三个一批”评估体系的落地应用研究、广州现状诊断与分阶段提升策略制定三方面的工作内容，具体包括：全面解构2026年世行B-READY评估体系中“市政公用基础设施服务（电力）”指标评估结果、选取B-READY评估中电力相关指标领先的经济体开展深度调研、深度解析“三个一批”评估体系的核心内涵、国内先行地区在落实“三个一批”的典型案例、基于B-READY和“三个一批”标准，全面评估广州供电局当前用电营商环境的优势、劣势、机遇与挑战，最后输出2026年广州优化举措及谋划系统性提升路径（2027-2030年）等成果。</w:t>
      </w:r>
    </w:p>
    <w:p w14:paraId="1F37CDF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招标范围：</w:t>
      </w:r>
    </w:p>
    <w:p w14:paraId="2D5DBFFA">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1、项目内容</w:t>
      </w:r>
    </w:p>
    <w:p w14:paraId="6B90FC6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（1）世界银行B-READY评估结果深度解析与对标</w:t>
      </w:r>
    </w:p>
    <w:p w14:paraId="187DBBA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全面解构2026年世行B-READY评估体系中“市政公用基础设施服务（电力）”指标评估结果，系统分析全球主要经济体与中国在电力相关指标上的得分、排名与评价摘要。选取B-READY评估中电力相关指标领先的经济体，深入研究其在用电营商环境建设方面的创新制度设计、技术应用与运营模式，提炼可迁移的先进经验。通过对标分析，精准定位广州在国际坐标系中的位置，明确优势领域、指出的短板与改进建议。</w:t>
      </w:r>
    </w:p>
    <w:p w14:paraId="25DB6D7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（2）“三个一批”评估体系的落地应用研究</w:t>
      </w:r>
    </w:p>
    <w:p w14:paraId="41ED92F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深度解析“三个一批”评估体系的核心内涵，分析国内先行地区在落实“三个一批”要求、建设现代化用电营商环境方面的早期实践案例，明确政策落地的关键抓手与考核重点。</w:t>
      </w:r>
    </w:p>
    <w:p w14:paraId="0B515EB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（3）广州现状诊断与分阶段提升策略制定</w:t>
      </w:r>
    </w:p>
    <w:p w14:paraId="75BA949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基于B-READY和“三个一批”标准，全面评估广州供电局当前用电营商环境的优势、劣势、机遇与挑战，通过案头研究、数据分析、调研访谈等方式，找出差距和痛点。聚焦可快速见效的痛点问题，提出可立即部署的优化举措（2026年）；立足长远发展，谋划系统性提升路径（2027-2030年）。</w:t>
      </w:r>
    </w:p>
    <w:p w14:paraId="104CC78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2、主要交付资料包括但不限于：</w:t>
      </w:r>
    </w:p>
    <w:p w14:paraId="097B3D8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（1）《2026年世界银行B-READY评估“市政公用基础设施服务（电力）”指标解读报告》</w:t>
      </w:r>
    </w:p>
    <w:p w14:paraId="7EEA1A6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（2）《全球一流用电营商环境最佳实践案例库（2026）》</w:t>
      </w:r>
    </w:p>
    <w:p w14:paraId="7D80231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（3）《“三个一批”评估体系下供电服务对标分析报告》</w:t>
      </w:r>
    </w:p>
    <w:p w14:paraId="5C0395F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（4）《广州用电营商环境优化提升策略总报告》</w:t>
      </w:r>
    </w:p>
    <w:p w14:paraId="4E87AA5A">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p>
    <w:p w14:paraId="426F1E34">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w:t>
      </w:r>
      <w:r>
        <w:rPr>
          <w:rFonts w:hint="eastAsia" w:ascii="宋体" w:hAnsi="宋体" w:cs="Times New Roman"/>
          <w:b/>
          <w:bCs/>
          <w:kern w:val="2"/>
          <w:sz w:val="28"/>
          <w:szCs w:val="28"/>
          <w:lang w:val="en-US" w:eastAsia="zh-CN" w:bidi="ar-SA"/>
        </w:rPr>
        <w:t>3：</w:t>
      </w:r>
      <w:r>
        <w:rPr>
          <w:rFonts w:hint="eastAsia" w:ascii="宋体" w:hAnsi="宋体" w:eastAsia="宋体" w:cs="Times New Roman"/>
          <w:b/>
          <w:bCs/>
          <w:kern w:val="2"/>
          <w:sz w:val="28"/>
          <w:szCs w:val="28"/>
          <w:lang w:val="en-US" w:eastAsia="zh-CN" w:bidi="ar-SA"/>
        </w:rPr>
        <w:t>2026年广州供电局本地化用电特征与增供扩销分析体系研究其他中介费</w:t>
      </w:r>
    </w:p>
    <w:p w14:paraId="61C9747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36B80B2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本项目立足广州粤港澳大湾区核心引擎、国家中心城市的发展定位，结合当地产业布局优化、用电市场规模拓展的实际情况，以及公司增供扩销工作对市场研判、精准落地的更高要求，开展多维度用电数据分析、电力与经济运行关联分析及固定周期分析报告编制工作，通过梳理标准化分析维度、整合多维度关联数据开展趋势分析、联动分析识别用电增长潜力、梳理电量影响因素编制分析报告等工作，建立适配广州发展的电力-经济联动分析体系和工作机制，深化“电力看经济”本地化、精细化、常态化落地，为公司经营决策优化、增供扩销精准施策提供数据支撑，同时服务地方经济高质量发展。</w:t>
      </w:r>
    </w:p>
    <w:p w14:paraId="1498C43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招标范围：</w:t>
      </w:r>
    </w:p>
    <w:p w14:paraId="2B944D6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lang w:val="en-US" w:eastAsia="zh-CN"/>
        </w:rPr>
      </w:pPr>
      <w:r>
        <w:rPr>
          <w:rFonts w:hint="eastAsia" w:ascii="宋体" w:hAnsi="宋体" w:eastAsia="宋体" w:cs="Times New Roman"/>
          <w:b w:val="0"/>
          <w:bCs w:val="0"/>
          <w:kern w:val="2"/>
          <w:sz w:val="28"/>
          <w:szCs w:val="28"/>
          <w:lang w:val="en-US" w:eastAsia="zh-CN" w:bidi="ar-SA"/>
        </w:rPr>
        <w:t>承接网省公司关于加强用电分析和增供扩销的目标要求，构建覆盖目标预测与过程预警的全流程数据分析支撑体系。通过整合内外部数据、开展深度分析并编制系列报告，精准服务公司经营决策与市场拓展。具体内容</w:t>
      </w:r>
      <w:r>
        <w:rPr>
          <w:rFonts w:hint="eastAsia" w:ascii="宋体" w:hAnsi="宋体" w:cs="Times New Roman"/>
          <w:b w:val="0"/>
          <w:bCs w:val="0"/>
          <w:kern w:val="2"/>
          <w:sz w:val="28"/>
          <w:szCs w:val="28"/>
          <w:lang w:val="en-US" w:eastAsia="zh-CN" w:bidi="ar-SA"/>
        </w:rPr>
        <w:t>包括</w:t>
      </w:r>
      <w:r>
        <w:rPr>
          <w:rFonts w:hint="eastAsia" w:ascii="宋体" w:hAnsi="宋体" w:eastAsia="宋体" w:cs="Times New Roman"/>
          <w:b w:val="0"/>
          <w:bCs w:val="0"/>
          <w:kern w:val="2"/>
          <w:sz w:val="28"/>
          <w:szCs w:val="28"/>
          <w:lang w:val="en-US" w:eastAsia="zh-CN" w:bidi="ar-SA"/>
        </w:rPr>
        <w:t>：</w:t>
      </w:r>
    </w:p>
    <w:p w14:paraId="734C75E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1、</w:t>
      </w:r>
      <w:r>
        <w:rPr>
          <w:rFonts w:hint="eastAsia" w:ascii="宋体" w:hAnsi="宋体" w:eastAsia="宋体" w:cs="Times New Roman"/>
          <w:b w:val="0"/>
          <w:bCs w:val="0"/>
          <w:kern w:val="2"/>
          <w:sz w:val="28"/>
          <w:szCs w:val="28"/>
          <w:lang w:val="en-US" w:eastAsia="zh-CN" w:bidi="ar-SA"/>
        </w:rPr>
        <w:t>梳理适配不同时间尺度、覆盖电量趋势跟踪、经济运行透视两类场景的标准化分析维度，形成适配广州本地用电特征的常态化数据分析规范，夯实“电力看经济”本地化分析基础。</w:t>
      </w:r>
    </w:p>
    <w:p w14:paraId="0640B59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2、</w:t>
      </w:r>
      <w:r>
        <w:rPr>
          <w:rFonts w:hint="eastAsia" w:ascii="宋体" w:hAnsi="宋体" w:eastAsia="宋体" w:cs="Times New Roman"/>
          <w:b w:val="0"/>
          <w:bCs w:val="0"/>
          <w:kern w:val="2"/>
          <w:sz w:val="28"/>
          <w:szCs w:val="28"/>
          <w:lang w:val="en-US" w:eastAsia="zh-CN" w:bidi="ar-SA"/>
        </w:rPr>
        <w:t>按需整合宏观经济、产业政策、电价水平、气象气候等可公开获取的多维度关联数据，围绕月、季度时间尺度，开展分重点区域、重点行业的电量变化跟踪与趋势分析，为增供扩销工作提供基础数据参考。</w:t>
      </w:r>
    </w:p>
    <w:p w14:paraId="0D235D8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3、</w:t>
      </w:r>
      <w:r>
        <w:rPr>
          <w:rFonts w:hint="eastAsia" w:ascii="宋体" w:hAnsi="宋体" w:eastAsia="宋体" w:cs="Times New Roman"/>
          <w:b w:val="0"/>
          <w:bCs w:val="0"/>
          <w:kern w:val="2"/>
          <w:sz w:val="28"/>
          <w:szCs w:val="28"/>
          <w:lang w:val="en-US" w:eastAsia="zh-CN" w:bidi="ar-SA"/>
        </w:rPr>
        <w:t>围绕月度、季度、年度不同分析周期，依托用电数据开展广州产业发展、行业运行及经济走势的联动分析，辅助识别具备用电增长潜力的重点行业与区域，为增供扩销工作锁定重点方向提供参考。</w:t>
      </w:r>
    </w:p>
    <w:p w14:paraId="665DC1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4、</w:t>
      </w:r>
      <w:r>
        <w:rPr>
          <w:rFonts w:hint="eastAsia" w:ascii="宋体" w:hAnsi="宋体" w:eastAsia="宋体" w:cs="Times New Roman"/>
          <w:b w:val="0"/>
          <w:bCs w:val="0"/>
          <w:kern w:val="2"/>
          <w:sz w:val="28"/>
          <w:szCs w:val="28"/>
          <w:lang w:val="en-US" w:eastAsia="zh-CN" w:bidi="ar-SA"/>
        </w:rPr>
        <w:t>梳理广州本地电量变化的核心影响因素，结合电量增长与波动特征，按月度编制广州电力运行统计分析基础报告，拆解电量增长核心支撑点，厘清其背后关联的经济、产业政策等内在逻辑。</w:t>
      </w:r>
    </w:p>
    <w:p w14:paraId="788C357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5、</w:t>
      </w:r>
      <w:r>
        <w:rPr>
          <w:rFonts w:hint="eastAsia" w:ascii="宋体" w:hAnsi="宋体" w:eastAsia="宋体" w:cs="Times New Roman"/>
          <w:b w:val="0"/>
          <w:bCs w:val="0"/>
          <w:kern w:val="2"/>
          <w:sz w:val="28"/>
          <w:szCs w:val="28"/>
          <w:lang w:val="en-US" w:eastAsia="zh-CN" w:bidi="ar-SA"/>
        </w:rPr>
        <w:t>编制用电运行分析及“电力看经济”专项报告与工作指南：编制广州供电局“电力看经济”工作指南，加强政策研究与市场分析，建立常态化“电力看经济”工作机制；按月对广州全社会及分行业、分区域、规上工业企业、重点行业用电量等核心指标开展统计、监测与基础分析，加强行业用电、规上工业企业、重点行业用电跟踪，重点拆解电量增长的结构性支撑与拖累因素，及时反映总量与结构变化，形成电力运行状况的基础视图与快报，并每月向政府报送月度用电分析报告；在月度监测分析基础上，按季度开展“电力看经济”专题深度分析，形成季度“电力看经济”专项分析报告，分析范围涵盖电力数据与宏观经济联动分析、用电增长趋势研判及对增供扩销目标实现的支撑度分析等，相关工作成果包括广州供电局“电力看经济”工作指南、月度用电分析报告及季度“电力看经济”专项分析报告。</w:t>
      </w:r>
    </w:p>
    <w:p w14:paraId="32A0A5C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b w:val="0"/>
          <w:bCs w:val="0"/>
          <w:kern w:val="2"/>
          <w:sz w:val="28"/>
          <w:szCs w:val="28"/>
          <w:lang w:val="en-US" w:eastAsia="zh-CN" w:bidi="ar-SA"/>
        </w:rPr>
      </w:pPr>
    </w:p>
    <w:p w14:paraId="323334B5">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w:t>
      </w:r>
      <w:r>
        <w:rPr>
          <w:rFonts w:hint="eastAsia" w:ascii="宋体" w:hAnsi="宋体" w:cs="Times New Roman"/>
          <w:b/>
          <w:bCs/>
          <w:kern w:val="2"/>
          <w:sz w:val="28"/>
          <w:szCs w:val="28"/>
          <w:lang w:val="en-US" w:eastAsia="zh-CN" w:bidi="ar-SA"/>
        </w:rPr>
        <w:t>4：</w:t>
      </w:r>
      <w:r>
        <w:rPr>
          <w:rFonts w:hint="eastAsia" w:ascii="宋体" w:hAnsi="宋体" w:eastAsia="宋体" w:cs="Times New Roman"/>
          <w:b/>
          <w:bCs/>
          <w:kern w:val="2"/>
          <w:sz w:val="28"/>
          <w:szCs w:val="28"/>
          <w:lang w:val="en-US" w:eastAsia="zh-CN" w:bidi="ar-SA"/>
        </w:rPr>
        <w:t>基于知识精准治理的营销专业知识切片及全流程管理规范能力跃升</w:t>
      </w:r>
    </w:p>
    <w:p w14:paraId="592D3451">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2FCAFFA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当前电力营销“四库”建设仍面临“高耗低效”、“知识断链”和“技术支撑不足”三大挑战。业务材料广泛分散于多个信息系统及纸质档案中，格式不统一、统计口径各异，高度依赖人工重复整理，导致效率低下；新政策与新条款出台后，缺乏系统化的解读、关联和归档机制，知识更新滞后，难以支持业务快速响应和决策；现有技术手段对电力专用表格、复杂结构化条款及扫描文档的处理能力不足，难以实现精准、细粒度的知识抽取与应用。</w:t>
      </w:r>
    </w:p>
    <w:p w14:paraId="1C5F36E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本项目以“业务专家指导+人工精准切片+系统化知识整理”为实施路径，对多源异构材料开展人工精细化切片与系统整理，明确知识单元边界，保障语义完整性与一致性。构建逻辑清晰、高度关联的知识体系，并辅以智能技术实现高效检索与动态维护。</w:t>
      </w:r>
    </w:p>
    <w:p w14:paraId="2EDE6358">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val="0"/>
          <w:bCs w:val="0"/>
          <w:kern w:val="2"/>
          <w:sz w:val="28"/>
          <w:szCs w:val="28"/>
          <w:lang w:val="en-US" w:eastAsia="zh-CN" w:bidi="ar-SA"/>
        </w:rPr>
        <w:t>项目目的在于提升知识复用效率与获取准确性，实现业务知识的精准穿透和灵活调用，有效减少人工重复劳动，推动知识持续积累与价值释放，全面强化电力营销业务中的风险管控、运营优化与知识传承能力。</w:t>
      </w:r>
    </w:p>
    <w:p w14:paraId="590B5E47">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招标范围：</w:t>
      </w:r>
    </w:p>
    <w:p w14:paraId="49523A0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项目以“业务专家指导+人工精准切片+系统化知识整理”为核心实施路径，聚焦电力营销领域知识体系的高质量构建与高效应用。具体内容包括：</w:t>
      </w:r>
    </w:p>
    <w:p w14:paraId="5783D38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1、</w:t>
      </w:r>
      <w:r>
        <w:rPr>
          <w:rFonts w:hint="eastAsia" w:ascii="宋体" w:hAnsi="宋体" w:cs="Times New Roman"/>
          <w:b w:val="0"/>
          <w:bCs w:val="0"/>
          <w:kern w:val="2"/>
          <w:sz w:val="28"/>
          <w:szCs w:val="28"/>
          <w:lang w:val="en-US" w:eastAsia="zh-CN" w:bidi="ar-SA"/>
        </w:rPr>
        <w:t>知识整合与人工精准切片：组织电力营销业务专家指导，组建专业团队对多源政策与业务文件进行审读和解析。专家团队依据业务实际与风险管控需求，制定系统、细致的语义单元切分规则与质量标准。技术人员依规开展人工清洗、标注与切片，确保每一知识片段边界清晰、语义完整，为后续处理奠定坚实基础。</w:t>
      </w:r>
    </w:p>
    <w:p w14:paraId="038AD6F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2、</w:t>
      </w:r>
      <w:r>
        <w:rPr>
          <w:rFonts w:hint="eastAsia" w:ascii="宋体" w:hAnsi="宋体" w:cs="Times New Roman"/>
          <w:b w:val="0"/>
          <w:bCs w:val="0"/>
          <w:kern w:val="2"/>
          <w:sz w:val="28"/>
          <w:szCs w:val="28"/>
          <w:lang w:val="en-US" w:eastAsia="zh-CN" w:bidi="ar-SA"/>
        </w:rPr>
        <w:t>系统化知识整理与组织：对已切片知识进行多维度归类、标签化处理与一致性校验，构建逻辑清晰、关联紧密的知识层级体系，形成标准化的知识片段集合，全面支持业务检索与应用。</w:t>
      </w:r>
    </w:p>
    <w:p w14:paraId="2660A7B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3、</w:t>
      </w:r>
      <w:r>
        <w:rPr>
          <w:rFonts w:hint="eastAsia" w:ascii="宋体" w:hAnsi="宋体" w:cs="Times New Roman"/>
          <w:b w:val="0"/>
          <w:bCs w:val="0"/>
          <w:kern w:val="2"/>
          <w:sz w:val="28"/>
          <w:szCs w:val="28"/>
          <w:lang w:val="en-US" w:eastAsia="zh-CN" w:bidi="ar-SA"/>
        </w:rPr>
        <w:t>智能检索与业务赋能：依托系统化整理的知识体系，实现跨业务环节的精准查询与推送，快速响应一线需求，显著提升知识获取效率与应用准确性。</w:t>
      </w:r>
    </w:p>
    <w:p w14:paraId="2D44008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4、</w:t>
      </w:r>
      <w:r>
        <w:rPr>
          <w:rFonts w:hint="eastAsia" w:ascii="宋体" w:hAnsi="宋体" w:cs="Times New Roman"/>
          <w:b w:val="0"/>
          <w:bCs w:val="0"/>
          <w:kern w:val="2"/>
          <w:sz w:val="28"/>
          <w:szCs w:val="28"/>
          <w:lang w:val="en-US" w:eastAsia="zh-CN" w:bidi="ar-SA"/>
        </w:rPr>
        <w:t>闭环迭代优化：建立“业务反馈-专家评估-人工校准”机制，组织领域专家对知识切片质量、分类体系及应用效果进行持续复核与优化，确保与实际业务需求动态一致。</w:t>
      </w:r>
    </w:p>
    <w:p w14:paraId="7963843F">
      <w:pPr>
        <w:pStyle w:val="2"/>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宋体" w:hAnsi="宋体" w:eastAsia="宋体" w:cs="Times New Roman"/>
          <w:b/>
          <w:bCs/>
          <w:kern w:val="2"/>
          <w:sz w:val="28"/>
          <w:szCs w:val="28"/>
          <w:lang w:val="en-US" w:eastAsia="zh-CN" w:bidi="ar-SA"/>
        </w:rPr>
      </w:pPr>
    </w:p>
    <w:p w14:paraId="32CBAA3C">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w:t>
      </w:r>
      <w:r>
        <w:rPr>
          <w:rFonts w:hint="eastAsia" w:ascii="宋体" w:hAnsi="宋体" w:cs="Times New Roman"/>
          <w:b/>
          <w:bCs/>
          <w:kern w:val="2"/>
          <w:sz w:val="28"/>
          <w:szCs w:val="28"/>
          <w:lang w:val="en-US" w:eastAsia="zh-CN" w:bidi="ar-SA"/>
        </w:rPr>
        <w:t>5：</w:t>
      </w:r>
      <w:r>
        <w:rPr>
          <w:rFonts w:hint="eastAsia" w:ascii="宋体" w:hAnsi="宋体" w:eastAsia="宋体" w:cs="Times New Roman"/>
          <w:b/>
          <w:bCs/>
          <w:kern w:val="2"/>
          <w:sz w:val="28"/>
          <w:szCs w:val="28"/>
          <w:lang w:val="en-US" w:eastAsia="zh-CN" w:bidi="ar-SA"/>
        </w:rPr>
        <w:t>全链路数据驱动的电力客户投诉溯源稽查与服务效能提升研究</w:t>
      </w:r>
    </w:p>
    <w:p w14:paraId="7545221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2C419BB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本项目以客户投诉数据为核心，联动服务全流程数据。开展三个方面的工作，包括客户服务工作分析、场景整理梳理、诉求根源挖掘分析，以实现服务风险总结、需求溯源解决。</w:t>
      </w:r>
    </w:p>
    <w:p w14:paraId="095EAEC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eastAsia="宋体" w:cs="Times New Roman"/>
          <w:b w:val="0"/>
          <w:bCs w:val="0"/>
          <w:kern w:val="2"/>
          <w:sz w:val="28"/>
          <w:szCs w:val="28"/>
          <w:lang w:val="en-US" w:eastAsia="zh-CN" w:bidi="ar-SA"/>
        </w:rPr>
      </w:pPr>
      <w:r>
        <w:rPr>
          <w:rFonts w:hint="eastAsia" w:ascii="宋体" w:hAnsi="宋体" w:cs="Times New Roman"/>
          <w:b w:val="0"/>
          <w:bCs w:val="0"/>
          <w:kern w:val="2"/>
          <w:sz w:val="28"/>
          <w:szCs w:val="28"/>
          <w:lang w:val="en-US" w:eastAsia="zh-CN" w:bidi="ar-SA"/>
        </w:rPr>
        <w:t>从企业运营角度，实施有效识别诉求风险，辅助服务提升，降低投诉的反复发生；优化客服管理流程，降低投诉处理成本，同时通过挖掘的问题数据，为电网运营管理、服务流程优化、政策调整等提供科学依据。从客户角度，实现快速响应客户诉求、解决问题，有效提升客户问题解决效率与满意度，增强客户对电网企业的信任度。</w:t>
      </w:r>
    </w:p>
    <w:p w14:paraId="34115A1B">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宋体" w:hAnsi="宋体" w:cs="Times New Roman"/>
          <w:b/>
          <w:bCs/>
          <w:kern w:val="2"/>
          <w:sz w:val="28"/>
          <w:szCs w:val="28"/>
          <w:highlight w:val="none"/>
          <w:lang w:val="en-US" w:eastAsia="zh-CN" w:bidi="ar-SA"/>
        </w:rPr>
      </w:pPr>
      <w:r>
        <w:rPr>
          <w:rFonts w:hint="eastAsia" w:ascii="宋体" w:hAnsi="宋体" w:cs="Times New Roman"/>
          <w:b/>
          <w:bCs/>
          <w:kern w:val="2"/>
          <w:sz w:val="28"/>
          <w:szCs w:val="28"/>
          <w:highlight w:val="none"/>
          <w:lang w:val="en-US" w:eastAsia="zh-CN" w:bidi="ar-SA"/>
        </w:rPr>
        <w:t>招标范围：</w:t>
      </w:r>
    </w:p>
    <w:p w14:paraId="4CA6D5A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highlight w:val="none"/>
          <w:lang w:val="en-US" w:eastAsia="zh-CN" w:bidi="ar-SA"/>
        </w:rPr>
      </w:pPr>
      <w:r>
        <w:rPr>
          <w:rFonts w:hint="eastAsia" w:ascii="宋体" w:hAnsi="宋体" w:cs="Times New Roman"/>
          <w:b w:val="0"/>
          <w:bCs w:val="0"/>
          <w:kern w:val="2"/>
          <w:sz w:val="28"/>
          <w:szCs w:val="28"/>
          <w:highlight w:val="none"/>
          <w:lang w:val="en-US" w:eastAsia="zh-CN" w:bidi="ar-SA"/>
        </w:rPr>
        <w:t>1、本项目构建标准化业务数据市与客户投诉数据集，实现全流程数据的联动，建立“投诉数据-业务数据”映射关系。对客服的工单数据、投诉定责数据进行研究，深度分析，梳理客户服务与典型场景的智能识别服务短板，精准定位服务薄弱环节。</w:t>
      </w:r>
    </w:p>
    <w:p w14:paraId="733B0D3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highlight w:val="none"/>
          <w:lang w:val="en-US" w:eastAsia="zh-CN" w:bidi="ar-SA"/>
        </w:rPr>
      </w:pPr>
      <w:r>
        <w:rPr>
          <w:rFonts w:hint="eastAsia" w:ascii="宋体" w:hAnsi="宋体" w:cs="Times New Roman"/>
          <w:b w:val="0"/>
          <w:bCs w:val="0"/>
          <w:kern w:val="2"/>
          <w:sz w:val="28"/>
          <w:szCs w:val="28"/>
          <w:highlight w:val="none"/>
          <w:lang w:val="en-US" w:eastAsia="zh-CN" w:bidi="ar-SA"/>
        </w:rPr>
        <w:t>2、基于客户主要交互场景拆解稽查要点，借助关联规则挖掘技术建立场景与业务流程节点映射，挖掘并完善场景化稽查清单，便于稽查人员快速获取场景化稽查逻辑，提升精准稽查效率。</w:t>
      </w:r>
    </w:p>
    <w:p w14:paraId="00F19D0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highlight w:val="none"/>
          <w:lang w:val="en-US" w:eastAsia="zh-CN" w:bidi="ar-SA"/>
        </w:rPr>
      </w:pPr>
      <w:r>
        <w:rPr>
          <w:rFonts w:hint="eastAsia" w:ascii="宋体" w:hAnsi="宋体" w:cs="Times New Roman"/>
          <w:b w:val="0"/>
          <w:bCs w:val="0"/>
          <w:kern w:val="2"/>
          <w:sz w:val="28"/>
          <w:szCs w:val="28"/>
          <w:highlight w:val="none"/>
          <w:lang w:val="en-US" w:eastAsia="zh-CN" w:bidi="ar-SA"/>
        </w:rPr>
        <w:t>3、搭建“投诉事件-根源维度”关联模型过程中，运用聚类分析、因果推断等数据分析技术，从电网运营、政策执行、服务流程三大维度挖掘投诉根源；并通过数据跟踪技术构建“发现-分析-整改-闭环”的根源治理机制，实时监控根源问题整改进度，避免同类投诉反复发生。</w:t>
      </w:r>
    </w:p>
    <w:p w14:paraId="624BD00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val="0"/>
          <w:bCs w:val="0"/>
          <w:kern w:val="2"/>
          <w:sz w:val="28"/>
          <w:szCs w:val="28"/>
          <w:highlight w:val="none"/>
          <w:lang w:val="en-US" w:eastAsia="zh-CN" w:bidi="ar-SA"/>
        </w:rPr>
      </w:pPr>
      <w:r>
        <w:rPr>
          <w:rFonts w:hint="eastAsia" w:ascii="宋体" w:hAnsi="宋体" w:cs="Times New Roman"/>
          <w:b w:val="0"/>
          <w:bCs w:val="0"/>
          <w:kern w:val="2"/>
          <w:sz w:val="28"/>
          <w:szCs w:val="28"/>
          <w:highlight w:val="none"/>
          <w:lang w:val="en-US" w:eastAsia="zh-CN" w:bidi="ar-SA"/>
        </w:rPr>
        <w:t>主要输出典型场景稽查要点映射清单、关联规则分析说明书、投诉根源问题闭环治理管理办法，及形成交付物的编制、评审、验收、印刷及过程资料查询使用费等。</w:t>
      </w:r>
    </w:p>
    <w:p w14:paraId="3C9EC6B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cs="Times New Roman"/>
          <w:b/>
          <w:bCs/>
          <w:kern w:val="2"/>
          <w:sz w:val="28"/>
          <w:szCs w:val="28"/>
          <w:highlight w:val="yellow"/>
          <w:lang w:val="en-US" w:eastAsia="zh-CN" w:bidi="ar-SA"/>
        </w:rPr>
      </w:pPr>
      <w:r>
        <w:rPr>
          <w:rFonts w:hint="eastAsia" w:ascii="宋体" w:hAnsi="宋体" w:cs="Times New Roman"/>
          <w:b w:val="0"/>
          <w:bCs w:val="0"/>
          <w:kern w:val="2"/>
          <w:sz w:val="28"/>
          <w:szCs w:val="28"/>
          <w:highlight w:val="none"/>
          <w:lang w:val="en-US" w:eastAsia="zh-CN" w:bidi="ar-SA"/>
        </w:rPr>
        <w:t>交付物包括但不限于:《客户服务典型场景稽查要点映射清单》、《客户服务工单与调查分析报告》、《客户诉求典型场景根源问题闭环治理研究报告》。</w:t>
      </w:r>
    </w:p>
    <w:p w14:paraId="4DEDC0B5">
      <w:pPr>
        <w:pStyle w:val="3"/>
        <w:keepNext w:val="0"/>
        <w:keepLines w:val="0"/>
        <w:pageBreakBefore w:val="0"/>
        <w:widowControl w:val="0"/>
        <w:kinsoku/>
        <w:wordWrap/>
        <w:overflowPunct/>
        <w:topLinePunct w:val="0"/>
        <w:autoSpaceDE/>
        <w:autoSpaceDN/>
        <w:bidi w:val="0"/>
        <w:adjustRightInd w:val="0"/>
        <w:snapToGrid w:val="0"/>
        <w:spacing w:before="0" w:after="0" w:line="560" w:lineRule="exact"/>
        <w:textAlignment w:val="auto"/>
        <w:rPr>
          <w:rFonts w:hint="eastAsia"/>
          <w:lang w:val="en-US" w:eastAsia="zh-CN"/>
        </w:rPr>
      </w:pPr>
    </w:p>
    <w:p w14:paraId="6EC1E6CE">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标的6</w:t>
      </w:r>
      <w:r>
        <w:rPr>
          <w:rFonts w:hint="eastAsia" w:ascii="宋体" w:hAnsi="宋体" w:cs="Times New Roman"/>
          <w:b/>
          <w:bCs/>
          <w:kern w:val="2"/>
          <w:sz w:val="28"/>
          <w:szCs w:val="28"/>
          <w:lang w:val="en-US" w:eastAsia="zh-CN" w:bidi="ar-SA"/>
        </w:rPr>
        <w:t>：</w:t>
      </w:r>
      <w:r>
        <w:rPr>
          <w:rFonts w:hint="eastAsia" w:ascii="宋体" w:hAnsi="宋体" w:eastAsia="宋体" w:cs="Times New Roman"/>
          <w:b/>
          <w:bCs/>
          <w:kern w:val="2"/>
          <w:sz w:val="28"/>
          <w:szCs w:val="28"/>
          <w:lang w:val="en-US" w:eastAsia="zh-CN" w:bidi="ar-SA"/>
        </w:rPr>
        <w:t>2026年广州供电局营销项目效能评价</w:t>
      </w:r>
    </w:p>
    <w:p w14:paraId="473EBA7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项目概况：</w:t>
      </w:r>
    </w:p>
    <w:p w14:paraId="361F1B3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营销项目效能评价是电网公司日常生产运营中的一项重要工作环节，是衡量营销专业投资及运行质量的重要手段。通过对营销项目的投资效能评估为投资提供参考尺度，从而确定投资决策、项目管理和技术提升等方面提出各类营销投资项目的改进意见，以实现公司的战略目标。</w:t>
      </w:r>
    </w:p>
    <w:p w14:paraId="34D1368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default" w:ascii="宋体" w:hAnsi="宋体" w:eastAsia="宋体" w:cs="Times New Roman"/>
          <w:b/>
          <w:bCs/>
          <w:kern w:val="2"/>
          <w:sz w:val="28"/>
          <w:szCs w:val="28"/>
          <w:lang w:val="en-US" w:eastAsia="zh-CN" w:bidi="ar-SA"/>
        </w:rPr>
      </w:pPr>
      <w:r>
        <w:rPr>
          <w:rFonts w:hint="eastAsia" w:ascii="宋体" w:hAnsi="宋体" w:cs="Times New Roman"/>
          <w:b/>
          <w:bCs/>
          <w:kern w:val="2"/>
          <w:sz w:val="28"/>
          <w:szCs w:val="28"/>
          <w:lang w:val="en-US" w:eastAsia="zh-CN" w:bidi="ar-SA"/>
        </w:rPr>
        <w:t>招标范围：</w:t>
      </w:r>
    </w:p>
    <w:p w14:paraId="00029A6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本次</w:t>
      </w:r>
      <w:r>
        <w:rPr>
          <w:rFonts w:hint="eastAsia" w:ascii="宋体" w:hAnsi="宋体" w:cs="Times New Roman"/>
          <w:kern w:val="2"/>
          <w:sz w:val="28"/>
          <w:szCs w:val="28"/>
          <w:lang w:val="en-US" w:eastAsia="zh-CN" w:bidi="ar-SA"/>
        </w:rPr>
        <w:t>采购</w:t>
      </w:r>
      <w:r>
        <w:rPr>
          <w:rFonts w:hint="eastAsia" w:ascii="宋体" w:hAnsi="宋体" w:eastAsia="宋体" w:cs="Times New Roman"/>
          <w:kern w:val="2"/>
          <w:sz w:val="28"/>
          <w:szCs w:val="28"/>
          <w:lang w:val="en-US" w:eastAsia="zh-CN" w:bidi="ar-SA"/>
        </w:rPr>
        <w:t>为202</w:t>
      </w:r>
      <w:r>
        <w:rPr>
          <w:rFonts w:hint="eastAsia" w:ascii="宋体" w:hAnsi="宋体" w:cs="Times New Roman"/>
          <w:kern w:val="2"/>
          <w:sz w:val="28"/>
          <w:szCs w:val="28"/>
          <w:lang w:val="en-US" w:eastAsia="zh-CN" w:bidi="ar-SA"/>
        </w:rPr>
        <w:t>6</w:t>
      </w:r>
      <w:r>
        <w:rPr>
          <w:rFonts w:hint="eastAsia" w:ascii="宋体" w:hAnsi="宋体" w:eastAsia="宋体" w:cs="Times New Roman"/>
          <w:kern w:val="2"/>
          <w:sz w:val="28"/>
          <w:szCs w:val="28"/>
          <w:lang w:val="en-US" w:eastAsia="zh-CN" w:bidi="ar-SA"/>
        </w:rPr>
        <w:t>年广州供电局营销项目效能评价项目提供服务：</w:t>
      </w:r>
    </w:p>
    <w:p w14:paraId="2E2907C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依据南方电网公司营销项目管理制度、项目准入条件及《广州供电局营销项目后评价业务指导书》等相关规定，组织开展营销项目效能评价，对在2025年投产项目开展营销项目后检查工作，形成《202</w:t>
      </w:r>
      <w:r>
        <w:rPr>
          <w:rFonts w:hint="eastAsia" w:ascii="宋体" w:hAnsi="宋体" w:cs="Times New Roman"/>
          <w:kern w:val="2"/>
          <w:sz w:val="28"/>
          <w:szCs w:val="28"/>
          <w:lang w:val="en-US" w:eastAsia="zh-CN" w:bidi="ar-SA"/>
        </w:rPr>
        <w:t>5</w:t>
      </w:r>
      <w:r>
        <w:rPr>
          <w:rFonts w:hint="eastAsia" w:ascii="宋体" w:hAnsi="宋体" w:eastAsia="宋体" w:cs="Times New Roman"/>
          <w:kern w:val="2"/>
          <w:sz w:val="28"/>
          <w:szCs w:val="28"/>
          <w:lang w:val="en-US" w:eastAsia="zh-CN" w:bidi="ar-SA"/>
        </w:rPr>
        <w:t>年广州供电局营销项目后检查报告》。</w:t>
      </w:r>
    </w:p>
    <w:p w14:paraId="6DE527B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1、</w:t>
      </w:r>
      <w:r>
        <w:rPr>
          <w:rFonts w:hint="eastAsia" w:ascii="宋体" w:hAnsi="宋体" w:eastAsia="宋体" w:cs="Times New Roman"/>
          <w:kern w:val="2"/>
          <w:sz w:val="28"/>
          <w:szCs w:val="28"/>
          <w:lang w:val="en-US" w:eastAsia="zh-CN" w:bidi="ar-SA"/>
        </w:rPr>
        <w:t>工作内容：</w:t>
      </w:r>
    </w:p>
    <w:p w14:paraId="1B7CBD9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（1）</w:t>
      </w:r>
      <w:r>
        <w:rPr>
          <w:rFonts w:hint="eastAsia" w:ascii="宋体" w:hAnsi="宋体" w:eastAsia="宋体" w:cs="Times New Roman"/>
          <w:kern w:val="2"/>
          <w:sz w:val="28"/>
          <w:szCs w:val="28"/>
          <w:lang w:val="en-US" w:eastAsia="zh-CN" w:bidi="ar-SA"/>
        </w:rPr>
        <w:t>对202</w:t>
      </w:r>
      <w:r>
        <w:rPr>
          <w:rFonts w:hint="eastAsia" w:ascii="宋体" w:hAnsi="宋体" w:cs="Times New Roman"/>
          <w:kern w:val="2"/>
          <w:sz w:val="28"/>
          <w:szCs w:val="28"/>
          <w:lang w:val="en-US" w:eastAsia="zh-CN" w:bidi="ar-SA"/>
        </w:rPr>
        <w:t>5</w:t>
      </w:r>
      <w:r>
        <w:rPr>
          <w:rFonts w:hint="eastAsia" w:ascii="宋体" w:hAnsi="宋体" w:eastAsia="宋体" w:cs="Times New Roman"/>
          <w:kern w:val="2"/>
          <w:sz w:val="28"/>
          <w:szCs w:val="28"/>
          <w:lang w:val="en-US" w:eastAsia="zh-CN" w:bidi="ar-SA"/>
        </w:rPr>
        <w:t>年</w:t>
      </w:r>
      <w:r>
        <w:rPr>
          <w:rFonts w:hint="eastAsia" w:ascii="宋体" w:hAnsi="宋体" w:cs="Times New Roman"/>
          <w:kern w:val="2"/>
          <w:sz w:val="28"/>
          <w:szCs w:val="28"/>
          <w:lang w:val="en-US" w:eastAsia="zh-CN" w:bidi="ar-SA"/>
        </w:rPr>
        <w:t>投产</w:t>
      </w:r>
      <w:r>
        <w:rPr>
          <w:rFonts w:hint="eastAsia" w:ascii="宋体" w:hAnsi="宋体" w:eastAsia="宋体" w:cs="Times New Roman"/>
          <w:kern w:val="2"/>
          <w:sz w:val="28"/>
          <w:szCs w:val="28"/>
          <w:lang w:val="en-US" w:eastAsia="zh-CN" w:bidi="ar-SA"/>
        </w:rPr>
        <w:t>的营销项目进行</w:t>
      </w:r>
      <w:r>
        <w:rPr>
          <w:rFonts w:hint="eastAsia" w:ascii="宋体" w:hAnsi="宋体" w:cs="Times New Roman"/>
          <w:kern w:val="2"/>
          <w:sz w:val="28"/>
          <w:szCs w:val="28"/>
          <w:lang w:val="en-US" w:eastAsia="zh-CN" w:bidi="ar-SA"/>
        </w:rPr>
        <w:t>项目</w:t>
      </w:r>
      <w:r>
        <w:rPr>
          <w:rFonts w:hint="eastAsia" w:ascii="宋体" w:hAnsi="宋体" w:eastAsia="宋体" w:cs="Times New Roman"/>
          <w:kern w:val="2"/>
          <w:sz w:val="28"/>
          <w:szCs w:val="28"/>
          <w:lang w:val="en-US" w:eastAsia="zh-CN" w:bidi="ar-SA"/>
        </w:rPr>
        <w:t>后检查，检查形式包括开展现场走访、资料检查等，对营销项目管理</w:t>
      </w:r>
      <w:r>
        <w:rPr>
          <w:rFonts w:hint="eastAsia" w:ascii="宋体" w:hAnsi="宋体" w:cs="Times New Roman"/>
          <w:kern w:val="2"/>
          <w:sz w:val="28"/>
          <w:szCs w:val="28"/>
          <w:lang w:val="en-US" w:eastAsia="zh-CN" w:bidi="ar-SA"/>
        </w:rPr>
        <w:t>全过程</w:t>
      </w:r>
      <w:r>
        <w:rPr>
          <w:rFonts w:hint="eastAsia" w:ascii="宋体" w:hAnsi="宋体" w:eastAsia="宋体" w:cs="Times New Roman"/>
          <w:kern w:val="2"/>
          <w:sz w:val="28"/>
          <w:szCs w:val="28"/>
          <w:lang w:val="en-US" w:eastAsia="zh-CN" w:bidi="ar-SA"/>
        </w:rPr>
        <w:t>各项工作的</w:t>
      </w:r>
      <w:r>
        <w:rPr>
          <w:rFonts w:hint="eastAsia" w:ascii="宋体" w:hAnsi="宋体" w:cs="Times New Roman"/>
          <w:kern w:val="2"/>
          <w:sz w:val="28"/>
          <w:szCs w:val="28"/>
          <w:lang w:val="en-US" w:eastAsia="zh-CN" w:bidi="ar-SA"/>
        </w:rPr>
        <w:t>合规性</w:t>
      </w:r>
      <w:r>
        <w:rPr>
          <w:rFonts w:hint="eastAsia" w:ascii="宋体" w:hAnsi="宋体" w:eastAsia="宋体" w:cs="Times New Roman"/>
          <w:kern w:val="2"/>
          <w:sz w:val="28"/>
          <w:szCs w:val="28"/>
          <w:lang w:val="en-US" w:eastAsia="zh-CN" w:bidi="ar-SA"/>
        </w:rPr>
        <w:t>开展</w:t>
      </w:r>
      <w:r>
        <w:rPr>
          <w:rFonts w:hint="eastAsia" w:ascii="宋体" w:hAnsi="宋体" w:cs="Times New Roman"/>
          <w:kern w:val="2"/>
          <w:sz w:val="28"/>
          <w:szCs w:val="28"/>
          <w:lang w:val="en-US" w:eastAsia="zh-CN" w:bidi="ar-SA"/>
        </w:rPr>
        <w:t>检查，主要包括（不限于）营销项目前期管理、实施过程管理、收尾管理</w:t>
      </w:r>
      <w:r>
        <w:rPr>
          <w:rFonts w:hint="eastAsia" w:ascii="宋体" w:hAnsi="宋体" w:eastAsia="宋体" w:cs="Times New Roman"/>
          <w:kern w:val="2"/>
          <w:sz w:val="28"/>
          <w:szCs w:val="28"/>
          <w:lang w:val="en-US" w:eastAsia="zh-CN" w:bidi="ar-SA"/>
        </w:rPr>
        <w:t>；</w:t>
      </w:r>
    </w:p>
    <w:p w14:paraId="65EB2F2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（2）</w:t>
      </w:r>
      <w:r>
        <w:rPr>
          <w:rFonts w:hint="eastAsia" w:ascii="宋体" w:hAnsi="宋体" w:eastAsia="宋体" w:cs="Times New Roman"/>
          <w:kern w:val="2"/>
          <w:sz w:val="28"/>
          <w:szCs w:val="28"/>
          <w:lang w:val="en-US" w:eastAsia="zh-CN" w:bidi="ar-SA"/>
        </w:rPr>
        <w:t>依据现场</w:t>
      </w:r>
      <w:r>
        <w:rPr>
          <w:rFonts w:hint="eastAsia" w:ascii="宋体" w:hAnsi="宋体" w:cs="Times New Roman"/>
          <w:kern w:val="2"/>
          <w:sz w:val="28"/>
          <w:szCs w:val="28"/>
          <w:lang w:val="en-US" w:eastAsia="zh-CN" w:bidi="ar-SA"/>
        </w:rPr>
        <w:t>走</w:t>
      </w:r>
      <w:r>
        <w:rPr>
          <w:rFonts w:hint="eastAsia" w:ascii="宋体" w:hAnsi="宋体" w:eastAsia="宋体" w:cs="Times New Roman"/>
          <w:kern w:val="2"/>
          <w:sz w:val="28"/>
          <w:szCs w:val="28"/>
          <w:lang w:val="en-US" w:eastAsia="zh-CN" w:bidi="ar-SA"/>
        </w:rPr>
        <w:t>访、资料检查情况，总结营销项目各阶段开展情况，指出各</w:t>
      </w:r>
      <w:r>
        <w:rPr>
          <w:rFonts w:hint="eastAsia" w:ascii="宋体" w:hAnsi="宋体" w:cs="Times New Roman"/>
          <w:kern w:val="2"/>
          <w:sz w:val="28"/>
          <w:szCs w:val="28"/>
          <w:lang w:val="en-US" w:eastAsia="zh-CN" w:bidi="ar-SA"/>
        </w:rPr>
        <w:t>项目实施单位</w:t>
      </w:r>
      <w:r>
        <w:rPr>
          <w:rFonts w:hint="eastAsia" w:ascii="宋体" w:hAnsi="宋体" w:eastAsia="宋体" w:cs="Times New Roman"/>
          <w:kern w:val="2"/>
          <w:sz w:val="28"/>
          <w:szCs w:val="28"/>
          <w:lang w:val="en-US" w:eastAsia="zh-CN" w:bidi="ar-SA"/>
        </w:rPr>
        <w:t>在营销</w:t>
      </w:r>
      <w:r>
        <w:rPr>
          <w:rFonts w:hint="eastAsia" w:ascii="宋体" w:hAnsi="宋体" w:cs="Times New Roman"/>
          <w:kern w:val="2"/>
          <w:sz w:val="28"/>
          <w:szCs w:val="28"/>
          <w:lang w:val="en-US" w:eastAsia="zh-CN" w:bidi="ar-SA"/>
        </w:rPr>
        <w:t>项目实施</w:t>
      </w:r>
      <w:r>
        <w:rPr>
          <w:rFonts w:hint="eastAsia" w:ascii="宋体" w:hAnsi="宋体" w:eastAsia="宋体" w:cs="Times New Roman"/>
          <w:kern w:val="2"/>
          <w:sz w:val="28"/>
          <w:szCs w:val="28"/>
          <w:lang w:val="en-US" w:eastAsia="zh-CN" w:bidi="ar-SA"/>
        </w:rPr>
        <w:t>过程中存在的问题，并给出</w:t>
      </w:r>
      <w:r>
        <w:rPr>
          <w:rFonts w:hint="eastAsia" w:ascii="宋体" w:hAnsi="宋体" w:cs="Times New Roman"/>
          <w:kern w:val="2"/>
          <w:sz w:val="28"/>
          <w:szCs w:val="28"/>
          <w:lang w:val="en-US" w:eastAsia="zh-CN" w:bidi="ar-SA"/>
        </w:rPr>
        <w:t>具备可行性的</w:t>
      </w:r>
      <w:r>
        <w:rPr>
          <w:rFonts w:hint="eastAsia" w:ascii="宋体" w:hAnsi="宋体" w:eastAsia="宋体" w:cs="Times New Roman"/>
          <w:kern w:val="2"/>
          <w:sz w:val="28"/>
          <w:szCs w:val="28"/>
          <w:lang w:val="en-US" w:eastAsia="zh-CN" w:bidi="ar-SA"/>
        </w:rPr>
        <w:t>工作指导</w:t>
      </w:r>
      <w:r>
        <w:rPr>
          <w:rFonts w:hint="eastAsia" w:ascii="宋体" w:hAnsi="宋体" w:cs="Times New Roman"/>
          <w:kern w:val="2"/>
          <w:sz w:val="28"/>
          <w:szCs w:val="28"/>
          <w:lang w:val="en-US" w:eastAsia="zh-CN" w:bidi="ar-SA"/>
        </w:rPr>
        <w:t>意见和</w:t>
      </w:r>
      <w:r>
        <w:rPr>
          <w:rFonts w:hint="eastAsia" w:ascii="宋体" w:hAnsi="宋体" w:eastAsia="宋体" w:cs="Times New Roman"/>
          <w:kern w:val="2"/>
          <w:sz w:val="28"/>
          <w:szCs w:val="28"/>
          <w:lang w:val="en-US" w:eastAsia="zh-CN" w:bidi="ar-SA"/>
        </w:rPr>
        <w:t>建议。</w:t>
      </w:r>
    </w:p>
    <w:p w14:paraId="0A793BB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（3）</w:t>
      </w:r>
      <w:r>
        <w:rPr>
          <w:rFonts w:hint="eastAsia" w:ascii="宋体" w:hAnsi="宋体" w:eastAsia="宋体" w:cs="Times New Roman"/>
          <w:kern w:val="2"/>
          <w:sz w:val="28"/>
          <w:szCs w:val="28"/>
          <w:lang w:val="en-US" w:eastAsia="zh-CN" w:bidi="ar-SA"/>
        </w:rPr>
        <w:t>分析营销项目管理、计量物资管理各项指标完成情况，分析指标优势单位的先进做法，提炼优势管理模式。编制《202</w:t>
      </w:r>
      <w:r>
        <w:rPr>
          <w:rFonts w:hint="eastAsia" w:ascii="宋体" w:hAnsi="宋体" w:cs="Times New Roman"/>
          <w:kern w:val="2"/>
          <w:sz w:val="28"/>
          <w:szCs w:val="28"/>
          <w:lang w:val="en-US" w:eastAsia="zh-CN" w:bidi="ar-SA"/>
        </w:rPr>
        <w:t>5</w:t>
      </w:r>
      <w:r>
        <w:rPr>
          <w:rFonts w:hint="eastAsia" w:ascii="宋体" w:hAnsi="宋体" w:eastAsia="宋体" w:cs="Times New Roman"/>
          <w:kern w:val="2"/>
          <w:sz w:val="28"/>
          <w:szCs w:val="28"/>
          <w:lang w:val="en-US" w:eastAsia="zh-CN" w:bidi="ar-SA"/>
        </w:rPr>
        <w:t>年广州供电局营销项目后检查报告》。</w:t>
      </w:r>
    </w:p>
    <w:p w14:paraId="1CC5529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ascii="宋体" w:hAnsi="宋体" w:eastAsia="宋体" w:cs="Times New Roman"/>
          <w:kern w:val="2"/>
          <w:sz w:val="28"/>
          <w:szCs w:val="28"/>
          <w:lang w:val="en-US" w:eastAsia="zh-CN" w:bidi="ar-SA"/>
        </w:rPr>
      </w:pPr>
      <w:r>
        <w:rPr>
          <w:rFonts w:hint="eastAsia" w:ascii="宋体" w:hAnsi="宋体" w:cs="Times New Roman"/>
          <w:b w:val="0"/>
          <w:bCs w:val="0"/>
          <w:kern w:val="2"/>
          <w:sz w:val="28"/>
          <w:szCs w:val="28"/>
          <w:highlight w:val="none"/>
          <w:lang w:val="en-US" w:eastAsia="zh-CN" w:bidi="ar-SA"/>
        </w:rPr>
        <w:t>2、</w:t>
      </w:r>
      <w:r>
        <w:rPr>
          <w:rFonts w:hint="eastAsia" w:ascii="宋体" w:hAnsi="宋体" w:cs="Times New Roman"/>
          <w:kern w:val="2"/>
          <w:sz w:val="28"/>
          <w:szCs w:val="28"/>
          <w:lang w:val="en-US" w:eastAsia="zh-CN" w:bidi="ar-SA"/>
        </w:rPr>
        <w:t>实施方案</w:t>
      </w:r>
    </w:p>
    <w:p w14:paraId="6A03F57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（1）检查前期准备工作：制定抽查范围、抽取原则、现场检查时间表，联系迎检单位资料准备。</w:t>
      </w:r>
    </w:p>
    <w:p w14:paraId="5EC0BC97">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560" w:firstLineChars="200"/>
        <w:textAlignment w:val="auto"/>
        <w:rPr>
          <w:rFonts w:hint="eastAsia"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（2）现场检查工作：对广州供电局供服中心、计量中心、直属供电局进行现场检查。</w:t>
      </w:r>
    </w:p>
    <w:p w14:paraId="2097D34A">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560" w:firstLineChars="200"/>
        <w:textAlignment w:val="auto"/>
        <w:rPr>
          <w:rFonts w:hint="eastAsia" w:ascii="宋体" w:hAnsi="宋体" w:cs="Times New Roman"/>
          <w:kern w:val="2"/>
          <w:sz w:val="28"/>
          <w:szCs w:val="28"/>
          <w:lang w:val="en-US" w:eastAsia="zh-CN" w:bidi="ar-SA"/>
        </w:rPr>
      </w:pPr>
      <w:r>
        <w:rPr>
          <w:rFonts w:hint="eastAsia" w:ascii="宋体" w:hAnsi="宋体" w:cs="Times New Roman"/>
          <w:kern w:val="2"/>
          <w:sz w:val="28"/>
          <w:szCs w:val="28"/>
          <w:lang w:val="en-US" w:eastAsia="zh-CN" w:bidi="ar-SA"/>
        </w:rPr>
        <w:t>（3）问题反馈、申诉：对检查发现的问题进行登记、整理，并反馈问题责任单位，接受相关单位的问题申诉并进行研判，确定问题是否纳入检查报告。</w:t>
      </w:r>
    </w:p>
    <w:p w14:paraId="547832A6">
      <w:pPr>
        <w:pStyle w:val="2"/>
        <w:keepNext w:val="0"/>
        <w:keepLines w:val="0"/>
        <w:pageBreakBefore w:val="0"/>
        <w:widowControl w:val="0"/>
        <w:kinsoku/>
        <w:wordWrap/>
        <w:overflowPunct/>
        <w:topLinePunct w:val="0"/>
        <w:autoSpaceDE/>
        <w:autoSpaceDN/>
        <w:bidi w:val="0"/>
        <w:adjustRightInd w:val="0"/>
        <w:snapToGrid w:val="0"/>
        <w:spacing w:after="0" w:line="560" w:lineRule="exact"/>
        <w:ind w:firstLine="560" w:firstLineChars="200"/>
        <w:textAlignment w:val="auto"/>
        <w:rPr>
          <w:rFonts w:hint="default"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（4）检查资料整理：对</w:t>
      </w:r>
      <w:r>
        <w:rPr>
          <w:rFonts w:hint="eastAsia" w:ascii="宋体" w:hAnsi="宋体" w:eastAsia="宋体" w:cs="Times New Roman"/>
          <w:kern w:val="2"/>
          <w:sz w:val="28"/>
          <w:szCs w:val="28"/>
          <w:lang w:val="en-US" w:eastAsia="zh-CN" w:bidi="ar-SA"/>
        </w:rPr>
        <w:t>发现问题</w:t>
      </w:r>
      <w:r>
        <w:rPr>
          <w:rFonts w:hint="eastAsia" w:ascii="宋体" w:hAnsi="宋体" w:cs="Times New Roman"/>
          <w:kern w:val="2"/>
          <w:sz w:val="28"/>
          <w:szCs w:val="28"/>
          <w:lang w:val="en-US" w:eastAsia="zh-CN" w:bidi="ar-SA"/>
        </w:rPr>
        <w:t>进行</w:t>
      </w:r>
      <w:r>
        <w:rPr>
          <w:rFonts w:hint="eastAsia" w:ascii="宋体" w:hAnsi="宋体" w:eastAsia="宋体" w:cs="Times New Roman"/>
          <w:kern w:val="2"/>
          <w:sz w:val="28"/>
          <w:szCs w:val="28"/>
          <w:lang w:val="en-US" w:eastAsia="zh-CN" w:bidi="ar-SA"/>
        </w:rPr>
        <w:t>整理</w:t>
      </w:r>
      <w:r>
        <w:rPr>
          <w:rFonts w:hint="eastAsia" w:ascii="宋体" w:hAnsi="宋体" w:cs="Times New Roman"/>
          <w:kern w:val="2"/>
          <w:sz w:val="28"/>
          <w:szCs w:val="28"/>
          <w:lang w:val="en-US" w:eastAsia="zh-CN" w:bidi="ar-SA"/>
        </w:rPr>
        <w:t>，形成</w:t>
      </w:r>
      <w:r>
        <w:rPr>
          <w:rFonts w:hint="eastAsia" w:ascii="宋体" w:hAnsi="宋体" w:eastAsia="宋体" w:cs="Times New Roman"/>
          <w:kern w:val="2"/>
          <w:sz w:val="28"/>
          <w:szCs w:val="28"/>
          <w:lang w:val="en-US" w:eastAsia="zh-CN" w:bidi="ar-SA"/>
        </w:rPr>
        <w:t>问题台账，并对问题台账进行数据分析。</w:t>
      </w:r>
    </w:p>
    <w:p w14:paraId="0A8A15C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textAlignment w:val="auto"/>
        <w:rPr>
          <w:rFonts w:hint="default"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（5）</w:t>
      </w:r>
      <w:r>
        <w:rPr>
          <w:rFonts w:hint="eastAsia" w:ascii="宋体" w:hAnsi="宋体" w:eastAsia="宋体" w:cs="Times New Roman"/>
          <w:kern w:val="2"/>
          <w:sz w:val="28"/>
          <w:szCs w:val="28"/>
          <w:lang w:val="en-US" w:eastAsia="zh-CN" w:bidi="ar-SA"/>
        </w:rPr>
        <w:t>撰写报告：根据</w:t>
      </w:r>
      <w:r>
        <w:rPr>
          <w:rFonts w:hint="eastAsia" w:ascii="宋体" w:hAnsi="宋体" w:cs="Times New Roman"/>
          <w:kern w:val="2"/>
          <w:sz w:val="28"/>
          <w:szCs w:val="28"/>
          <w:lang w:val="en-US" w:eastAsia="zh-CN" w:bidi="ar-SA"/>
        </w:rPr>
        <w:t>项目</w:t>
      </w:r>
      <w:r>
        <w:rPr>
          <w:rFonts w:hint="eastAsia" w:ascii="宋体" w:hAnsi="宋体" w:eastAsia="宋体" w:cs="Times New Roman"/>
          <w:kern w:val="2"/>
          <w:sz w:val="28"/>
          <w:szCs w:val="28"/>
          <w:lang w:val="en-US" w:eastAsia="zh-CN" w:bidi="ar-SA"/>
        </w:rPr>
        <w:t>后检查情况，撰写《202</w:t>
      </w:r>
      <w:r>
        <w:rPr>
          <w:rFonts w:hint="eastAsia" w:ascii="宋体" w:hAnsi="宋体" w:cs="Times New Roman"/>
          <w:kern w:val="2"/>
          <w:sz w:val="28"/>
          <w:szCs w:val="28"/>
          <w:lang w:val="en-US" w:eastAsia="zh-CN" w:bidi="ar-SA"/>
        </w:rPr>
        <w:t>5</w:t>
      </w:r>
      <w:r>
        <w:rPr>
          <w:rFonts w:hint="eastAsia" w:ascii="宋体" w:hAnsi="宋体" w:eastAsia="宋体" w:cs="Times New Roman"/>
          <w:kern w:val="2"/>
          <w:sz w:val="28"/>
          <w:szCs w:val="28"/>
          <w:lang w:val="en-US" w:eastAsia="zh-CN" w:bidi="ar-SA"/>
        </w:rPr>
        <w:t>年广州供电局营销项目后检查报告》。</w:t>
      </w:r>
    </w:p>
    <w:p w14:paraId="08366F5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textAlignment w:val="auto"/>
        <w:rPr>
          <w:rFonts w:hint="default"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3</w:t>
      </w:r>
      <w:r>
        <w:rPr>
          <w:rFonts w:hint="eastAsia" w:ascii="宋体" w:hAnsi="宋体" w:eastAsia="宋体" w:cs="Times New Roman"/>
          <w:kern w:val="2"/>
          <w:sz w:val="28"/>
          <w:szCs w:val="28"/>
          <w:lang w:val="en-US" w:eastAsia="zh-CN" w:bidi="ar-SA"/>
        </w:rPr>
        <w:t>、</w:t>
      </w:r>
      <w:r>
        <w:rPr>
          <w:rFonts w:hint="eastAsia" w:ascii="宋体" w:hAnsi="宋体" w:cs="Times New Roman"/>
          <w:kern w:val="2"/>
          <w:sz w:val="28"/>
          <w:szCs w:val="28"/>
          <w:lang w:val="en-US" w:eastAsia="zh-CN" w:bidi="ar-SA"/>
        </w:rPr>
        <w:t>成果验收</w:t>
      </w:r>
      <w:bookmarkStart w:id="0" w:name="_GoBack"/>
      <w:bookmarkEnd w:id="0"/>
    </w:p>
    <w:p w14:paraId="7482B872">
      <w:pPr>
        <w:keepNext w:val="0"/>
        <w:keepLines w:val="0"/>
        <w:pageBreakBefore w:val="0"/>
        <w:widowControl w:val="0"/>
        <w:kinsoku/>
        <w:wordWrap/>
        <w:overflowPunct/>
        <w:topLinePunct w:val="0"/>
        <w:autoSpaceDE/>
        <w:autoSpaceDN/>
        <w:bidi w:val="0"/>
        <w:adjustRightInd w:val="0"/>
        <w:snapToGrid w:val="0"/>
        <w:spacing w:line="560" w:lineRule="exact"/>
        <w:ind w:firstLine="56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（1）验收评审：由业主邀请专家，以会议形式，对项目成果初稿</w:t>
      </w:r>
      <w:r>
        <w:rPr>
          <w:rFonts w:hint="eastAsia" w:ascii="宋体" w:hAnsi="宋体" w:eastAsia="宋体" w:cs="Times New Roman"/>
          <w:kern w:val="2"/>
          <w:sz w:val="28"/>
          <w:szCs w:val="28"/>
          <w:lang w:val="en-US" w:eastAsia="zh-CN" w:bidi="ar-SA"/>
        </w:rPr>
        <w:t>进行</w:t>
      </w:r>
      <w:r>
        <w:rPr>
          <w:rFonts w:hint="eastAsia" w:ascii="宋体" w:hAnsi="宋体" w:cs="Times New Roman"/>
          <w:kern w:val="2"/>
          <w:sz w:val="28"/>
          <w:szCs w:val="28"/>
          <w:lang w:val="en-US" w:eastAsia="zh-CN" w:bidi="ar-SA"/>
        </w:rPr>
        <w:t>评</w:t>
      </w:r>
      <w:r>
        <w:rPr>
          <w:rFonts w:hint="eastAsia" w:ascii="宋体" w:hAnsi="宋体" w:eastAsia="宋体" w:cs="Times New Roman"/>
          <w:kern w:val="2"/>
          <w:sz w:val="28"/>
          <w:szCs w:val="28"/>
          <w:lang w:val="en-US" w:eastAsia="zh-CN" w:bidi="ar-SA"/>
        </w:rPr>
        <w:t>审。</w:t>
      </w:r>
    </w:p>
    <w:p w14:paraId="488C088F">
      <w:pPr>
        <w:keepNext w:val="0"/>
        <w:keepLines w:val="0"/>
        <w:pageBreakBefore w:val="0"/>
        <w:widowControl w:val="0"/>
        <w:kinsoku/>
        <w:wordWrap/>
        <w:overflowPunct/>
        <w:topLinePunct w:val="0"/>
        <w:autoSpaceDE/>
        <w:autoSpaceDN/>
        <w:bidi w:val="0"/>
        <w:adjustRightInd w:val="0"/>
        <w:snapToGrid w:val="0"/>
        <w:spacing w:line="560" w:lineRule="exact"/>
        <w:ind w:firstLine="560"/>
        <w:textAlignment w:val="auto"/>
        <w:rPr>
          <w:rFonts w:hint="eastAsia"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（2）</w:t>
      </w:r>
      <w:r>
        <w:rPr>
          <w:rFonts w:hint="eastAsia" w:ascii="宋体" w:hAnsi="宋体" w:eastAsia="宋体" w:cs="Times New Roman"/>
          <w:kern w:val="2"/>
          <w:sz w:val="28"/>
          <w:szCs w:val="28"/>
          <w:lang w:val="en-US" w:eastAsia="zh-CN" w:bidi="ar-SA"/>
        </w:rPr>
        <w:t>初稿修改：按会审意见进行修改。</w:t>
      </w:r>
    </w:p>
    <w:p w14:paraId="0DC8F46A">
      <w:pPr>
        <w:keepNext w:val="0"/>
        <w:keepLines w:val="0"/>
        <w:pageBreakBefore w:val="0"/>
        <w:widowControl w:val="0"/>
        <w:kinsoku/>
        <w:wordWrap/>
        <w:overflowPunct/>
        <w:topLinePunct w:val="0"/>
        <w:autoSpaceDE/>
        <w:autoSpaceDN/>
        <w:bidi w:val="0"/>
        <w:adjustRightInd w:val="0"/>
        <w:snapToGrid w:val="0"/>
        <w:spacing w:line="560" w:lineRule="exact"/>
        <w:ind w:firstLine="560"/>
        <w:textAlignment w:val="auto"/>
        <w:rPr>
          <w:rFonts w:hint="default" w:ascii="宋体" w:hAnsi="宋体" w:eastAsia="宋体" w:cs="Times New Roman"/>
          <w:kern w:val="2"/>
          <w:sz w:val="28"/>
          <w:szCs w:val="28"/>
          <w:lang w:val="en-US" w:eastAsia="zh-CN" w:bidi="ar-SA"/>
        </w:rPr>
      </w:pPr>
      <w:r>
        <w:rPr>
          <w:rFonts w:hint="eastAsia" w:ascii="宋体" w:hAnsi="宋体" w:cs="Times New Roman"/>
          <w:kern w:val="2"/>
          <w:sz w:val="28"/>
          <w:szCs w:val="28"/>
          <w:lang w:val="en-US" w:eastAsia="zh-CN" w:bidi="ar-SA"/>
        </w:rPr>
        <w:t>（3）</w:t>
      </w:r>
      <w:r>
        <w:rPr>
          <w:rFonts w:hint="eastAsia" w:ascii="宋体" w:hAnsi="宋体" w:eastAsia="宋体" w:cs="Times New Roman"/>
          <w:kern w:val="2"/>
          <w:sz w:val="28"/>
          <w:szCs w:val="28"/>
          <w:lang w:val="en-US" w:eastAsia="zh-CN" w:bidi="ar-SA"/>
        </w:rPr>
        <w:t>终稿验收：完成修改后，由</w:t>
      </w:r>
      <w:r>
        <w:rPr>
          <w:rFonts w:hint="eastAsia" w:ascii="宋体" w:hAnsi="宋体" w:cs="Times New Roman"/>
          <w:kern w:val="2"/>
          <w:sz w:val="28"/>
          <w:szCs w:val="28"/>
          <w:lang w:val="en-US" w:eastAsia="zh-CN" w:bidi="ar-SA"/>
        </w:rPr>
        <w:t>业主</w:t>
      </w:r>
      <w:r>
        <w:rPr>
          <w:rFonts w:hint="eastAsia" w:ascii="宋体" w:hAnsi="宋体" w:eastAsia="宋体" w:cs="Times New Roman"/>
          <w:kern w:val="2"/>
          <w:sz w:val="28"/>
          <w:szCs w:val="28"/>
          <w:lang w:val="en-US" w:eastAsia="zh-CN" w:bidi="ar-SA"/>
        </w:rPr>
        <w:t>组织竣工验收。</w:t>
      </w:r>
    </w:p>
    <w:sectPr>
      <w:pgSz w:w="11906" w:h="16838"/>
      <w:pgMar w:top="1304" w:right="1803" w:bottom="1304"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BE0CBC"/>
    <w:rsid w:val="008A4FAB"/>
    <w:rsid w:val="00DD0F03"/>
    <w:rsid w:val="011927A5"/>
    <w:rsid w:val="01976069"/>
    <w:rsid w:val="01C632EC"/>
    <w:rsid w:val="02265161"/>
    <w:rsid w:val="02291FDB"/>
    <w:rsid w:val="024D0AEA"/>
    <w:rsid w:val="02557B14"/>
    <w:rsid w:val="025E094F"/>
    <w:rsid w:val="026D2149"/>
    <w:rsid w:val="0288687E"/>
    <w:rsid w:val="035A75B5"/>
    <w:rsid w:val="035C7BCB"/>
    <w:rsid w:val="03681B3C"/>
    <w:rsid w:val="03C42AC5"/>
    <w:rsid w:val="03D34E67"/>
    <w:rsid w:val="042049C6"/>
    <w:rsid w:val="04216E2B"/>
    <w:rsid w:val="045F5E15"/>
    <w:rsid w:val="04DA3E33"/>
    <w:rsid w:val="04F601CA"/>
    <w:rsid w:val="05056388"/>
    <w:rsid w:val="050D431E"/>
    <w:rsid w:val="05113678"/>
    <w:rsid w:val="05350DCD"/>
    <w:rsid w:val="057D2250"/>
    <w:rsid w:val="05BE0CBC"/>
    <w:rsid w:val="060D2C27"/>
    <w:rsid w:val="0642375C"/>
    <w:rsid w:val="0678467C"/>
    <w:rsid w:val="068B528C"/>
    <w:rsid w:val="06C46DF4"/>
    <w:rsid w:val="06EF4754"/>
    <w:rsid w:val="071B7006"/>
    <w:rsid w:val="074C6BB3"/>
    <w:rsid w:val="07730C21"/>
    <w:rsid w:val="07CE59DD"/>
    <w:rsid w:val="08082748"/>
    <w:rsid w:val="08553700"/>
    <w:rsid w:val="08BD11A3"/>
    <w:rsid w:val="08CD5E7C"/>
    <w:rsid w:val="08D270E4"/>
    <w:rsid w:val="08F02C20"/>
    <w:rsid w:val="093F5A5A"/>
    <w:rsid w:val="09DA12D9"/>
    <w:rsid w:val="0A226749"/>
    <w:rsid w:val="0A56761D"/>
    <w:rsid w:val="0A75488A"/>
    <w:rsid w:val="0AE70C97"/>
    <w:rsid w:val="0B312F0F"/>
    <w:rsid w:val="0B890224"/>
    <w:rsid w:val="0BBC2462"/>
    <w:rsid w:val="0BD647C3"/>
    <w:rsid w:val="0C0F7D46"/>
    <w:rsid w:val="0CD518E1"/>
    <w:rsid w:val="0D412431"/>
    <w:rsid w:val="0D577DA4"/>
    <w:rsid w:val="0DF81AEE"/>
    <w:rsid w:val="0E355677"/>
    <w:rsid w:val="0E6C162E"/>
    <w:rsid w:val="0E77607F"/>
    <w:rsid w:val="0E9E7ED2"/>
    <w:rsid w:val="0EA76773"/>
    <w:rsid w:val="0EAB3E82"/>
    <w:rsid w:val="0F3079A5"/>
    <w:rsid w:val="0F363C56"/>
    <w:rsid w:val="0F44236D"/>
    <w:rsid w:val="0F561247"/>
    <w:rsid w:val="108176FD"/>
    <w:rsid w:val="10975891"/>
    <w:rsid w:val="11246DBD"/>
    <w:rsid w:val="117F6018"/>
    <w:rsid w:val="11C9116C"/>
    <w:rsid w:val="11D066A3"/>
    <w:rsid w:val="11F21D20"/>
    <w:rsid w:val="121C4B92"/>
    <w:rsid w:val="12666665"/>
    <w:rsid w:val="12795E47"/>
    <w:rsid w:val="12D934D5"/>
    <w:rsid w:val="1399151B"/>
    <w:rsid w:val="13AD76F7"/>
    <w:rsid w:val="144869D7"/>
    <w:rsid w:val="14763F1F"/>
    <w:rsid w:val="14B3123F"/>
    <w:rsid w:val="14F71B19"/>
    <w:rsid w:val="150C03AB"/>
    <w:rsid w:val="150C1726"/>
    <w:rsid w:val="15185DF4"/>
    <w:rsid w:val="15431C8E"/>
    <w:rsid w:val="156B6A2E"/>
    <w:rsid w:val="16464310"/>
    <w:rsid w:val="165B17BB"/>
    <w:rsid w:val="1668270C"/>
    <w:rsid w:val="169B0FB2"/>
    <w:rsid w:val="17264C3F"/>
    <w:rsid w:val="17346FDF"/>
    <w:rsid w:val="173A7B15"/>
    <w:rsid w:val="17413AD5"/>
    <w:rsid w:val="17660B41"/>
    <w:rsid w:val="186B1803"/>
    <w:rsid w:val="18CB2853"/>
    <w:rsid w:val="18CD6835"/>
    <w:rsid w:val="18D41A10"/>
    <w:rsid w:val="1946626C"/>
    <w:rsid w:val="196A69C7"/>
    <w:rsid w:val="197A2875"/>
    <w:rsid w:val="19AC10CE"/>
    <w:rsid w:val="19AF0FAB"/>
    <w:rsid w:val="19C810B7"/>
    <w:rsid w:val="19F273E8"/>
    <w:rsid w:val="1A3278DC"/>
    <w:rsid w:val="1A7E5AA7"/>
    <w:rsid w:val="1A8F421E"/>
    <w:rsid w:val="1AB659F5"/>
    <w:rsid w:val="1ACB784B"/>
    <w:rsid w:val="1ADC4F5E"/>
    <w:rsid w:val="1AEB5614"/>
    <w:rsid w:val="1AFF1979"/>
    <w:rsid w:val="1B2519FF"/>
    <w:rsid w:val="1B4F7CF7"/>
    <w:rsid w:val="1BF36457"/>
    <w:rsid w:val="1BF970CE"/>
    <w:rsid w:val="1C3C2C6B"/>
    <w:rsid w:val="1C7C0206"/>
    <w:rsid w:val="1C941849"/>
    <w:rsid w:val="1CDE320D"/>
    <w:rsid w:val="1D2762B9"/>
    <w:rsid w:val="1D5C6BE5"/>
    <w:rsid w:val="1D9D6C36"/>
    <w:rsid w:val="1DAA08FA"/>
    <w:rsid w:val="1DC82411"/>
    <w:rsid w:val="1E7825FD"/>
    <w:rsid w:val="1EE405AB"/>
    <w:rsid w:val="1EEE1AC0"/>
    <w:rsid w:val="1F0C2EF3"/>
    <w:rsid w:val="1F376BDE"/>
    <w:rsid w:val="1F4340C0"/>
    <w:rsid w:val="1F992DC2"/>
    <w:rsid w:val="1FB73E96"/>
    <w:rsid w:val="1FED2CF4"/>
    <w:rsid w:val="20130B50"/>
    <w:rsid w:val="20726643"/>
    <w:rsid w:val="209170EB"/>
    <w:rsid w:val="20C06668"/>
    <w:rsid w:val="20C93E2B"/>
    <w:rsid w:val="20F515F1"/>
    <w:rsid w:val="216576F0"/>
    <w:rsid w:val="21A6239E"/>
    <w:rsid w:val="21CB528E"/>
    <w:rsid w:val="221C04A6"/>
    <w:rsid w:val="22836B19"/>
    <w:rsid w:val="22C51FCB"/>
    <w:rsid w:val="22D920EE"/>
    <w:rsid w:val="22E414C3"/>
    <w:rsid w:val="230A33D8"/>
    <w:rsid w:val="230D637F"/>
    <w:rsid w:val="231D5F5B"/>
    <w:rsid w:val="232752F5"/>
    <w:rsid w:val="232A02E3"/>
    <w:rsid w:val="24012B42"/>
    <w:rsid w:val="24052029"/>
    <w:rsid w:val="24085358"/>
    <w:rsid w:val="240E6A7E"/>
    <w:rsid w:val="242C35F0"/>
    <w:rsid w:val="244928E1"/>
    <w:rsid w:val="24750720"/>
    <w:rsid w:val="24943973"/>
    <w:rsid w:val="24DF3D9F"/>
    <w:rsid w:val="24FD2FD0"/>
    <w:rsid w:val="251E5340"/>
    <w:rsid w:val="25B77F6F"/>
    <w:rsid w:val="25D72C2C"/>
    <w:rsid w:val="261E0BC6"/>
    <w:rsid w:val="26BB51B0"/>
    <w:rsid w:val="27075526"/>
    <w:rsid w:val="271601D7"/>
    <w:rsid w:val="27315415"/>
    <w:rsid w:val="27E41613"/>
    <w:rsid w:val="28116562"/>
    <w:rsid w:val="281E00A8"/>
    <w:rsid w:val="2856294E"/>
    <w:rsid w:val="28AC0E2E"/>
    <w:rsid w:val="291B2BF0"/>
    <w:rsid w:val="295B3376"/>
    <w:rsid w:val="29997B81"/>
    <w:rsid w:val="29A61DD9"/>
    <w:rsid w:val="29B91CAD"/>
    <w:rsid w:val="29F77972"/>
    <w:rsid w:val="2A515A69"/>
    <w:rsid w:val="2A7B22F9"/>
    <w:rsid w:val="2AE943CD"/>
    <w:rsid w:val="2AEF4401"/>
    <w:rsid w:val="2BD3233B"/>
    <w:rsid w:val="2BE367A2"/>
    <w:rsid w:val="2BE62E14"/>
    <w:rsid w:val="2C384BAF"/>
    <w:rsid w:val="2CE37453"/>
    <w:rsid w:val="2D547DC5"/>
    <w:rsid w:val="2D696023"/>
    <w:rsid w:val="2D6F2DD3"/>
    <w:rsid w:val="2D900B9E"/>
    <w:rsid w:val="2DC57E1F"/>
    <w:rsid w:val="2E00539A"/>
    <w:rsid w:val="2E2711FC"/>
    <w:rsid w:val="2E421173"/>
    <w:rsid w:val="2F880507"/>
    <w:rsid w:val="2FFA108E"/>
    <w:rsid w:val="307C0690"/>
    <w:rsid w:val="30D31033"/>
    <w:rsid w:val="30DF213C"/>
    <w:rsid w:val="30F82349"/>
    <w:rsid w:val="31020BFB"/>
    <w:rsid w:val="31186535"/>
    <w:rsid w:val="313B636C"/>
    <w:rsid w:val="31554329"/>
    <w:rsid w:val="315E414D"/>
    <w:rsid w:val="31613E95"/>
    <w:rsid w:val="31696378"/>
    <w:rsid w:val="31D24B65"/>
    <w:rsid w:val="31DA4043"/>
    <w:rsid w:val="32232ED3"/>
    <w:rsid w:val="326C06FB"/>
    <w:rsid w:val="32992193"/>
    <w:rsid w:val="32D47ABE"/>
    <w:rsid w:val="32F6770D"/>
    <w:rsid w:val="333C6085"/>
    <w:rsid w:val="3348695B"/>
    <w:rsid w:val="335E5983"/>
    <w:rsid w:val="33D75D20"/>
    <w:rsid w:val="33DD1FBC"/>
    <w:rsid w:val="340A4333"/>
    <w:rsid w:val="3427315E"/>
    <w:rsid w:val="34431265"/>
    <w:rsid w:val="34AD5748"/>
    <w:rsid w:val="34E025B6"/>
    <w:rsid w:val="3548121D"/>
    <w:rsid w:val="35491A0D"/>
    <w:rsid w:val="35CC11AA"/>
    <w:rsid w:val="35DD63D6"/>
    <w:rsid w:val="35F2488E"/>
    <w:rsid w:val="36672043"/>
    <w:rsid w:val="36CA6D87"/>
    <w:rsid w:val="36D71CFA"/>
    <w:rsid w:val="37D1076D"/>
    <w:rsid w:val="37EB140D"/>
    <w:rsid w:val="380D6744"/>
    <w:rsid w:val="38267442"/>
    <w:rsid w:val="386908D2"/>
    <w:rsid w:val="387C15A3"/>
    <w:rsid w:val="38F06053"/>
    <w:rsid w:val="394A70A0"/>
    <w:rsid w:val="39D654B7"/>
    <w:rsid w:val="3A0171AE"/>
    <w:rsid w:val="3A402290"/>
    <w:rsid w:val="3A4A529C"/>
    <w:rsid w:val="3AC03148"/>
    <w:rsid w:val="3B6E50A9"/>
    <w:rsid w:val="3BA06FF8"/>
    <w:rsid w:val="3BA95119"/>
    <w:rsid w:val="3BB54BAD"/>
    <w:rsid w:val="3BE97133"/>
    <w:rsid w:val="3C5E14C1"/>
    <w:rsid w:val="3CB36B73"/>
    <w:rsid w:val="3D4A5903"/>
    <w:rsid w:val="3D9B335E"/>
    <w:rsid w:val="3DEF2C87"/>
    <w:rsid w:val="3DFB4608"/>
    <w:rsid w:val="3ED92E25"/>
    <w:rsid w:val="3EFB3912"/>
    <w:rsid w:val="3F283403"/>
    <w:rsid w:val="3F324BB9"/>
    <w:rsid w:val="3F845122"/>
    <w:rsid w:val="3FA9578C"/>
    <w:rsid w:val="3FE7298C"/>
    <w:rsid w:val="3FEC566F"/>
    <w:rsid w:val="3FEF1146"/>
    <w:rsid w:val="401E2275"/>
    <w:rsid w:val="40843B0F"/>
    <w:rsid w:val="408B6CE3"/>
    <w:rsid w:val="408E5553"/>
    <w:rsid w:val="40B90588"/>
    <w:rsid w:val="40E05784"/>
    <w:rsid w:val="41502F92"/>
    <w:rsid w:val="41A33813"/>
    <w:rsid w:val="41BC0A54"/>
    <w:rsid w:val="41E540FC"/>
    <w:rsid w:val="41EA1473"/>
    <w:rsid w:val="41FD5C03"/>
    <w:rsid w:val="421A1337"/>
    <w:rsid w:val="42392502"/>
    <w:rsid w:val="42F06B7F"/>
    <w:rsid w:val="430C60F7"/>
    <w:rsid w:val="433323F9"/>
    <w:rsid w:val="435133AD"/>
    <w:rsid w:val="4386737B"/>
    <w:rsid w:val="43E45B11"/>
    <w:rsid w:val="4426654E"/>
    <w:rsid w:val="44791892"/>
    <w:rsid w:val="449C2197"/>
    <w:rsid w:val="45443756"/>
    <w:rsid w:val="45AE737E"/>
    <w:rsid w:val="45D13050"/>
    <w:rsid w:val="46513025"/>
    <w:rsid w:val="466961CF"/>
    <w:rsid w:val="46764B0C"/>
    <w:rsid w:val="47042EED"/>
    <w:rsid w:val="47084223"/>
    <w:rsid w:val="48235D3C"/>
    <w:rsid w:val="483A36CC"/>
    <w:rsid w:val="4846214A"/>
    <w:rsid w:val="486D2C0D"/>
    <w:rsid w:val="4878582F"/>
    <w:rsid w:val="48B84172"/>
    <w:rsid w:val="48C71039"/>
    <w:rsid w:val="48D11756"/>
    <w:rsid w:val="4908279E"/>
    <w:rsid w:val="49701C9B"/>
    <w:rsid w:val="497F70CC"/>
    <w:rsid w:val="49CB1DC1"/>
    <w:rsid w:val="49E642EC"/>
    <w:rsid w:val="4A5E1A23"/>
    <w:rsid w:val="4A642BEA"/>
    <w:rsid w:val="4AB70CF8"/>
    <w:rsid w:val="4B0610C5"/>
    <w:rsid w:val="4B246B32"/>
    <w:rsid w:val="4B2A7168"/>
    <w:rsid w:val="4B2B79A4"/>
    <w:rsid w:val="4B6C0A76"/>
    <w:rsid w:val="4C7B5E7D"/>
    <w:rsid w:val="4D3C5FA2"/>
    <w:rsid w:val="4D782191"/>
    <w:rsid w:val="4EFF19EB"/>
    <w:rsid w:val="4F635A04"/>
    <w:rsid w:val="4FCB713F"/>
    <w:rsid w:val="50110DB6"/>
    <w:rsid w:val="50374346"/>
    <w:rsid w:val="50C15286"/>
    <w:rsid w:val="51123A15"/>
    <w:rsid w:val="511F6CB3"/>
    <w:rsid w:val="51894446"/>
    <w:rsid w:val="51F43E38"/>
    <w:rsid w:val="523F5E2E"/>
    <w:rsid w:val="5256080F"/>
    <w:rsid w:val="52CA07CD"/>
    <w:rsid w:val="52DA21D9"/>
    <w:rsid w:val="53886C28"/>
    <w:rsid w:val="539C4905"/>
    <w:rsid w:val="53A76A92"/>
    <w:rsid w:val="5417167A"/>
    <w:rsid w:val="5420741C"/>
    <w:rsid w:val="545A0EA1"/>
    <w:rsid w:val="545D08DB"/>
    <w:rsid w:val="54936D73"/>
    <w:rsid w:val="555F7101"/>
    <w:rsid w:val="556578D2"/>
    <w:rsid w:val="5576023F"/>
    <w:rsid w:val="557F1C5E"/>
    <w:rsid w:val="55E30347"/>
    <w:rsid w:val="56047A21"/>
    <w:rsid w:val="576A3A1B"/>
    <w:rsid w:val="57714B3F"/>
    <w:rsid w:val="57A40782"/>
    <w:rsid w:val="57AB5025"/>
    <w:rsid w:val="57EF62E8"/>
    <w:rsid w:val="58507167"/>
    <w:rsid w:val="586502EF"/>
    <w:rsid w:val="588F79CE"/>
    <w:rsid w:val="59105493"/>
    <w:rsid w:val="593D3041"/>
    <w:rsid w:val="59610D5E"/>
    <w:rsid w:val="598B4E5B"/>
    <w:rsid w:val="59BB625D"/>
    <w:rsid w:val="59E660C7"/>
    <w:rsid w:val="59EA1926"/>
    <w:rsid w:val="5A3403C0"/>
    <w:rsid w:val="5A7D58E1"/>
    <w:rsid w:val="5A8D3727"/>
    <w:rsid w:val="5A8D7580"/>
    <w:rsid w:val="5AA02D7F"/>
    <w:rsid w:val="5AE36062"/>
    <w:rsid w:val="5AEA34CA"/>
    <w:rsid w:val="5B62111D"/>
    <w:rsid w:val="5C0623AE"/>
    <w:rsid w:val="5C2B4D70"/>
    <w:rsid w:val="5C9D44D9"/>
    <w:rsid w:val="5CA43D0D"/>
    <w:rsid w:val="5CB56172"/>
    <w:rsid w:val="5D006780"/>
    <w:rsid w:val="5D0900C0"/>
    <w:rsid w:val="5D582FE4"/>
    <w:rsid w:val="5DA34CCB"/>
    <w:rsid w:val="5DCC2742"/>
    <w:rsid w:val="5DD77B64"/>
    <w:rsid w:val="5DE161C6"/>
    <w:rsid w:val="5DE40B6E"/>
    <w:rsid w:val="5DF30DB6"/>
    <w:rsid w:val="5E047D0D"/>
    <w:rsid w:val="5E0D6615"/>
    <w:rsid w:val="5ECD7A2D"/>
    <w:rsid w:val="5EE96140"/>
    <w:rsid w:val="5EFE34D1"/>
    <w:rsid w:val="5F274DC5"/>
    <w:rsid w:val="5F5408B3"/>
    <w:rsid w:val="5FD6333D"/>
    <w:rsid w:val="60AC70AA"/>
    <w:rsid w:val="61114EC0"/>
    <w:rsid w:val="61956F19"/>
    <w:rsid w:val="61BF1241"/>
    <w:rsid w:val="625F6654"/>
    <w:rsid w:val="630F0F93"/>
    <w:rsid w:val="637445B4"/>
    <w:rsid w:val="6401018A"/>
    <w:rsid w:val="640D0B13"/>
    <w:rsid w:val="641E7EAE"/>
    <w:rsid w:val="647707B3"/>
    <w:rsid w:val="647B426F"/>
    <w:rsid w:val="651A5411"/>
    <w:rsid w:val="65210321"/>
    <w:rsid w:val="65EC6F93"/>
    <w:rsid w:val="664941A5"/>
    <w:rsid w:val="66746333"/>
    <w:rsid w:val="669E3522"/>
    <w:rsid w:val="66CE1DAB"/>
    <w:rsid w:val="672B2F99"/>
    <w:rsid w:val="67AC7E99"/>
    <w:rsid w:val="67BC6689"/>
    <w:rsid w:val="67F44A70"/>
    <w:rsid w:val="680432C3"/>
    <w:rsid w:val="681C2EB9"/>
    <w:rsid w:val="68494AE2"/>
    <w:rsid w:val="684F0A14"/>
    <w:rsid w:val="686B4D29"/>
    <w:rsid w:val="68794C9A"/>
    <w:rsid w:val="68891ACC"/>
    <w:rsid w:val="68DD1006"/>
    <w:rsid w:val="68E46F66"/>
    <w:rsid w:val="694C3E36"/>
    <w:rsid w:val="69965FC3"/>
    <w:rsid w:val="69BB43CB"/>
    <w:rsid w:val="6A0B1690"/>
    <w:rsid w:val="6A630358"/>
    <w:rsid w:val="6A756EE1"/>
    <w:rsid w:val="6AA941C6"/>
    <w:rsid w:val="6ADE7BEA"/>
    <w:rsid w:val="6AE61005"/>
    <w:rsid w:val="6B434658"/>
    <w:rsid w:val="6B72653F"/>
    <w:rsid w:val="6B956633"/>
    <w:rsid w:val="6BC63C4C"/>
    <w:rsid w:val="6D187A9C"/>
    <w:rsid w:val="6D1A060E"/>
    <w:rsid w:val="6D1B7085"/>
    <w:rsid w:val="6D7D7256"/>
    <w:rsid w:val="6DBE313E"/>
    <w:rsid w:val="6DE92737"/>
    <w:rsid w:val="6DF64A39"/>
    <w:rsid w:val="6E1E6D34"/>
    <w:rsid w:val="6E2F76F9"/>
    <w:rsid w:val="6EAF5D77"/>
    <w:rsid w:val="6EC248CE"/>
    <w:rsid w:val="6ED51299"/>
    <w:rsid w:val="6F2758D3"/>
    <w:rsid w:val="6F440418"/>
    <w:rsid w:val="6F673D66"/>
    <w:rsid w:val="6F740F1C"/>
    <w:rsid w:val="6F8F42DC"/>
    <w:rsid w:val="6FA81851"/>
    <w:rsid w:val="6FB94FCF"/>
    <w:rsid w:val="6FE40CEB"/>
    <w:rsid w:val="6FEE4E4E"/>
    <w:rsid w:val="704D53E1"/>
    <w:rsid w:val="704E736C"/>
    <w:rsid w:val="70901F80"/>
    <w:rsid w:val="70A876BF"/>
    <w:rsid w:val="70CD2068"/>
    <w:rsid w:val="710678CB"/>
    <w:rsid w:val="71681BD7"/>
    <w:rsid w:val="71F26E5F"/>
    <w:rsid w:val="720353D9"/>
    <w:rsid w:val="72D16E68"/>
    <w:rsid w:val="72F07370"/>
    <w:rsid w:val="73086F49"/>
    <w:rsid w:val="73E85549"/>
    <w:rsid w:val="747327C5"/>
    <w:rsid w:val="751230EB"/>
    <w:rsid w:val="75181337"/>
    <w:rsid w:val="75323353"/>
    <w:rsid w:val="7538244E"/>
    <w:rsid w:val="75462BE7"/>
    <w:rsid w:val="755A3CCE"/>
    <w:rsid w:val="755C1431"/>
    <w:rsid w:val="756579BC"/>
    <w:rsid w:val="75AD6E41"/>
    <w:rsid w:val="75C15E4C"/>
    <w:rsid w:val="762855C3"/>
    <w:rsid w:val="77181613"/>
    <w:rsid w:val="7723560E"/>
    <w:rsid w:val="773C26A1"/>
    <w:rsid w:val="77822CE5"/>
    <w:rsid w:val="780A41CC"/>
    <w:rsid w:val="78E240E2"/>
    <w:rsid w:val="790536E9"/>
    <w:rsid w:val="79224819"/>
    <w:rsid w:val="7953156C"/>
    <w:rsid w:val="797B6A9E"/>
    <w:rsid w:val="79B42B5B"/>
    <w:rsid w:val="7A216EA2"/>
    <w:rsid w:val="7AA13F59"/>
    <w:rsid w:val="7AC51785"/>
    <w:rsid w:val="7AC83A73"/>
    <w:rsid w:val="7B7E2063"/>
    <w:rsid w:val="7BAF5DAA"/>
    <w:rsid w:val="7BDB3CDC"/>
    <w:rsid w:val="7BEF2C78"/>
    <w:rsid w:val="7C0C1C04"/>
    <w:rsid w:val="7C5C42E2"/>
    <w:rsid w:val="7C7A29BA"/>
    <w:rsid w:val="7CBF2454"/>
    <w:rsid w:val="7CFD7B89"/>
    <w:rsid w:val="7D015D42"/>
    <w:rsid w:val="7D2069FA"/>
    <w:rsid w:val="7D633FAE"/>
    <w:rsid w:val="7DC41447"/>
    <w:rsid w:val="7DD20CFB"/>
    <w:rsid w:val="7DED7636"/>
    <w:rsid w:val="7E185E92"/>
    <w:rsid w:val="7E322832"/>
    <w:rsid w:val="7E653944"/>
    <w:rsid w:val="7EA001C5"/>
    <w:rsid w:val="7EE63358"/>
    <w:rsid w:val="7F373540"/>
    <w:rsid w:val="7F8F0EDF"/>
    <w:rsid w:val="7FC42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Cs w:val="20"/>
    </w:rPr>
  </w:style>
  <w:style w:type="paragraph" w:styleId="3">
    <w:name w:val="Title"/>
    <w:basedOn w:val="1"/>
    <w:next w:val="1"/>
    <w:qFormat/>
    <w:uiPriority w:val="10"/>
    <w:pPr>
      <w:spacing w:before="240" w:after="60"/>
      <w:jc w:val="center"/>
      <w:outlineLvl w:val="0"/>
    </w:pPr>
    <w:rPr>
      <w:rFonts w:ascii="Calibri Light" w:hAnsi="Calibri Light"/>
      <w:b/>
      <w:bCs/>
      <w:sz w:val="32"/>
      <w:szCs w:val="32"/>
    </w:rPr>
  </w:style>
  <w:style w:type="paragraph" w:styleId="4">
    <w:name w:val="Body Text First Indent"/>
    <w:basedOn w:val="1"/>
    <w:qFormat/>
    <w:uiPriority w:val="0"/>
    <w:pPr>
      <w:spacing w:beforeLines="50" w:line="360" w:lineRule="auto"/>
      <w:ind w:firstLine="200" w:firstLineChars="200"/>
    </w:pPr>
    <w:rPr>
      <w:rFonts w:ascii="Times New Roman" w:hAnsi="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4</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2020-03-09T08:26:00Z</dcterms:created>
  <dc:creator>蔡秀玲</dc:creator>
  <cp:lastModifiedBy>冯兴兴</cp:lastModifiedBy>
  <cp:lastPrinted>2026-06-09T07:06:50Z</cp:lastPrinted>
  <dcterms:modified xsi:type="dcterms:W3CDTF">2026-06-09T07:06:57Z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484530E4A1A64FCB9FE0115A7A9C6F59_13</vt:lpwstr>
  </property>
</Properties>
</file>