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/>
        <w:spacing w:line="360" w:lineRule="auto"/>
        <w:rPr>
          <w:rFonts w:hint="eastAsia" w:ascii="宋体" w:hAnsi="宋体" w:cs="宋体"/>
          <w:color w:val="auto"/>
          <w:highlight w:val="none"/>
        </w:rPr>
      </w:pPr>
      <w:r>
        <w:rPr>
          <w:rFonts w:ascii="宋体" w:hAnsi="宋体" w:cs="宋体"/>
          <w:color w:val="auto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-906145</wp:posOffset>
            </wp:positionH>
            <wp:positionV relativeFrom="paragraph">
              <wp:posOffset>-352425</wp:posOffset>
            </wp:positionV>
            <wp:extent cx="7639050" cy="3263265"/>
            <wp:effectExtent l="0" t="0" r="0" b="13335"/>
            <wp:wrapTight wrapText="bothSides">
              <wp:wrapPolygon>
                <wp:start x="0" y="0"/>
                <wp:lineTo x="0" y="21436"/>
                <wp:lineTo x="21546" y="21436"/>
                <wp:lineTo x="21546" y="0"/>
                <wp:lineTo x="0" y="0"/>
              </wp:wrapPolygon>
            </wp:wrapTight>
            <wp:docPr id="3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38821" cy="326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52"/>
          <w:szCs w:val="52"/>
          <w:highlight w:val="none"/>
          <w:lang w:val="en-US" w:eastAsia="zh-CN"/>
        </w:rPr>
      </w:pPr>
      <w:bookmarkStart w:id="0" w:name="OLE_LINK1"/>
      <w:r>
        <w:rPr>
          <w:rFonts w:hint="eastAsia" w:ascii="宋体" w:hAnsi="宋体" w:cs="宋体"/>
          <w:b/>
          <w:color w:val="auto"/>
          <w:sz w:val="52"/>
          <w:szCs w:val="52"/>
          <w:highlight w:val="none"/>
          <w:lang w:val="en-US" w:eastAsia="zh-CN"/>
        </w:rPr>
        <w:t>抽水机</w:t>
      </w: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color w:val="auto"/>
          <w:sz w:val="52"/>
          <w:szCs w:val="52"/>
          <w:highlight w:val="none"/>
          <w:lang w:val="en-US" w:eastAsia="zh-CN"/>
        </w:rPr>
        <w:t>（排涝方舱）</w:t>
      </w:r>
      <w:bookmarkEnd w:id="0"/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52"/>
          <w:highlight w:val="none"/>
        </w:rPr>
      </w:pPr>
      <w:r>
        <w:rPr>
          <w:rFonts w:hint="eastAsia" w:ascii="宋体" w:hAnsi="宋体" w:cs="宋体"/>
          <w:b/>
          <w:color w:val="auto"/>
          <w:sz w:val="52"/>
          <w:highlight w:val="none"/>
        </w:rPr>
        <w:t>技术</w:t>
      </w:r>
      <w:r>
        <w:rPr>
          <w:rFonts w:hint="eastAsia" w:ascii="宋体" w:hAnsi="宋体" w:cs="宋体"/>
          <w:b/>
          <w:color w:val="auto"/>
          <w:sz w:val="52"/>
          <w:highlight w:val="none"/>
          <w:lang w:val="en-US" w:eastAsia="zh-CN"/>
        </w:rPr>
        <w:t>规范</w:t>
      </w:r>
      <w:r>
        <w:rPr>
          <w:rFonts w:hint="eastAsia" w:ascii="宋体" w:hAnsi="宋体" w:cs="宋体"/>
          <w:b/>
          <w:color w:val="auto"/>
          <w:sz w:val="52"/>
          <w:highlight w:val="none"/>
        </w:rPr>
        <w:t>书</w:t>
      </w: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36"/>
          <w:highlight w:val="none"/>
        </w:rPr>
      </w:pP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36"/>
          <w:highlight w:val="none"/>
        </w:rPr>
      </w:pP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36"/>
          <w:highlight w:val="none"/>
        </w:rPr>
      </w:pP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36"/>
          <w:highlight w:val="none"/>
        </w:rPr>
      </w:pP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z w:val="36"/>
          <w:highlight w:val="none"/>
        </w:rPr>
      </w:pPr>
    </w:p>
    <w:p>
      <w:pPr>
        <w:shd w:val="clear"/>
        <w:spacing w:line="360" w:lineRule="auto"/>
        <w:jc w:val="center"/>
        <w:rPr>
          <w:rFonts w:hint="eastAsia" w:ascii="宋体" w:hAnsi="宋体" w:cs="宋体"/>
          <w:b/>
          <w:color w:val="auto"/>
          <w:spacing w:val="20"/>
          <w:w w:val="135"/>
          <w:sz w:val="30"/>
          <w:highlight w:val="none"/>
        </w:rPr>
      </w:pPr>
      <w:r>
        <w:rPr>
          <w:rFonts w:hint="eastAsia" w:ascii="宋体" w:hAnsi="宋体" w:cs="宋体"/>
          <w:b/>
          <w:color w:val="auto"/>
          <w:spacing w:val="20"/>
          <w:w w:val="135"/>
          <w:sz w:val="30"/>
          <w:highlight w:val="none"/>
        </w:rPr>
        <w:t>深圳供电局有限公司</w:t>
      </w:r>
    </w:p>
    <w:p>
      <w:pPr>
        <w:shd w:val="clear"/>
        <w:spacing w:line="360" w:lineRule="auto"/>
        <w:jc w:val="center"/>
        <w:rPr>
          <w:rFonts w:hint="eastAsia" w:ascii="宋体" w:hAnsi="宋体" w:cs="宋体"/>
          <w:color w:val="auto"/>
          <w:highlight w:val="none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7" w:h="16839"/>
          <w:pgMar w:top="567" w:right="1559" w:bottom="1361" w:left="1418" w:header="0" w:footer="0" w:gutter="0"/>
          <w:pgNumType w:fmt="upperRoman" w:start="1"/>
          <w:cols w:space="720" w:num="1"/>
          <w:titlePg/>
          <w:docGrid w:type="lines" w:linePitch="312" w:charSpace="0"/>
        </w:sectPr>
      </w:pPr>
      <w:r>
        <w:rPr>
          <w:rFonts w:ascii="宋体" w:hAnsi="宋体" w:cs="宋体"/>
          <w:b/>
          <w:color w:val="auto"/>
          <w:spacing w:val="20"/>
          <w:w w:val="135"/>
          <w:sz w:val="30"/>
          <w:highlight w:val="none"/>
        </w:rPr>
        <w:t>202</w:t>
      </w:r>
      <w:r>
        <w:rPr>
          <w:rFonts w:hint="eastAsia" w:ascii="宋体" w:hAnsi="宋体" w:cs="宋体"/>
          <w:b/>
          <w:color w:val="auto"/>
          <w:spacing w:val="20"/>
          <w:w w:val="135"/>
          <w:sz w:val="30"/>
          <w:highlight w:val="none"/>
          <w:lang w:val="en-US" w:eastAsia="zh-CN"/>
        </w:rPr>
        <w:t>6</w:t>
      </w:r>
      <w:r>
        <w:rPr>
          <w:rFonts w:ascii="宋体" w:hAnsi="宋体" w:cs="宋体"/>
          <w:b/>
          <w:color w:val="auto"/>
          <w:spacing w:val="20"/>
          <w:w w:val="135"/>
          <w:sz w:val="30"/>
          <w:highlight w:val="none"/>
        </w:rPr>
        <w:t>年</w:t>
      </w:r>
      <w:r>
        <w:rPr>
          <w:rFonts w:hint="eastAsia" w:ascii="宋体" w:hAnsi="宋体" w:cs="宋体"/>
          <w:b/>
          <w:color w:val="auto"/>
          <w:spacing w:val="20"/>
          <w:w w:val="135"/>
          <w:sz w:val="30"/>
          <w:highlight w:val="none"/>
          <w:lang w:val="en-US" w:eastAsia="zh-CN"/>
        </w:rPr>
        <w:t>03</w:t>
      </w:r>
      <w:r>
        <w:rPr>
          <w:rFonts w:ascii="宋体" w:hAnsi="宋体" w:cs="宋体"/>
          <w:b/>
          <w:color w:val="auto"/>
          <w:spacing w:val="20"/>
          <w:w w:val="135"/>
          <w:sz w:val="30"/>
          <w:highlight w:val="none"/>
        </w:rPr>
        <w:t>月</w:t>
      </w:r>
      <w:r>
        <w:rPr>
          <w:rFonts w:ascii="宋体" w:hAnsi="宋体" w:cs="宋体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9108440</wp:posOffset>
                </wp:positionV>
                <wp:extent cx="6120130" cy="363220"/>
                <wp:effectExtent l="0" t="0" r="13970" b="1778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32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717.2pt;height:28.6pt;width:481.9pt;mso-position-horizontal-relative:margin;mso-position-vertical-relative:margin;z-index:251660288;mso-width-relative:page;mso-height-relative:page;" fillcolor="#FFFFFF" filled="t" stroked="f" coordsize="21600,21600" o:gfxdata="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J&#10;Vgbr2AAAAAoBAAAPAAAAAAAAAAEAIAAAACIAAABkcnMvZG93bnJldi54bWxQSwECFAAUAAAACACH&#10;TuJAajB+jiQCAAA8BAAADgAAAAAAAAABACAAAAAnAQAAZHJzL2Uyb0RvYy54bWxQSwUGAAAAAAYA&#10;BgBZAQAAvQ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32"/>
                        <w:rPr>
                          <w:b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pStyle w:val="20"/>
        <w:shd w:val="clear"/>
        <w:spacing w:before="0" w:beforeAutospacing="0" w:after="0" w:afterAutospacing="0" w:line="240" w:lineRule="auto"/>
        <w:rPr>
          <w:rFonts w:hint="eastAsia"/>
          <w:color w:val="auto"/>
          <w:sz w:val="36"/>
          <w:szCs w:val="36"/>
          <w:highlight w:val="none"/>
        </w:rPr>
      </w:pPr>
    </w:p>
    <w:sdt>
      <w:sdtPr>
        <w:rPr>
          <w:rFonts w:ascii="宋体" w:hAnsi="宋体" w:eastAsia="宋体" w:cs="Times New Roman"/>
          <w:color w:val="auto"/>
          <w:kern w:val="2"/>
          <w:sz w:val="21"/>
          <w:szCs w:val="24"/>
          <w:highlight w:val="none"/>
          <w:lang w:val="en-US" w:eastAsia="zh-CN" w:bidi="ar-SA"/>
        </w:rPr>
        <w:id w:val="147476063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color w:val="auto"/>
          <w:kern w:val="0"/>
          <w:sz w:val="24"/>
          <w:szCs w:val="36"/>
          <w:highlight w:val="none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黑体" w:hAnsi="黑体" w:eastAsia="黑体" w:cs="黑体"/>
              <w:b/>
              <w:bCs/>
              <w:color w:val="auto"/>
              <w:sz w:val="24"/>
              <w:szCs w:val="24"/>
              <w:highlight w:val="none"/>
            </w:rPr>
          </w:pPr>
          <w:r>
            <w:rPr>
              <w:rFonts w:hint="eastAsia" w:ascii="黑体" w:hAnsi="黑体" w:eastAsia="黑体" w:cs="黑体"/>
              <w:b/>
              <w:bCs/>
              <w:color w:val="auto"/>
              <w:sz w:val="24"/>
              <w:szCs w:val="24"/>
              <w:highlight w:val="none"/>
            </w:rPr>
            <w:t>目</w:t>
          </w:r>
          <w:r>
            <w:rPr>
              <w:rFonts w:hint="eastAsia" w:ascii="黑体" w:hAnsi="黑体" w:eastAsia="黑体" w:cs="黑体"/>
              <w:b/>
              <w:bCs/>
              <w:color w:val="auto"/>
              <w:sz w:val="24"/>
              <w:szCs w:val="24"/>
              <w:highlight w:val="none"/>
              <w:lang w:val="en-US" w:eastAsia="zh-CN"/>
            </w:rPr>
            <w:t xml:space="preserve">    </w:t>
          </w:r>
          <w:r>
            <w:rPr>
              <w:rFonts w:hint="eastAsia" w:ascii="黑体" w:hAnsi="黑体" w:eastAsia="黑体" w:cs="黑体"/>
              <w:b/>
              <w:bCs/>
              <w:color w:val="auto"/>
              <w:sz w:val="24"/>
              <w:szCs w:val="24"/>
              <w:highlight w:val="none"/>
            </w:rPr>
            <w:t>录</w:t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 w:val="24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 w:val="24"/>
              <w:szCs w:val="24"/>
              <w:highlight w:val="none"/>
            </w:rPr>
            <w:instrText xml:space="preserve">TOC \o "1-2" \h \u </w:instrText>
          </w:r>
          <w:r>
            <w:rPr>
              <w:rFonts w:hint="eastAsia" w:ascii="黑体" w:hAnsi="黑体" w:eastAsia="黑体" w:cs="黑体"/>
              <w:color w:val="auto"/>
              <w:sz w:val="24"/>
              <w:szCs w:val="24"/>
              <w:highlight w:val="none"/>
            </w:rPr>
            <w:fldChar w:fldCharType="separate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_Toc1872966355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1总则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_Toc1872966355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_Toc1130230759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1.1范围与目的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_Toc1130230759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_Toc1295508798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1.2规范性引用文件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_Toc1295508798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_Toc279671053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1.3术语和定义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_Toc279671053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_Toc1737168135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2工程概述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_Toc1737168135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5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_Toc1544663980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2.1工程概况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_Toc1544663980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5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_Toc237703277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2.2使用条件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_Toc237703277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5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_Toc759393119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3技术要求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_Toc759393119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_Toc624836912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3.1使用环境条件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_Toc624836912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_Toc438946154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3.2工作条件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_Toc438946154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_Toc761682833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3.3应遵循的主要标准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_Toc761682833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_Toc453354464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3.4结构与材质要求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_Toc453354464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_Toc256496892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3.5安全性能要求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_Toc256496892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7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_Toc943584315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3.6</w:t>
          </w:r>
          <w:r>
            <w:rPr>
              <w:rFonts w:hint="eastAsia" w:ascii="Arial" w:hAnsi="Arial" w:eastAsia="等线" w:cs="Arial"/>
              <w:color w:val="auto"/>
              <w:highlight w:val="none"/>
            </w:rPr>
            <w:t>遥控</w:t>
          </w:r>
          <w:r>
            <w:rPr>
              <w:rFonts w:ascii="Arial" w:hAnsi="Arial" w:eastAsia="等线" w:cs="Arial"/>
              <w:color w:val="auto"/>
              <w:highlight w:val="none"/>
            </w:rPr>
            <w:t>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_Toc943584315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7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_Toc1802332757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3.7核心性能指标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_Toc1802332757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8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_Toc1549805964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4供货需求及范围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_Toc1549805964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9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_Toc759682485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4.1供货总体要求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_Toc759682485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9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_Toc1193243980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4.2最低供货范围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_Toc1193243980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9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_Toc1649276174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5试验与验收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_Toc1649276174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10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_Toc1813224589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5.1型式试验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_Toc1813224589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10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_Toc2072716393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5.2出厂试验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_Toc2072716393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10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_Toc1812179164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5.3现场验收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_Toc1812179164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11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_Toc1682127594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6监造、包装、运输与贮存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_Toc1682127594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11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_Toc2043743250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6.1监造要求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_Toc2043743250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11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_Toc191868985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6.2包装要求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_Toc191868985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12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_Toc1369076748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6.3运输要求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_Toc1369076748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12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_Toc1933109678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6.4贮存要求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_Toc1933109678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12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_Toc494262683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7质量保证与售后服务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_Toc494262683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13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_Toc606166585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7.1质量保证要求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_Toc606166585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13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_Toc179372727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7.2售后服务要求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_Toc179372727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13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_Toc1797865948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8招标方与投标方职责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_Toc1797865948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13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_Toc1638074746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8.1招标方职责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_Toc1638074746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_Toc381901482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8.2投标方职责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_Toc381901482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_Toc1937070738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9设计联络、技术培训要求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_Toc1937070738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_Toc495805046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9.1设计联络会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_Toc495805046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_Toc758857762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9.2技术培训要求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_Toc758857762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14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_Toc217026401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10投标方资料提交要求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_Toc217026401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15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_Toc1135489001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10.1资料提交时限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_Toc1135489001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15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_Toc1623952565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10.2主要设备/元器件来源说明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_Toc1623952565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15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_Toc1401090232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10.3备品备件及专用工具提交要求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_Toc1401090232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_Toc965339869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11投标方技术偏差说明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_Toc965339869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_Toc228225198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11.1技术偏差表填报要求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_Toc228225198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16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_Toc375109244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11.2其他问题说明要求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_Toc375109244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17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_Toc1596559963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12设计图纸提交要求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_Toc1596559963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17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_Toc575128876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12.1提交形式与要求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_Toc575128876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17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_Toc367123785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12.2扩建工程接口要求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_Toc367123785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18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_Toc528936664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12.3图纸资料提交明细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_Toc528936664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18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7"/>
            <w:tabs>
              <w:tab w:val="right" w:leader="dot" w:pos="8787"/>
              <w:tab w:val="clear" w:pos="8296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_Toc1403696915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13其他要求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_Toc1403696915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19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_Toc1826188110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13.1全生命周期成本（LCC）资料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_Toc1826188110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19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19"/>
            <w:tabs>
              <w:tab w:val="right" w:leader="dot" w:pos="8787"/>
            </w:tabs>
            <w:rPr>
              <w:color w:val="auto"/>
              <w:highlight w:val="none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instrText xml:space="preserve"> HYPERLINK \l _Toc907281846 </w:instrText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separate"/>
          </w:r>
          <w:r>
            <w:rPr>
              <w:rFonts w:ascii="Arial" w:hAnsi="Arial" w:eastAsia="等线" w:cs="Arial"/>
              <w:color w:val="auto"/>
              <w:highlight w:val="none"/>
            </w:rPr>
            <w:t>13.2其他强制性约定</w:t>
          </w:r>
          <w:r>
            <w:rPr>
              <w:color w:val="auto"/>
              <w:highlight w:val="none"/>
            </w:rPr>
            <w:tab/>
          </w:r>
          <w:r>
            <w:rPr>
              <w:color w:val="auto"/>
              <w:highlight w:val="none"/>
            </w:rPr>
            <w:fldChar w:fldCharType="begin"/>
          </w:r>
          <w:r>
            <w:rPr>
              <w:color w:val="auto"/>
              <w:highlight w:val="none"/>
            </w:rPr>
            <w:instrText xml:space="preserve"> PAGEREF _Toc907281846 \h </w:instrText>
          </w:r>
          <w:r>
            <w:rPr>
              <w:color w:val="auto"/>
              <w:highlight w:val="none"/>
            </w:rPr>
            <w:fldChar w:fldCharType="separate"/>
          </w:r>
          <w:r>
            <w:rPr>
              <w:color w:val="auto"/>
              <w:highlight w:val="none"/>
            </w:rPr>
            <w:t>19</w:t>
          </w:r>
          <w:r>
            <w:rPr>
              <w:color w:val="auto"/>
              <w:highlight w:val="none"/>
            </w:rPr>
            <w:fldChar w:fldCharType="end"/>
          </w: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  <w:p>
          <w:pPr>
            <w:pStyle w:val="20"/>
            <w:shd w:val="clear"/>
            <w:spacing w:before="0" w:beforeAutospacing="0" w:after="0" w:afterAutospacing="0" w:line="360" w:lineRule="auto"/>
            <w:rPr>
              <w:rFonts w:hint="eastAsia" w:ascii="宋体" w:hAnsi="宋体" w:eastAsia="宋体" w:cs="宋体"/>
              <w:color w:val="auto"/>
              <w:kern w:val="0"/>
              <w:sz w:val="24"/>
              <w:szCs w:val="36"/>
              <w:highlight w:val="none"/>
              <w:lang w:val="en-US" w:eastAsia="zh-CN" w:bidi="ar-SA"/>
            </w:rPr>
          </w:pPr>
          <w:r>
            <w:rPr>
              <w:rFonts w:hint="eastAsia" w:ascii="黑体" w:hAnsi="黑体" w:eastAsia="黑体" w:cs="黑体"/>
              <w:color w:val="auto"/>
              <w:szCs w:val="24"/>
              <w:highlight w:val="none"/>
            </w:rPr>
            <w:fldChar w:fldCharType="end"/>
          </w:r>
        </w:p>
      </w:sdtContent>
    </w:sdt>
    <w:p>
      <w:pPr>
        <w:spacing w:before="380" w:after="140" w:line="288" w:lineRule="auto"/>
        <w:ind w:left="0"/>
        <w:jc w:val="left"/>
        <w:outlineLvl w:val="0"/>
        <w:rPr>
          <w:rFonts w:hint="eastAsia" w:ascii="宋体" w:hAnsi="宋体" w:eastAsia="宋体" w:cs="宋体"/>
          <w:b/>
          <w:color w:val="auto"/>
          <w:sz w:val="36"/>
          <w:highlight w:val="none"/>
        </w:rPr>
        <w:sectPr>
          <w:headerReference r:id="rId7" w:type="default"/>
          <w:pgSz w:w="11906" w:h="16838"/>
          <w:pgMar w:top="1304" w:right="1701" w:bottom="1304" w:left="1418" w:header="851" w:footer="992" w:gutter="0"/>
          <w:cols w:space="720" w:num="1"/>
          <w:docGrid w:linePitch="312" w:charSpace="0"/>
        </w:sectPr>
      </w:pPr>
      <w:bookmarkStart w:id="1" w:name="_Toc314557149"/>
      <w:bookmarkStart w:id="2" w:name="_Toc68889872"/>
      <w:bookmarkStart w:id="3" w:name="_Toc32155"/>
      <w:bookmarkStart w:id="4" w:name="_Toc6111"/>
      <w:bookmarkStart w:id="5" w:name="_Hlk146039758"/>
      <w:bookmarkStart w:id="6" w:name="_Toc4890"/>
      <w:bookmarkStart w:id="7" w:name="heading_1"/>
    </w:p>
    <w:bookmarkEnd w:id="1"/>
    <w:bookmarkEnd w:id="2"/>
    <w:bookmarkEnd w:id="3"/>
    <w:bookmarkEnd w:id="4"/>
    <w:bookmarkEnd w:id="5"/>
    <w:bookmarkEnd w:id="6"/>
    <w:bookmarkEnd w:id="7"/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8" w:name="heading_2"/>
      <w:bookmarkStart w:id="9" w:name="_Toc1872966355"/>
      <w:r>
        <w:rPr>
          <w:rFonts w:ascii="Arial" w:hAnsi="Arial" w:eastAsia="等线" w:cs="Arial"/>
          <w:b/>
          <w:color w:val="auto"/>
          <w:sz w:val="36"/>
          <w:highlight w:val="none"/>
        </w:rPr>
        <w:t>1总则</w:t>
      </w:r>
      <w:bookmarkEnd w:id="8"/>
      <w:bookmarkEnd w:id="9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0" w:name="_Toc1130230759"/>
      <w:bookmarkStart w:id="11" w:name="heading_3"/>
      <w:r>
        <w:rPr>
          <w:rFonts w:ascii="Arial" w:hAnsi="Arial" w:eastAsia="等线" w:cs="Arial"/>
          <w:b/>
          <w:color w:val="auto"/>
          <w:sz w:val="32"/>
          <w:highlight w:val="none"/>
        </w:rPr>
        <w:t>1.1范围与目的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本技术规范书为深圳供电局有限公司电网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抽水机（排涝方舱）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采购项目的强制性技术发标文件，规定了本项目采购的电网场景专用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抽水机（排涝方舱）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（含变电站防汛排涝、电缆沟积水疏导、配电室清淤、电网管网廊道应急排水类）的技术要求、供货范围、试验验收、监造包装、质量保障、职责划分、资料提交等全部条款，是投标方设计、生产、供货的唯一技术依据，亦是招标方验收、使用的核心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本规范书适用于电网系统内变电站、开闭所、电缆沟、地下管网、防汛排水节点等场景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抽水机（排涝方舱）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的采购招标、设计制造、出厂验收、现场交付及后期运维。未尽事宜按国家、电力行业现行最新标准执行，若本规范书要求高于国家/行业标准，以本规范书要求为准。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2" w:name="_Toc1295508798"/>
      <w:bookmarkStart w:id="13" w:name="heading_4"/>
      <w:r>
        <w:rPr>
          <w:rFonts w:ascii="Arial" w:hAnsi="Arial" w:eastAsia="等线" w:cs="Arial"/>
          <w:b/>
          <w:color w:val="auto"/>
          <w:sz w:val="32"/>
          <w:highlight w:val="none"/>
        </w:rPr>
        <w:t>1.2规范性引用文件</w:t>
      </w:r>
      <w:bookmarkEnd w:id="12"/>
      <w:bookmarkEnd w:id="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下列文件为本规范书的必备引用依据，注日期的引用文件仅对应版本适用，未注日期的引用文件其最新版本（含修改单）适用。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GB/T1.1-2020标准化工作导则第1部分：标准化文件的起草规则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GB/T2423.1-2008电工电子产品环境试验低温试验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GB/T2423.2-2008电工电子产品环境试验高温试验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GB/T4208-2017外壳防护等级(IP代码)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GB/T13384-2008机电产品包装通用技术条件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DL/T2027-2019电力电缆隧道运维技术规程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DL/T5044-2014电力工程电缆设计标准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电力行业安全、环保、防爆、电磁兼容相关现行标准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4" w:name="heading_5"/>
      <w:bookmarkStart w:id="15" w:name="_Toc279671053"/>
      <w:r>
        <w:rPr>
          <w:rFonts w:ascii="Arial" w:hAnsi="Arial" w:eastAsia="等线" w:cs="Arial"/>
          <w:b/>
          <w:color w:val="auto"/>
          <w:sz w:val="32"/>
          <w:highlight w:val="none"/>
        </w:rPr>
        <w:t>1.3术语和定义</w:t>
      </w:r>
      <w:bookmarkEnd w:id="14"/>
      <w:bookmarkEnd w:id="15"/>
    </w:p>
    <w:p>
      <w:pPr>
        <w:spacing w:before="300" w:after="120" w:line="288" w:lineRule="auto"/>
        <w:ind w:left="0"/>
        <w:jc w:val="left"/>
        <w:outlineLvl w:val="2"/>
        <w:rPr>
          <w:rFonts w:hint="eastAsia" w:eastAsia="等线"/>
          <w:color w:val="auto"/>
          <w:highlight w:val="none"/>
          <w:lang w:eastAsia="zh-CN"/>
        </w:rPr>
      </w:pPr>
      <w:bookmarkStart w:id="16" w:name="heading_6"/>
      <w:r>
        <w:rPr>
          <w:rFonts w:ascii="Arial" w:hAnsi="Arial" w:eastAsia="等线" w:cs="Arial"/>
          <w:b/>
          <w:color w:val="auto"/>
          <w:sz w:val="30"/>
          <w:highlight w:val="none"/>
        </w:rPr>
        <w:t>1.3.1电网</w:t>
      </w:r>
      <w:bookmarkEnd w:id="16"/>
      <w:r>
        <w:rPr>
          <w:rFonts w:hint="eastAsia" w:ascii="Arial" w:hAnsi="Arial" w:eastAsia="等线" w:cs="Arial"/>
          <w:b/>
          <w:color w:val="auto"/>
          <w:sz w:val="30"/>
          <w:highlight w:val="none"/>
          <w:lang w:eastAsia="zh-CN"/>
        </w:rPr>
        <w:t>抽水机（排涝方舱）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专为电网防汛应急、积水排涝设计，采用液压驱动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或电驱动+履带橡胶履带行走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，搭载大流量</w:t>
      </w:r>
      <w:r>
        <w:rPr>
          <w:rFonts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</w:rPr>
        <w:t>液压渣浆泵</w:t>
      </w:r>
      <w:r>
        <w:rPr>
          <w:rFonts w:hint="eastAsia"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或电动潜水泵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，可远程遥控完成装卸、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行走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的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履带式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智能排涝设备，适用于变电站、电缆沟等复杂地形积水抽吸、淤泥清理，具备部署快、排涝强、安全可控的核心特点。</w:t>
      </w:r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17" w:name="heading_7"/>
      <w:r>
        <w:rPr>
          <w:rFonts w:ascii="Arial" w:hAnsi="Arial" w:eastAsia="等线" w:cs="Arial"/>
          <w:b/>
          <w:color w:val="auto"/>
          <w:sz w:val="30"/>
          <w:highlight w:val="none"/>
        </w:rPr>
        <w:t>1.3.2</w:t>
      </w:r>
      <w:r>
        <w:rPr>
          <w:rFonts w:hint="eastAsia" w:ascii="Arial" w:hAnsi="Arial" w:eastAsia="等线" w:cs="Arial"/>
          <w:b/>
          <w:color w:val="auto"/>
          <w:sz w:val="30"/>
          <w:highlight w:val="none"/>
          <w:lang w:val="en-US" w:eastAsia="zh-CN"/>
        </w:rPr>
        <w:t>涉水部件</w:t>
      </w:r>
      <w:r>
        <w:rPr>
          <w:rFonts w:ascii="Arial" w:hAnsi="Arial" w:eastAsia="等线" w:cs="Arial"/>
          <w:b/>
          <w:color w:val="auto"/>
          <w:sz w:val="30"/>
          <w:highlight w:val="none"/>
        </w:rPr>
        <w:t>防护等级IP68</w:t>
      </w:r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完全防止粉尘侵入，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涉水部件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可在0.6MPa水压下长期浸水作业，设备核心部件无进水、无短路，绝缘性能达标，适配电网潮湿积水特殊工况。</w:t>
      </w:r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18" w:name="heading_8"/>
      <w:r>
        <w:rPr>
          <w:rFonts w:ascii="Arial" w:hAnsi="Arial" w:eastAsia="等线" w:cs="Arial"/>
          <w:b/>
          <w:color w:val="auto"/>
          <w:sz w:val="30"/>
          <w:highlight w:val="none"/>
        </w:rPr>
        <w:t>1.3.3平均无故障工作时间（MTBF）</w:t>
      </w:r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衡量设备可靠性的核心指标，指设备两次相邻故障之间的平均工作时长（单位：小时），本项目设备需满足电网防汛应急高强度、长时间作业需求。</w:t>
      </w:r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19" w:name="heading_9"/>
      <w:r>
        <w:rPr>
          <w:rFonts w:ascii="Arial" w:hAnsi="Arial" w:eastAsia="等线" w:cs="Arial"/>
          <w:b/>
          <w:color w:val="auto"/>
          <w:sz w:val="30"/>
          <w:highlight w:val="none"/>
        </w:rPr>
        <w:t>1.3.4电力安全间距</w:t>
      </w:r>
      <w:bookmarkEnd w:id="1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抽水机（排涝方舱）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作业时与电网带电设备、高压电缆必须保持的安全距离，需严格符合电力行业安全规程，杜绝触电、短路等安全风险。</w:t>
      </w:r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20" w:name="heading_10"/>
      <w:r>
        <w:rPr>
          <w:rFonts w:ascii="Arial" w:hAnsi="Arial" w:eastAsia="等线" w:cs="Arial"/>
          <w:b/>
          <w:color w:val="auto"/>
          <w:sz w:val="30"/>
          <w:highlight w:val="none"/>
        </w:rPr>
        <w:t>1.4通用约定</w:t>
      </w:r>
      <w:bookmarkEnd w:id="20"/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本规范书中标注★的条款/参数为关键强制性要求，投标方必须100%满足，不允许任何负偏离，否则作无效投标处理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标注▲的条款/参数为重要性能要求，鼓励投标方正偏离，正偏离情况将作为评标加分依据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本规范书中所有“≥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≤、＞、＜”均为强制性限值，投标方响应值需严格符合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投标方须承诺所供设备为全新、未使用过的原厂正品，无设计、制造缺陷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符合本规范书全部要求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21" w:name="heading_11"/>
      <w:bookmarkStart w:id="22" w:name="_Toc1737168135"/>
      <w:r>
        <w:rPr>
          <w:rFonts w:ascii="Arial" w:hAnsi="Arial" w:eastAsia="等线" w:cs="Arial"/>
          <w:b/>
          <w:color w:val="auto"/>
          <w:sz w:val="36"/>
          <w:highlight w:val="none"/>
        </w:rPr>
        <w:t>2工程概述</w:t>
      </w:r>
      <w:bookmarkEnd w:id="21"/>
      <w:bookmarkEnd w:id="22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23" w:name="_Toc1544663980"/>
      <w:bookmarkStart w:id="24" w:name="heading_12"/>
      <w:r>
        <w:rPr>
          <w:rFonts w:ascii="Arial" w:hAnsi="Arial" w:eastAsia="等线" w:cs="Arial"/>
          <w:b/>
          <w:color w:val="auto"/>
          <w:sz w:val="32"/>
          <w:highlight w:val="none"/>
        </w:rPr>
        <w:t>2.1工程概况</w:t>
      </w:r>
      <w:bookmarkEnd w:id="23"/>
      <w:bookmarkEnd w:id="2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本项目为深圳供电局有限公司电网防汛能力提升专项采购项目，采购遥控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抽水机（排涝方舱）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，用于替代传统人工排水设备，解决电网变电站、电缆沟、配电室等场景防汛排涝、积水疏导痛点，实现应急排涝快速部署、带电区域安全作业、复杂工况高效排涝，保障电网防汛期间设备安全与系统稳定运维。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25" w:name="heading_13"/>
      <w:bookmarkStart w:id="26" w:name="_Toc237703277"/>
      <w:r>
        <w:rPr>
          <w:rFonts w:ascii="Arial" w:hAnsi="Arial" w:eastAsia="等线" w:cs="Arial"/>
          <w:b/>
          <w:color w:val="auto"/>
          <w:sz w:val="32"/>
          <w:highlight w:val="none"/>
        </w:rPr>
        <w:t>2.2使用条件</w:t>
      </w:r>
      <w:bookmarkEnd w:id="25"/>
      <w:bookmarkEnd w:id="2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项目采购设备需适配电网户外、地下密闭、泥泞积水、狭小空间等复杂工况，满足高低温、防水防尘、抗电磁干扰要求，可在电网带电区域周边安全作业，适配多种运输、装卸方式，具体环境参数详见本规范书3.1章节使用环境条件，投标方须承诺设备完全适配本项目所有使用工况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27" w:name="_Toc759393119"/>
      <w:bookmarkStart w:id="28" w:name="heading_14"/>
      <w:r>
        <w:rPr>
          <w:rFonts w:ascii="Arial" w:hAnsi="Arial" w:eastAsia="等线" w:cs="Arial"/>
          <w:b/>
          <w:color w:val="auto"/>
          <w:sz w:val="36"/>
          <w:highlight w:val="none"/>
        </w:rPr>
        <w:t>3技术要求</w:t>
      </w:r>
      <w:bookmarkEnd w:id="27"/>
      <w:bookmarkEnd w:id="28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29" w:name="heading_15"/>
      <w:bookmarkStart w:id="30" w:name="_Toc624836912"/>
      <w:r>
        <w:rPr>
          <w:rFonts w:ascii="Arial" w:hAnsi="Arial" w:eastAsia="等线" w:cs="Arial"/>
          <w:b/>
          <w:color w:val="auto"/>
          <w:sz w:val="32"/>
          <w:highlight w:val="none"/>
        </w:rPr>
        <w:t>3.1使用环境条件</w:t>
      </w:r>
      <w:bookmarkEnd w:id="29"/>
      <w:bookmarkEnd w:id="3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投标方所供设备必须满足以下环境适应性要求，无任何例外：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温度：工作温度-25℃～+65℃，存储温度-35℃～+75℃，适配电网高寒、高温、户外、地下等全场景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防护等级：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涉水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部件IP68，可承受0.6MPa水压连续作业，耐污水、油污、泥沙、轻度腐蚀性电解液浸泡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介质适应性：可处理雨水、污水、含泥积水、电缆沟渗漏水，适配pH4～10的轻度腐蚀性液体，可有效抽吸含杂质、淤泥状积水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工况适应性：适应场地坡度≤30°、积水流速≤2.0m/s、淤积厚度≤50mm，可在泥泞、松软地面、狭小弯道正常作业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电磁兼容性：符合电力行业EMC现行标准，作业时不干扰电网继电保护、监控、通信等设备，抗电网强电磁干扰能力优异。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31" w:name="heading_16"/>
      <w:bookmarkStart w:id="32" w:name="_Toc438946154"/>
      <w:r>
        <w:rPr>
          <w:rFonts w:ascii="Arial" w:hAnsi="Arial" w:eastAsia="等线" w:cs="Arial"/>
          <w:b/>
          <w:color w:val="auto"/>
          <w:sz w:val="32"/>
          <w:highlight w:val="none"/>
        </w:rPr>
        <w:t>3.2工作条件</w:t>
      </w:r>
      <w:bookmarkEnd w:id="31"/>
      <w:bookmarkEnd w:id="32"/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供电模式：柴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汽油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动机+液压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/电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驱动，控制电路采用DC12V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/36V/48V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铅酸电池独立供电，支持电启动，启动成功率100%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作业模式：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支持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无线远程无接触操控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和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现场操作，水泵启停、辅助照明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测距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等核心功能，保障作业安全。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连续作业时长：</w:t>
      </w:r>
      <w:r>
        <w:rPr>
          <w:rFonts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</w:rPr>
        <w:t>≥</w:t>
      </w:r>
      <w:r>
        <w:rPr>
          <w:rFonts w:hint="eastAsia"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</w:rPr>
        <w:t>h（满负荷工况）</w:t>
      </w:r>
      <w:r>
        <w:rPr>
          <w:rFonts w:ascii="Arial" w:hAnsi="Arial" w:eastAsia="等线" w:cs="Arial"/>
          <w:b w:val="0"/>
          <w:bCs w:val="0"/>
          <w:strike w:val="0"/>
          <w:color w:val="auto"/>
          <w:sz w:val="24"/>
          <w:szCs w:val="24"/>
          <w:highlight w:val="none"/>
        </w:rPr>
        <w:t>，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适配电网防汛抢修长时间作业需求；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场地适配：无需提前整备场地，可直接在泥泞、积水、狭小空间（电缆沟、配电室廊道等）开展作业。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33" w:name="_Toc761682833"/>
      <w:bookmarkStart w:id="34" w:name="heading_17"/>
      <w:r>
        <w:rPr>
          <w:rFonts w:ascii="Arial" w:hAnsi="Arial" w:eastAsia="等线" w:cs="Arial"/>
          <w:b/>
          <w:color w:val="auto"/>
          <w:sz w:val="32"/>
          <w:highlight w:val="none"/>
        </w:rPr>
        <w:t>3.3应遵循的主要标准</w:t>
      </w:r>
      <w:bookmarkEnd w:id="33"/>
      <w:bookmarkEnd w:id="3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设备的设计、制造、试验、验收除满足本规范书1.2章节引用文件外，还需同步满足国家强制性标准、电力行业专项标准、中国南方电网有限责任公司及深圳供电局有限公司内部运维规程，涉及安全、防爆、绝缘、电磁兼容的指标，优先满足电网高标准要求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35" w:name="_Toc453354464"/>
      <w:bookmarkStart w:id="36" w:name="heading_18"/>
      <w:r>
        <w:rPr>
          <w:rFonts w:ascii="Arial" w:hAnsi="Arial" w:eastAsia="等线" w:cs="Arial"/>
          <w:b/>
          <w:color w:val="auto"/>
          <w:sz w:val="32"/>
          <w:highlight w:val="none"/>
        </w:rPr>
        <w:t>3.4结构与材质要求</w:t>
      </w:r>
      <w:bookmarkEnd w:id="35"/>
      <w:bookmarkEnd w:id="3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hint="default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★1.主体框架：采用高强度加厚碳钢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或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316不锈钢组合材质，履带采用耐磨绝缘橡胶材质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整体满足耐腐蚀、抗冲击、高承重、绝缘防护要求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★2.设计形式：模块化集成设计，排水泵可独立拆分，拆装便捷，满足电网应急抢修“快速部署、快速维修”需求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★3.防护结构：排水泵、</w:t>
      </w:r>
      <w:r>
        <w:rPr>
          <w:rFonts w:hint="eastAsia"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升降滑架或一体式电动吊装机构</w:t>
      </w:r>
      <w:r>
        <w:rPr>
          <w:rFonts w:hint="eastAsia" w:ascii="Arial" w:hAnsi="Arial" w:eastAsia="等线" w:cs="Arial"/>
          <w:b w:val="0"/>
          <w:bCs w:val="0"/>
          <w:strike w:val="0"/>
          <w:color w:val="auto"/>
          <w:sz w:val="24"/>
          <w:szCs w:val="24"/>
          <w:highlight w:val="none"/>
          <w:lang w:val="en-US" w:eastAsia="zh-CN"/>
        </w:rPr>
        <w:t>、</w:t>
      </w:r>
      <w:r>
        <w:rPr>
          <w:rFonts w:ascii="Arial" w:hAnsi="Arial" w:eastAsia="等线" w:cs="Arial"/>
          <w:b w:val="0"/>
          <w:bCs w:val="0"/>
          <w:strike w:val="0"/>
          <w:dstrike w:val="0"/>
          <w:color w:val="auto"/>
          <w:sz w:val="24"/>
          <w:szCs w:val="24"/>
          <w:highlight w:val="none"/>
        </w:rPr>
        <w:t>液压管路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必须配备防撞、防刮、防堵、防缠绕保护结构，适应泥沙、杂物等复杂排水介质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★4.外观布局：整机布局紧凑，收纳体积小，无尖锐棱角，避免作业时刮蹭电网电缆、柜体等电力设施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接地要求：设备配备专用接地装置，接地电阻符合电力行业安全标准，确保作业安全。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37" w:name="_Toc256496892"/>
      <w:bookmarkStart w:id="38" w:name="heading_19"/>
      <w:r>
        <w:rPr>
          <w:rFonts w:ascii="Arial" w:hAnsi="Arial" w:eastAsia="等线" w:cs="Arial"/>
          <w:b/>
          <w:color w:val="auto"/>
          <w:sz w:val="32"/>
          <w:highlight w:val="none"/>
        </w:rPr>
        <w:t>3.5安全性能要求</w:t>
      </w:r>
      <w:bookmarkEnd w:id="37"/>
      <w:bookmarkEnd w:id="3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★1.自动保护功能：具备过载、超压、过热、漏电、短路等全工况自动保护功能，杜绝电力安全隐患；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★2.绝缘密封：整机绝缘性能达标，所有带电部件、油路部件全密封隔离，符合电力行业安全操作规程，可在带电区域周边安全作业；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★3.应急操控：配备一键急停、自锁刹车、故障自检、强制停机功能，操控响应灵敏，应急处置及时，无延迟；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40" w:firstLineChars="200"/>
        <w:jc w:val="left"/>
        <w:textAlignment w:val="auto"/>
        <w:rPr>
          <w:rFonts w:hint="eastAsia" w:ascii="Arial" w:hAnsi="Arial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ascii="Arial" w:hAnsi="Arial" w:eastAsia="等线" w:cs="Arial"/>
          <w:color w:val="auto"/>
          <w:sz w:val="22"/>
          <w:highlight w:val="none"/>
        </w:rPr>
        <w:t>▲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4.液压管路：采用高压防爆设计，抗拉、耐磨、防渗漏，可适配电网复杂空间拖拽、弯折作业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。（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该条要求仅对液压设备做要求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40" w:firstLineChars="200"/>
        <w:jc w:val="left"/>
        <w:textAlignment w:val="auto"/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ascii="Arial" w:hAnsi="Arial" w:eastAsia="等线" w:cs="Arial"/>
          <w:color w:val="auto"/>
          <w:sz w:val="22"/>
          <w:highlight w:val="none"/>
        </w:rPr>
        <w:t>▲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5.燃油系统：全密封防爆设计，符合电力场所防火安全规范，无明火、燃油泄漏风险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default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/>
        </w:rPr>
        <w:t>6.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标识要求：设备机身醒目位置标注电力安全警示、防火标识、操作禁忌，标识永久清晰，不易脱落。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39" w:name="_Toc943584315"/>
      <w:bookmarkStart w:id="40" w:name="heading_20"/>
      <w:r>
        <w:rPr>
          <w:rFonts w:ascii="Arial" w:hAnsi="Arial" w:eastAsia="等线" w:cs="Arial"/>
          <w:b/>
          <w:color w:val="auto"/>
          <w:sz w:val="32"/>
          <w:highlight w:val="none"/>
        </w:rPr>
        <w:t>3.6</w:t>
      </w:r>
      <w:r>
        <w:rPr>
          <w:rFonts w:hint="eastAsia" w:ascii="Arial" w:hAnsi="Arial" w:eastAsia="等线" w:cs="Arial"/>
          <w:b/>
          <w:color w:val="auto"/>
          <w:sz w:val="32"/>
          <w:highlight w:val="none"/>
        </w:rPr>
        <w:t>遥控</w:t>
      </w:r>
      <w:r>
        <w:rPr>
          <w:rFonts w:ascii="Arial" w:hAnsi="Arial" w:eastAsia="等线" w:cs="Arial"/>
          <w:b/>
          <w:color w:val="auto"/>
          <w:sz w:val="32"/>
          <w:highlight w:val="none"/>
        </w:rPr>
        <w:t>要求</w:t>
      </w:r>
      <w:bookmarkEnd w:id="39"/>
      <w:bookmarkEnd w:id="4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★1.遥控设备：采用三防手持无线遥控器（防摔、防水、防尘），地下密闭、远距离等恶劣场景下信号稳定无中断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★2.控制延迟：≤150ms，可实时传输操控指令，无延迟、无卡顿，支持设备所有动作的远程控制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40" w:firstLineChars="200"/>
        <w:jc w:val="left"/>
        <w:textAlignment w:val="auto"/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ascii="Arial" w:hAnsi="Arial" w:eastAsia="等线" w:cs="Arial"/>
          <w:color w:val="auto"/>
          <w:sz w:val="22"/>
          <w:highlight w:val="none"/>
        </w:rPr>
        <w:t>▲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3.遥控器功能：具备设备运行参数实时显示、操作权限锁定、操作记录存储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适配户外强光、潮湿环境使用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★4.备用保障：遥控器配备备用电池及快充充电器，备用电池续航≥8h，确保长时间作业无中断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Arial" w:hAnsi="Arial" w:eastAsia="等线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内置测距功能的检修照明</w:t>
      </w: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41" w:name="heading_21"/>
      <w:bookmarkStart w:id="42" w:name="_Toc1802332757"/>
      <w:r>
        <w:rPr>
          <w:rFonts w:ascii="Arial" w:hAnsi="Arial" w:eastAsia="等线" w:cs="Arial"/>
          <w:b/>
          <w:color w:val="auto"/>
          <w:sz w:val="32"/>
          <w:highlight w:val="none"/>
        </w:rPr>
        <w:t>3.7核心性能指标</w:t>
      </w:r>
      <w:bookmarkEnd w:id="41"/>
      <w:bookmarkEnd w:id="4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b w:val="0"/>
          <w:bCs w:val="0"/>
          <w:color w:val="auto"/>
          <w:sz w:val="24"/>
          <w:szCs w:val="24"/>
          <w:highlight w:val="none"/>
        </w:rPr>
        <w:t>本表为设备核心性能指标，★为关键指标，必须100%满足，不允许负偏离；▲为重要指标，鼓励正偏离，投标方需在投标文件中如实填报响应值，附检测报告佐证。</w:t>
      </w:r>
    </w:p>
    <w:tbl>
      <w:tblPr>
        <w:tblStyle w:val="22"/>
        <w:tblW w:w="101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7"/>
        <w:gridCol w:w="1213"/>
        <w:gridCol w:w="4344"/>
        <w:gridCol w:w="1868"/>
        <w:gridCol w:w="1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9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序号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参数类别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技术要求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投标方响应值</w:t>
            </w: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53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★整机基本参数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eastAsia="等线"/>
                <w:color w:val="auto"/>
                <w:highlight w:val="none"/>
                <w:lang w:eastAsia="zh-CN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1.整车尺寸：≤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30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00mm*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20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00mm*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200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0mm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（长×宽×高）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2.整车重量：≤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4000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Kg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3.装卸方式：支持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履带+自装卸；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4.控制电路：DC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12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V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/36V/48V，电池容量</w:t>
            </w:r>
            <w:r>
              <w:rPr>
                <w:rFonts w:ascii="Arial" w:hAnsi="Arial" w:eastAsia="等线" w:cs="Arial"/>
                <w:strike w:val="0"/>
                <w:dstrike w:val="0"/>
                <w:color w:val="auto"/>
                <w:sz w:val="22"/>
                <w:highlight w:val="none"/>
              </w:rPr>
              <w:t>≥</w:t>
            </w:r>
            <w:r>
              <w:rPr>
                <w:rFonts w:hint="eastAsia" w:ascii="Arial" w:hAnsi="Arial" w:eastAsia="等线" w:cs="Arial"/>
                <w:strike w:val="0"/>
                <w:dstrike w:val="0"/>
                <w:color w:val="auto"/>
                <w:sz w:val="22"/>
                <w:highlight w:val="none"/>
                <w:lang w:val="en-US" w:eastAsia="zh-CN"/>
              </w:rPr>
              <w:t>1000WH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5.收纳占地：≤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㎡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。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57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★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自装卸系统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装卸方式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：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一体化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自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动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装卸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单人即可操作；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2、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装车方式：履带或吊装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3、能直接使用电力抢修皮卡车、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平板货车、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小型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货车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等进行装载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运输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4、装卸机构工作电压24V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/48V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。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57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 w:leftChars="0"/>
              <w:jc w:val="center"/>
              <w:rPr>
                <w:rFonts w:ascii="Arial" w:hAnsi="Arial" w:eastAsia="等线" w:cs="Arial"/>
                <w:color w:val="auto"/>
                <w:sz w:val="22"/>
                <w:highlight w:val="none"/>
              </w:rPr>
            </w:pP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3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 w:leftChars="0"/>
              <w:jc w:val="center"/>
              <w:rPr>
                <w:rFonts w:ascii="Arial" w:hAnsi="Arial" w:eastAsia="等线" w:cs="Arial"/>
                <w:color w:val="auto"/>
                <w:sz w:val="22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★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自行走底盘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 w:leftChars="0"/>
              <w:jc w:val="center"/>
              <w:rPr>
                <w:rFonts w:ascii="Arial" w:hAnsi="Arial" w:eastAsia="等线" w:cs="Arial"/>
                <w:color w:val="auto"/>
                <w:sz w:val="22"/>
                <w:highlight w:val="none"/>
              </w:rPr>
            </w:pPr>
            <w:r>
              <w:rPr>
                <w:rFonts w:hint="eastAsia" w:ascii="Arial" w:hAnsi="Arial" w:eastAsia="等线" w:cs="Arial"/>
                <w:strike w:val="0"/>
                <w:dstrike w:val="0"/>
                <w:color w:val="auto"/>
                <w:sz w:val="22"/>
                <w:highlight w:val="none"/>
                <w:lang w:val="en-US" w:eastAsia="zh-CN"/>
              </w:rPr>
              <w:t>1.驱动方式：液压或电驱动。2、转向方式：360°原地掉头。3、刹车方式：液压自锁刹车或蜗轮蜗杆减速机刹车。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爬坡角度：30°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144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4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★排水执行系统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eastAsia="等线"/>
                <w:color w:val="auto"/>
                <w:highlight w:val="none"/>
                <w:lang w:val="en-US" w:eastAsia="zh-CN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1.泵型：大流量液压渣浆泵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或电动潜水泵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，免充水启动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2.排水流量：</w:t>
            </w:r>
            <w:r>
              <w:rPr>
                <w:rFonts w:ascii="Arial" w:hAnsi="Arial" w:eastAsia="等线" w:cs="Arial"/>
                <w:strike w:val="0"/>
                <w:dstrike w:val="0"/>
                <w:color w:val="auto"/>
                <w:sz w:val="22"/>
                <w:highlight w:val="none"/>
              </w:rPr>
              <w:t>≥</w:t>
            </w:r>
            <w:r>
              <w:rPr>
                <w:rFonts w:hint="eastAsia" w:ascii="Arial" w:hAnsi="Arial" w:eastAsia="等线" w:cs="Arial"/>
                <w:strike w:val="0"/>
                <w:dstrike w:val="0"/>
                <w:color w:val="auto"/>
                <w:sz w:val="22"/>
                <w:highlight w:val="none"/>
                <w:lang w:val="en-US" w:eastAsia="zh-CN"/>
              </w:rPr>
              <w:t>600</w:t>
            </w:r>
            <w:r>
              <w:rPr>
                <w:rFonts w:ascii="Arial" w:hAnsi="Arial" w:eastAsia="等线" w:cs="Arial"/>
                <w:strike w:val="0"/>
                <w:dstrike w:val="0"/>
                <w:color w:val="auto"/>
                <w:sz w:val="22"/>
                <w:highlight w:val="none"/>
              </w:rPr>
              <w:t>m³/h</w:t>
            </w:r>
            <w:r>
              <w:rPr>
                <w:rFonts w:hint="eastAsia" w:ascii="Arial" w:hAnsi="Arial" w:eastAsia="等线" w:cs="Arial"/>
                <w:strike w:val="0"/>
                <w:dstrike w:val="0"/>
                <w:color w:val="auto"/>
                <w:sz w:val="22"/>
                <w:highlight w:val="none"/>
                <w:lang w:eastAsia="zh-CN"/>
              </w:rPr>
              <w:t>，</w:t>
            </w:r>
            <w:r>
              <w:rPr>
                <w:rFonts w:ascii="Arial" w:hAnsi="Arial" w:eastAsia="等线" w:cs="Arial"/>
                <w:strike w:val="0"/>
                <w:dstrike w:val="0"/>
                <w:color w:val="auto"/>
                <w:sz w:val="22"/>
                <w:highlight w:val="none"/>
              </w:rPr>
              <w:t>扬程：≥</w:t>
            </w:r>
            <w:r>
              <w:rPr>
                <w:rFonts w:hint="eastAsia" w:ascii="Arial" w:hAnsi="Arial" w:eastAsia="等线" w:cs="Arial"/>
                <w:strike w:val="0"/>
                <w:dstrike w:val="0"/>
                <w:color w:val="auto"/>
                <w:sz w:val="22"/>
                <w:highlight w:val="none"/>
                <w:lang w:val="en-US" w:eastAsia="zh-CN"/>
              </w:rPr>
              <w:t>8</w:t>
            </w:r>
            <w:r>
              <w:rPr>
                <w:rFonts w:ascii="Arial" w:hAnsi="Arial" w:eastAsia="等线" w:cs="Arial"/>
                <w:strike w:val="0"/>
                <w:dstrike w:val="0"/>
                <w:color w:val="auto"/>
                <w:sz w:val="22"/>
                <w:highlight w:val="none"/>
              </w:rPr>
              <w:t>m</w:t>
            </w:r>
            <w:r>
              <w:rPr>
                <w:rFonts w:hint="eastAsia" w:ascii="Arial" w:hAnsi="Arial" w:eastAsia="等线" w:cs="Arial"/>
                <w:strike w:val="0"/>
                <w:dstrike w:val="0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hint="eastAsia" w:ascii="Arial" w:hAnsi="Arial" w:eastAsia="等线" w:cs="Arial"/>
                <w:strike w:val="0"/>
                <w:color w:val="auto"/>
                <w:sz w:val="22"/>
                <w:highlight w:val="none"/>
                <w:lang w:val="en-US" w:eastAsia="zh-CN"/>
              </w:rPr>
              <w:t>3</w:t>
            </w:r>
            <w:r>
              <w:rPr>
                <w:rFonts w:ascii="Arial" w:hAnsi="Arial" w:eastAsia="等线" w:cs="Arial"/>
                <w:strike w:val="0"/>
                <w:color w:val="auto"/>
                <w:sz w:val="22"/>
                <w:highlight w:val="none"/>
              </w:rPr>
              <w:t>.排水口径：</w:t>
            </w:r>
            <w:r>
              <w:rPr>
                <w:rFonts w:ascii="Arial" w:hAnsi="Arial" w:eastAsia="等线" w:cs="Arial"/>
                <w:strike w:val="0"/>
                <w:dstrike w:val="0"/>
                <w:color w:val="auto"/>
                <w:sz w:val="22"/>
                <w:highlight w:val="none"/>
              </w:rPr>
              <w:t>≥</w:t>
            </w:r>
            <w:r>
              <w:rPr>
                <w:rFonts w:ascii="Arial" w:hAnsi="Arial" w:eastAsia="等线" w:cs="Arial"/>
                <w:strike w:val="0"/>
                <w:color w:val="auto"/>
                <w:sz w:val="22"/>
                <w:highlight w:val="none"/>
              </w:rPr>
              <w:t>DN20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0大口径，防堵塞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。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72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5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★遥控安全系统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eastAsia="等线"/>
                <w:color w:val="auto"/>
                <w:highlight w:val="none"/>
                <w:lang w:eastAsia="zh-CN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1.遥控器：三防手持无线款，人体工学设计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2.遥控距离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履带、吊臂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）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：≥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10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0m（无遮挡）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3.操控功能：全动作精准控制，支持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遥控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操作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4.安全功能：物理一键急停+▲参数实时显示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5.照明功能：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辅助照明不少于3个，≥15W/个，警示灯不少于2个，内置测距功能的检修照明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。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72" w:hRule="atLeast"/>
          <w:jc w:val="center"/>
        </w:trPr>
        <w:tc>
          <w:tcPr>
            <w:tcW w:w="90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</w:pPr>
            <w:bookmarkStart w:id="43" w:name="heading_22"/>
            <w:bookmarkStart w:id="116" w:name="_GoBack" w:colFirst="0" w:colLast="2"/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6</w:t>
            </w:r>
          </w:p>
        </w:tc>
        <w:tc>
          <w:tcPr>
            <w:tcW w:w="121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ascii="Arial" w:hAnsi="Arial" w:eastAsia="等线" w:cs="Arial"/>
                <w:color w:val="auto"/>
                <w:sz w:val="22"/>
                <w:highlight w:val="none"/>
              </w:rPr>
            </w:pP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★单北斗定位的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智能监测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模块</w:t>
            </w:r>
          </w:p>
        </w:tc>
        <w:tc>
          <w:tcPr>
            <w:tcW w:w="43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1</w:t>
            </w:r>
            <w:r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设备需标配单北斗定位智能监测模块，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纯北斗定位，精度≤2m；2</w:t>
            </w:r>
            <w:r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/>
              </w:rPr>
              <w:t>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实时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监测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油量、设备液压油温、液压油压、液压油位等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，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数据采集精准；3</w:t>
            </w:r>
            <w:r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/>
              </w:rPr>
              <w:t>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支持无线传输、离线缓存、轨迹回放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；4</w:t>
            </w:r>
            <w:r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适配恶劣工况，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数据可远程查看、存储溯源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5</w:t>
            </w:r>
            <w:r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支持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远程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在线监测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</w:rPr>
              <w:t>和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调度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eastAsia="zh-CN"/>
              </w:rPr>
              <w:t>；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▲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6</w:t>
            </w:r>
            <w:r>
              <w:rPr>
                <w:rFonts w:hint="default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.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lang w:val="en-US" w:eastAsia="zh-CN"/>
              </w:rPr>
              <w:t>提供权威机构的单北斗认证报告。</w:t>
            </w:r>
          </w:p>
        </w:tc>
        <w:tc>
          <w:tcPr>
            <w:tcW w:w="18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78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bookmarkEnd w:id="116"/>
    </w:tbl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44" w:name="_Toc1549805964"/>
      <w:r>
        <w:rPr>
          <w:rFonts w:ascii="Arial" w:hAnsi="Arial" w:eastAsia="等线" w:cs="Arial"/>
          <w:b/>
          <w:color w:val="auto"/>
          <w:sz w:val="36"/>
          <w:highlight w:val="none"/>
        </w:rPr>
        <w:t>4供货需求及范围</w:t>
      </w:r>
      <w:bookmarkEnd w:id="43"/>
      <w:bookmarkEnd w:id="44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45" w:name="_Toc759682485"/>
      <w:bookmarkStart w:id="46" w:name="heading_23"/>
      <w:r>
        <w:rPr>
          <w:rFonts w:ascii="Arial" w:hAnsi="Arial" w:eastAsia="等线" w:cs="Arial"/>
          <w:b/>
          <w:color w:val="auto"/>
          <w:sz w:val="32"/>
          <w:highlight w:val="none"/>
        </w:rPr>
        <w:t>4.1供货总体要求</w:t>
      </w:r>
      <w:bookmarkEnd w:id="45"/>
      <w:bookmarkEnd w:id="4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color w:val="auto"/>
          <w:sz w:val="24"/>
          <w:szCs w:val="24"/>
          <w:highlight w:val="none"/>
        </w:rPr>
        <w:t>★投标方需按本规范书要求提供</w:t>
      </w:r>
      <w:r>
        <w:rPr>
          <w:rFonts w:ascii="Arial" w:hAnsi="Arial" w:eastAsia="等线" w:cs="Arial"/>
          <w:b/>
          <w:color w:val="auto"/>
          <w:sz w:val="24"/>
          <w:szCs w:val="24"/>
          <w:highlight w:val="none"/>
        </w:rPr>
        <w:t>全套合格的</w:t>
      </w:r>
      <w:r>
        <w:rPr>
          <w:rFonts w:hint="eastAsia" w:ascii="Arial" w:hAnsi="Arial" w:eastAsia="等线" w:cs="Arial"/>
          <w:b/>
          <w:color w:val="auto"/>
          <w:sz w:val="24"/>
          <w:szCs w:val="24"/>
          <w:highlight w:val="none"/>
          <w:lang w:eastAsia="zh-CN"/>
        </w:rPr>
        <w:t>抽水机（排涝方舱）</w:t>
      </w:r>
      <w:r>
        <w:rPr>
          <w:rFonts w:ascii="Arial" w:hAnsi="Arial" w:eastAsia="等线" w:cs="Arial"/>
          <w:color w:val="auto"/>
          <w:sz w:val="24"/>
          <w:szCs w:val="24"/>
          <w:highlight w:val="none"/>
        </w:rPr>
        <w:t>，所有设备、配件、工具均为全新原厂正品，无任何质量缺陷，设备到场后可直接进行现场调试、投入使用，无需招标方额外配置任何配件。</w:t>
      </w:r>
    </w:p>
    <w:p>
      <w:pPr>
        <w:spacing w:before="320" w:after="120" w:line="288" w:lineRule="auto"/>
        <w:ind w:left="0"/>
        <w:jc w:val="left"/>
        <w:outlineLvl w:val="1"/>
        <w:rPr>
          <w:rFonts w:ascii="Arial" w:hAnsi="Arial" w:eastAsia="等线" w:cs="Arial"/>
          <w:b/>
          <w:color w:val="auto"/>
          <w:sz w:val="32"/>
          <w:highlight w:val="none"/>
        </w:rPr>
      </w:pPr>
      <w:bookmarkStart w:id="47" w:name="heading_24"/>
      <w:bookmarkStart w:id="48" w:name="_Toc1193243980"/>
      <w:r>
        <w:rPr>
          <w:rFonts w:ascii="Arial" w:hAnsi="Arial" w:eastAsia="等线" w:cs="Arial"/>
          <w:b/>
          <w:color w:val="auto"/>
          <w:sz w:val="32"/>
          <w:highlight w:val="none"/>
        </w:rPr>
        <w:t>4.2最低供货范围</w:t>
      </w:r>
      <w:bookmarkEnd w:id="47"/>
      <w:bookmarkEnd w:id="48"/>
    </w:p>
    <w:tbl>
      <w:tblPr>
        <w:tblStyle w:val="22"/>
        <w:tblW w:w="10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47"/>
        <w:gridCol w:w="2290"/>
        <w:gridCol w:w="67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  <w:tblHeader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供货品类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具体配置要求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抽水机（排涝方舱）</w:t>
            </w: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主机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1台，含动力系统、</w:t>
            </w:r>
            <w:r>
              <w:rPr>
                <w:rFonts w:hint="eastAsia" w:ascii="宋体" w:hAnsi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行走底盘系统、</w:t>
            </w: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排水执行系统、电气控制系统等全套核心部件，整机为全新原厂正品，无质量缺陷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便携式无线遥控器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1套，含主机、备用电池2块、快充充电器1个、挂绳、防护套，满足远程操控全功能需求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专用配套配件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专用装卸爬梯1套，</w:t>
            </w: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DN200排水软管（长度≥20m）、接地装置1套、机身固定件全套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2" w:hRule="atLeast"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备品备件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按设备使用要求配备易损件、易耗件全套，投标方需单独列出明细，注明规格、数量、品牌，确保适配设备运维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1" w:hRule="atLeast"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专用工具与仪器仪表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配备设备安装、调试、日常维护、故障排查所需的专用工具、检测仪器仪表全套，投标方需单独列出明细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6" w:hRule="atLeast"/>
          <w:jc w:val="center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技术资料</w:t>
            </w:r>
          </w:p>
        </w:tc>
        <w:tc>
          <w:tcPr>
            <w:tcW w:w="6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b w:val="0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b w:val="0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全套纸质版+电子版技术资料，包含说明书、合格证、型式试验报告、出厂检验报告、电力安全操作手册、维护手册、应急处置流程、设备图纸、元器件清单等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Arial" w:hAnsi="Arial" w:eastAsia="等线" w:cs="Arial"/>
          <w:color w:val="auto"/>
          <w:sz w:val="24"/>
          <w:szCs w:val="24"/>
          <w:highlight w:val="none"/>
        </w:rPr>
      </w:pP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49" w:name="heading_25"/>
      <w:bookmarkStart w:id="50" w:name="_Toc1649276174"/>
      <w:r>
        <w:rPr>
          <w:rFonts w:ascii="Arial" w:hAnsi="Arial" w:eastAsia="等线" w:cs="Arial"/>
          <w:b/>
          <w:color w:val="auto"/>
          <w:sz w:val="36"/>
          <w:highlight w:val="none"/>
        </w:rPr>
        <w:t>5试验与验收</w:t>
      </w:r>
      <w:bookmarkEnd w:id="49"/>
      <w:bookmarkEnd w:id="50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51" w:name="heading_26"/>
      <w:bookmarkStart w:id="52" w:name="_Toc1813224589"/>
      <w:r>
        <w:rPr>
          <w:rFonts w:ascii="Arial" w:hAnsi="Arial" w:eastAsia="等线" w:cs="Arial"/>
          <w:b/>
          <w:color w:val="auto"/>
          <w:sz w:val="32"/>
          <w:highlight w:val="none"/>
        </w:rPr>
        <w:t>5.1型式试验</w:t>
      </w:r>
      <w:bookmarkEnd w:id="51"/>
      <w:bookmarkEnd w:id="5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color w:val="auto"/>
          <w:sz w:val="24"/>
          <w:szCs w:val="24"/>
          <w:highlight w:val="none"/>
        </w:rPr>
      </w:pPr>
      <w:r>
        <w:rPr>
          <w:rFonts w:ascii="Arial" w:hAnsi="Arial" w:eastAsia="等线" w:cs="Arial"/>
          <w:color w:val="auto"/>
          <w:sz w:val="24"/>
          <w:szCs w:val="24"/>
          <w:highlight w:val="none"/>
        </w:rPr>
        <w:t>★1.投标方所供设备需已完成第三方权威检测机构出具的型式试验，试验项目覆盖环境适应性、安全性能、可靠性、电磁兼容性、排水性能等本规范书所有技术要求，投标文件中需附完整型式试验报告原件扫描件，无报告或报告不完整作无效投标处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ascii="Arial" w:hAnsi="Arial" w:eastAsia="等线" w:cs="Arial"/>
          <w:color w:val="auto"/>
          <w:sz w:val="24"/>
          <w:szCs w:val="24"/>
          <w:highlight w:val="none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ascii="Arial" w:hAnsi="Arial" w:eastAsia="等线" w:cs="Arial"/>
          <w:color w:val="auto"/>
          <w:sz w:val="24"/>
          <w:szCs w:val="24"/>
          <w:highlight w:val="none"/>
        </w:rPr>
        <w:t>若设备为新产品定型、重大改进后首次供货，需在供货前完成型式试验并取得报告，否则招标方有权拒绝收货。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53" w:name="_Toc2072716393"/>
      <w:bookmarkStart w:id="54" w:name="heading_27"/>
      <w:r>
        <w:rPr>
          <w:rFonts w:ascii="Arial" w:hAnsi="Arial" w:eastAsia="等线" w:cs="Arial"/>
          <w:b/>
          <w:color w:val="auto"/>
          <w:sz w:val="32"/>
          <w:highlight w:val="none"/>
        </w:rPr>
        <w:t>5.2出厂试验</w:t>
      </w:r>
      <w:bookmarkEnd w:id="53"/>
      <w:bookmarkEnd w:id="5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★1.产品实行100%全检，投标方需对每台设备按本规范书全部要求进行出厂试验，检验项目包含外观检查、性能调试、安全功能测试、续航测试、遥控功能测试等，无出厂试验的设备不得出厂。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color w:val="auto"/>
          <w:highlight w:val="none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2.投标方需随设备提供每台设备的出厂检验报告原件、产品合格证原件，报告需注明检验项目、检验结果、检验人员、检验日期，加盖投标方质量检验专用章。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55" w:name="heading_28"/>
      <w:bookmarkStart w:id="56" w:name="_Toc1812179164"/>
      <w:r>
        <w:rPr>
          <w:rFonts w:ascii="Arial" w:hAnsi="Arial" w:eastAsia="等线" w:cs="Arial"/>
          <w:b/>
          <w:color w:val="auto"/>
          <w:sz w:val="32"/>
          <w:highlight w:val="none"/>
        </w:rPr>
        <w:t>5.3现场验收</w:t>
      </w:r>
      <w:bookmarkEnd w:id="55"/>
      <w:bookmarkEnd w:id="56"/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57" w:name="heading_29"/>
      <w:r>
        <w:rPr>
          <w:rFonts w:ascii="Arial" w:hAnsi="Arial" w:eastAsia="等线" w:cs="Arial"/>
          <w:b/>
          <w:color w:val="auto"/>
          <w:sz w:val="30"/>
          <w:highlight w:val="none"/>
        </w:rPr>
        <w:t>5.3.1开箱检验</w:t>
      </w:r>
      <w:bookmarkEnd w:id="5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设备到货后，招标方组织开箱检验，投标方需派技术人员到场配合，检验内容包含：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设备、配件、工具、技术资料的数量、规格是否与投标文件、供货清单一致，无缺项、错配。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设备外观无磕碰、变形、锈蚀，配件无损坏、缺失，技术资料完整、清晰。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设备铭牌、标识齐全、清晰，与产品合格证、试验报告一致。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开箱检验不合格的，招标方有权要求投标方无条件更换、补齐，产生的所有费用由投标方承担。</w:t>
      </w:r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58" w:name="heading_30"/>
      <w:r>
        <w:rPr>
          <w:rFonts w:ascii="Arial" w:hAnsi="Arial" w:eastAsia="等线" w:cs="Arial"/>
          <w:b/>
          <w:color w:val="auto"/>
          <w:sz w:val="30"/>
          <w:highlight w:val="none"/>
        </w:rPr>
        <w:t>5.3.2现场调试与试验</w:t>
      </w:r>
      <w:bookmarkEnd w:id="5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开箱检验合格后，投标方技术人员现场进行设备调试，按本规范书所有技术要求进行现场试验，包含：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行走、转向、刹车、爬坡等行走性能试验；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排水流量、扬程、升降等排水性能试验；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遥控距离、控制延迟、急停等遥控安全性能试验；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连续作业、故障保护、电磁兼容等全工况性能试验。</w:t>
      </w:r>
    </w:p>
    <w:p>
      <w:pPr>
        <w:spacing w:before="300" w:after="120" w:line="288" w:lineRule="auto"/>
        <w:ind w:left="0"/>
        <w:jc w:val="left"/>
        <w:outlineLvl w:val="2"/>
        <w:rPr>
          <w:color w:val="auto"/>
          <w:highlight w:val="none"/>
        </w:rPr>
      </w:pPr>
      <w:bookmarkStart w:id="59" w:name="heading_31"/>
      <w:r>
        <w:rPr>
          <w:rFonts w:ascii="Arial" w:hAnsi="Arial" w:eastAsia="等线" w:cs="Arial"/>
          <w:b/>
          <w:color w:val="auto"/>
          <w:sz w:val="30"/>
          <w:highlight w:val="none"/>
        </w:rPr>
        <w:t>5.3.3验收合格标准</w:t>
      </w:r>
      <w:bookmarkEnd w:id="5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现场试验所有项目均满足本规范书要求，投标方完成技术培训，招标方签署现场验收合格单，设备正式验收合格；若存在任何一项不满足要求，投标方需在招标方规定时限内整改，整改后仍不合格的，招标方有权解除合同并追究投标方违约责任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60" w:name="heading_32"/>
      <w:bookmarkStart w:id="61" w:name="_Toc1682127594"/>
      <w:r>
        <w:rPr>
          <w:rFonts w:ascii="Arial" w:hAnsi="Arial" w:eastAsia="等线" w:cs="Arial"/>
          <w:b/>
          <w:color w:val="auto"/>
          <w:sz w:val="36"/>
          <w:highlight w:val="none"/>
        </w:rPr>
        <w:t>6监造、包装、运输与贮存</w:t>
      </w:r>
      <w:bookmarkEnd w:id="60"/>
      <w:bookmarkEnd w:id="61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62" w:name="heading_33"/>
      <w:bookmarkStart w:id="63" w:name="_Toc2043743250"/>
      <w:r>
        <w:rPr>
          <w:rFonts w:ascii="Arial" w:hAnsi="Arial" w:eastAsia="等线" w:cs="Arial"/>
          <w:b/>
          <w:color w:val="auto"/>
          <w:sz w:val="32"/>
          <w:highlight w:val="none"/>
        </w:rPr>
        <w:t>6.1监造要求</w:t>
      </w:r>
      <w:bookmarkEnd w:id="62"/>
      <w:bookmarkEnd w:id="6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★1.招标方有权委派监造人员对设备的生产、组装、测试全过程进行监造，投标方需全力配合，提供生产场地、生产图纸、测试数据、工艺流程等全部相关资料，无任何隐瞒、拒绝。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2.监造过程中，若发现设备设计、制造不符合本规范书要求，招标方监造人员有权要求停工整改，投标方需立即执行，整改合格后方可继续生产。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3.监造结果作为设备出厂、验收的重要依据，监造不合格的设备不得出厂。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64" w:name="heading_34"/>
      <w:bookmarkStart w:id="65" w:name="_Toc191868985"/>
      <w:r>
        <w:rPr>
          <w:rFonts w:ascii="Arial" w:hAnsi="Arial" w:eastAsia="等线" w:cs="Arial"/>
          <w:b/>
          <w:color w:val="auto"/>
          <w:sz w:val="32"/>
          <w:highlight w:val="none"/>
        </w:rPr>
        <w:t>6.2包装要求</w:t>
      </w:r>
      <w:bookmarkEnd w:id="64"/>
      <w:bookmarkEnd w:id="6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★1.设备、配件、工具均采用防潮、防震、防水、防静电专用包装箱包装，内部用缓冲材料固定牢固，防止运输过程中磕碰、损坏，适配长途运输及野外装卸。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2.设备机身配备永久性防锈金属铭牌，标注产品型号、规格参数、制造商名称、生产日期、防护等级、出厂编号、电力安全警示、防火标识、售后服务电话等信息。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3.包装箱外侧标注设备名称、型号、重量、尺寸、起吊点、防潮/防震/易碎标识、收货单位、收货地址等信息，标注清晰、牢固。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4.随箱附带全套技术资料、产品合格证、出厂检验报告、保修卡、电力安全操作手册、配件清单，单独密封包装，置于包装箱醒目位置。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66" w:name="_Toc1369076748"/>
      <w:bookmarkStart w:id="67" w:name="heading_35"/>
      <w:r>
        <w:rPr>
          <w:rFonts w:ascii="Arial" w:hAnsi="Arial" w:eastAsia="等线" w:cs="Arial"/>
          <w:b/>
          <w:color w:val="auto"/>
          <w:sz w:val="32"/>
          <w:highlight w:val="none"/>
        </w:rPr>
        <w:t>6.3运输要求</w:t>
      </w:r>
      <w:bookmarkEnd w:id="66"/>
      <w:bookmarkEnd w:id="67"/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投标方负责设备从生产厂家至招标方指定交货地点的全程运输，承担运输过程中的所有费用、风险（含磕碰、损坏、丢失等）。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支持自动装卸或铝制爬梯、吊装、叉车多种装卸方式，适配轻卡运输，运输过程中避免剧烈振动、雨淋、暴晒、挤压，符合电力应急运输规范。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投标方需提前制定详细运输方案，报备招标方确认，运输过程中接受招标方跟踪查询，按招标方要求按时交货。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设备到货时，投标方需提供运输单据、货运保险单据（若有），供招标方查验。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68" w:name="heading_36"/>
      <w:bookmarkStart w:id="69" w:name="_Toc1933109678"/>
      <w:r>
        <w:rPr>
          <w:rFonts w:ascii="Arial" w:hAnsi="Arial" w:eastAsia="等线" w:cs="Arial"/>
          <w:b/>
          <w:color w:val="auto"/>
          <w:sz w:val="32"/>
          <w:highlight w:val="none"/>
        </w:rPr>
        <w:t>6.4贮存要求</w:t>
      </w:r>
      <w:bookmarkEnd w:id="68"/>
      <w:bookmarkEnd w:id="69"/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投标方需提供设备详细贮存要求，指导招标方进行设备贮存。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设备贮存需满足本规范书3.1章节的存储温度要求，存放于干燥、通风、无腐蚀性介质、无强电磁干扰的环境中。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备品备件、电池等需单独贮存，按要求进行防潮、防过充保护。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70" w:name="heading_37"/>
      <w:bookmarkStart w:id="71" w:name="_Toc494262683"/>
      <w:r>
        <w:rPr>
          <w:rFonts w:ascii="Arial" w:hAnsi="Arial" w:eastAsia="等线" w:cs="Arial"/>
          <w:b/>
          <w:color w:val="auto"/>
          <w:sz w:val="36"/>
          <w:highlight w:val="none"/>
        </w:rPr>
        <w:t>7质量保证与售后服务</w:t>
      </w:r>
      <w:bookmarkEnd w:id="70"/>
      <w:bookmarkEnd w:id="71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72" w:name="_Toc606166585"/>
      <w:bookmarkStart w:id="73" w:name="heading_38"/>
      <w:r>
        <w:rPr>
          <w:rFonts w:ascii="Arial" w:hAnsi="Arial" w:eastAsia="等线" w:cs="Arial"/>
          <w:b/>
          <w:color w:val="auto"/>
          <w:sz w:val="32"/>
          <w:highlight w:val="none"/>
        </w:rPr>
        <w:t>7.1质量保证要求</w:t>
      </w:r>
      <w:bookmarkEnd w:id="72"/>
      <w:bookmarkEnd w:id="7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★1.质保期：设备自现场验收合格之日起，整机质保期≥36个月，核心动力部件（发动机）、液压部件（液压泵、马达、管路等）质保期≥18个月。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2.质保期内，设备因设计、制造、材质等非人为因素出现的质量问题，投标方需免费维修、免费更换配件，承担所有维修、更换费用及往返运输费用。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3.投标方需承诺设备平均无故障工作时间（MTBF）≥500小时，质保期内若设备故障频次超出约定，招标方有权要求无条件更换设备。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4.投标方需提供终身技术支持，质保期结束后，按成本价提供备品备件、维修服务，无任何附加费用。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74" w:name="heading_39"/>
      <w:bookmarkStart w:id="75" w:name="_Toc179372727"/>
      <w:r>
        <w:rPr>
          <w:rFonts w:ascii="Arial" w:hAnsi="Arial" w:eastAsia="等线" w:cs="Arial"/>
          <w:b/>
          <w:color w:val="auto"/>
          <w:sz w:val="32"/>
          <w:highlight w:val="none"/>
        </w:rPr>
        <w:t>7.2售后服务要求</w:t>
      </w:r>
      <w:bookmarkEnd w:id="74"/>
      <w:bookmarkEnd w:id="7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★1.响应时限：接到招标方故障报修后，6小时内完成技术响应（电话、视频指导），12小时内派技术人员到达现场解决问题（偏远地区不超过24小时）；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2.现场服务：技术人员到达现场后，需在最短时间内排除故障，确保设备恢复正常使用，若无法当场解决，需提供备用设备或临时解决方案，保障电网防汛作业不受影响；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3.定期回访：质保期内，每月对设备使用情况进行一次电话回访，每季度进行一次现场巡检，及时发现并解决潜在问题，巡检结果书面反馈招标方；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4.售后档案：为每台设备建立专属售后服务档案，记录设备验收、使用、故障、维修、巡检等所有信息，全程跟踪设备运维状态，档案长期保存；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5.备件供应：投标方需在国内设立备品备件仓库，确保本项目设备的备品备件及时供应，备件供货周期≤7个工作日。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76" w:name="_Toc1797865948"/>
      <w:bookmarkStart w:id="77" w:name="heading_40"/>
      <w:r>
        <w:rPr>
          <w:rFonts w:ascii="Arial" w:hAnsi="Arial" w:eastAsia="等线" w:cs="Arial"/>
          <w:b/>
          <w:color w:val="auto"/>
          <w:sz w:val="36"/>
          <w:highlight w:val="none"/>
        </w:rPr>
        <w:t>8招标方与投标方职责</w:t>
      </w:r>
      <w:bookmarkEnd w:id="76"/>
      <w:bookmarkEnd w:id="77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78" w:name="heading_41"/>
      <w:bookmarkStart w:id="79" w:name="_Toc1638074746"/>
      <w:r>
        <w:rPr>
          <w:rFonts w:ascii="Arial" w:hAnsi="Arial" w:eastAsia="等线" w:cs="Arial"/>
          <w:b/>
          <w:color w:val="auto"/>
          <w:sz w:val="32"/>
          <w:highlight w:val="none"/>
        </w:rPr>
        <w:t>8.1招标方职责</w:t>
      </w:r>
      <w:bookmarkEnd w:id="78"/>
      <w:bookmarkEnd w:id="79"/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向投标方提供设备作业场景、技术需求、场地条件等基础资料；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配合投标方完成设备开箱检验、现场调试、验收、技术培训等工作，提供必要的现场条件；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按项目合同约定履行付款、验收等流程，及时反馈设备使用过程中的问题；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425" w:leftChars="0" w:hanging="425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按本规范书及投标方指导要求进行设备的日常使用、贮存、维护。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80" w:name="_Toc381901482"/>
      <w:bookmarkStart w:id="81" w:name="heading_42"/>
      <w:r>
        <w:rPr>
          <w:rFonts w:ascii="Arial" w:hAnsi="Arial" w:eastAsia="等线" w:cs="Arial"/>
          <w:b/>
          <w:color w:val="auto"/>
          <w:sz w:val="32"/>
          <w:highlight w:val="none"/>
        </w:rPr>
        <w:t>8.2投标方职责</w:t>
      </w:r>
      <w:bookmarkEnd w:id="80"/>
      <w:bookmarkEnd w:id="8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★1.严格按照本规范书、投标文件、项目合同要求进行设备的设计、生产、供货，</w:t>
      </w:r>
      <w:r>
        <w:rPr>
          <w:rFonts w:ascii="Arial" w:hAnsi="Arial" w:eastAsia="等线" w:cs="Arial"/>
          <w:color w:val="auto"/>
          <w:sz w:val="22"/>
          <w:highlight w:val="none"/>
        </w:rPr>
        <w:t>保证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设备质量、规格、性能与投标文件一致，无任何偏离；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2.向招标方提供完整的资质文件、型式试验报告、出厂检验报告、产品合格证、售后承诺等资料，配合招标方完成监造、开箱检验、现场验收等工作；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3.负责设备的全程运输、现场安装调试、技术培训，承担相关费用，确保设备正常投入使用；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4.按本规范书要求提供售后服务，及时解决设备使用过程中的所有质量问题，承担质保期内的所有相关费用；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5.若设备出现质量问题、供货延迟、服务不到位等情况，承担由此给招标方造成的一切损失。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82" w:name="heading_43"/>
      <w:bookmarkStart w:id="83" w:name="_Toc1937070738"/>
      <w:r>
        <w:rPr>
          <w:rFonts w:ascii="Arial" w:hAnsi="Arial" w:eastAsia="等线" w:cs="Arial"/>
          <w:b/>
          <w:color w:val="auto"/>
          <w:sz w:val="36"/>
          <w:highlight w:val="none"/>
        </w:rPr>
        <w:t>9设计联络、技术培训要求</w:t>
      </w:r>
      <w:bookmarkEnd w:id="82"/>
      <w:bookmarkEnd w:id="83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84" w:name="_Toc495805046"/>
      <w:bookmarkStart w:id="85" w:name="heading_44"/>
      <w:r>
        <w:rPr>
          <w:rFonts w:ascii="Arial" w:hAnsi="Arial" w:eastAsia="等线" w:cs="Arial"/>
          <w:b/>
          <w:color w:val="auto"/>
          <w:sz w:val="32"/>
          <w:highlight w:val="none"/>
        </w:rPr>
        <w:t>9.1设计联络会</w:t>
      </w:r>
      <w:bookmarkEnd w:id="84"/>
      <w:bookmarkEnd w:id="85"/>
    </w:p>
    <w:p>
      <w:pPr>
        <w:numPr>
          <w:ilvl w:val="0"/>
          <w:numId w:val="11"/>
        </w:numPr>
        <w:spacing w:before="120" w:after="120" w:line="288" w:lineRule="auto"/>
        <w:ind w:left="0"/>
        <w:jc w:val="left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highlight w:val="none"/>
        </w:rPr>
        <w:t>中标后7个工作日内，投标方需主动与招标方联系，根据项目需求召开</w:t>
      </w:r>
      <w:r>
        <w:rPr>
          <w:rFonts w:ascii="Arial" w:hAnsi="Arial" w:eastAsia="等线" w:cs="Arial"/>
          <w:b/>
          <w:color w:val="auto"/>
          <w:sz w:val="22"/>
          <w:highlight w:val="none"/>
        </w:rPr>
        <w:t>设计联络会</w:t>
      </w:r>
      <w:r>
        <w:rPr>
          <w:rFonts w:ascii="Arial" w:hAnsi="Arial" w:eastAsia="等线" w:cs="Arial"/>
          <w:color w:val="auto"/>
          <w:sz w:val="22"/>
          <w:highlight w:val="none"/>
        </w:rPr>
        <w:t>，确认设备技术细节、供货周期、运输方案、现场调试计划、技术培训计划等；</w:t>
      </w:r>
    </w:p>
    <w:p>
      <w:pPr>
        <w:numPr>
          <w:ilvl w:val="0"/>
          <w:numId w:val="12"/>
        </w:numPr>
        <w:spacing w:before="120" w:after="120" w:line="288" w:lineRule="auto"/>
        <w:ind w:left="0"/>
        <w:jc w:val="left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highlight w:val="none"/>
        </w:rPr>
        <w:t>设计联络会可采用现场或视频形式召开，投标方需提前准备会议资料，会后3个工作日内出具</w:t>
      </w:r>
      <w:r>
        <w:rPr>
          <w:rFonts w:ascii="Arial" w:hAnsi="Arial" w:eastAsia="等线" w:cs="Arial"/>
          <w:b/>
          <w:color w:val="auto"/>
          <w:sz w:val="22"/>
          <w:highlight w:val="none"/>
        </w:rPr>
        <w:t>设计联络会纪要</w:t>
      </w:r>
      <w:r>
        <w:rPr>
          <w:rFonts w:ascii="Arial" w:hAnsi="Arial" w:eastAsia="等线" w:cs="Arial"/>
          <w:color w:val="auto"/>
          <w:sz w:val="22"/>
          <w:highlight w:val="none"/>
        </w:rPr>
        <w:t>，经双方签字确认后作为项目合同的补充文件。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86" w:name="_Toc758857762"/>
      <w:bookmarkStart w:id="87" w:name="heading_45"/>
      <w:r>
        <w:rPr>
          <w:rFonts w:ascii="Arial" w:hAnsi="Arial" w:eastAsia="等线" w:cs="Arial"/>
          <w:b/>
          <w:color w:val="auto"/>
          <w:sz w:val="32"/>
          <w:highlight w:val="none"/>
        </w:rPr>
        <w:t>9.2技术培训要求</w:t>
      </w:r>
      <w:bookmarkEnd w:id="86"/>
      <w:bookmarkEnd w:id="8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★1.培训性质：投标方向招标方提供免费技术培训，承担培训过程中的所有费用（含师资、教材、场地、耗材等）。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2.培训对象：招标方设备操作人员、维护人员、安全管理人员，培训人数由招标方确定。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3.培训内容：包含设备工作原理、结构组成、操作规范、日常维护、故障排查、安全注意事项、应急处置流程等，确保培训人员能独立完成设备操作、日常维护、简单故障排查。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培训形式：理论培训+现场实操培训相结合，理论培训不少于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0.5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天，实操培训不少于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0.5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培训考核：培训结束后，投标方需对培训人员进行考核，考核合格颁发培训合格证书，考核不合格的需免费重新培训，直至合格。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88" w:name="heading_46"/>
      <w:bookmarkStart w:id="89" w:name="_Toc217026401"/>
      <w:r>
        <w:rPr>
          <w:rFonts w:ascii="Arial" w:hAnsi="Arial" w:eastAsia="等线" w:cs="Arial"/>
          <w:b/>
          <w:color w:val="auto"/>
          <w:sz w:val="36"/>
          <w:highlight w:val="none"/>
        </w:rPr>
        <w:t>10投标方资料提交要求</w:t>
      </w:r>
      <w:bookmarkEnd w:id="88"/>
      <w:bookmarkEnd w:id="89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90" w:name="_Toc1135489001"/>
      <w:bookmarkStart w:id="91" w:name="heading_47"/>
      <w:r>
        <w:rPr>
          <w:rFonts w:ascii="Arial" w:hAnsi="Arial" w:eastAsia="等线" w:cs="Arial"/>
          <w:b/>
          <w:color w:val="auto"/>
          <w:sz w:val="32"/>
          <w:highlight w:val="none"/>
        </w:rPr>
        <w:t>10.1资料提交时限</w:t>
      </w:r>
      <w:bookmarkEnd w:id="90"/>
      <w:bookmarkEnd w:id="9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★1.最终技术资料：在合同谈判日或收到中标通知书后（以先到为准）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3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天内，向招标方提交全部最终技术资料，经招标方确认后不得更改；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设计/运维资料：在技术协议签订后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3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天内，向招标方提供正式版的设计、监造、检验、现场安装调试、运行维护所需的图纸、说明书等技术资料，同时提供2份拷贝磁盘（图纸为AutoCADR2000版，文字资料为Word2013版）；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所有资料均需提供纸质版（加盖投标方公章）+电子版（PDF可编辑版），纸质版不少于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2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份，电子版发送至招标方指定邮箱。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92" w:name="_Toc1623952565"/>
      <w:bookmarkStart w:id="93" w:name="heading_48"/>
      <w:r>
        <w:rPr>
          <w:rFonts w:ascii="Arial" w:hAnsi="Arial" w:eastAsia="等线" w:cs="Arial"/>
          <w:b/>
          <w:color w:val="auto"/>
          <w:sz w:val="32"/>
          <w:highlight w:val="none"/>
        </w:rPr>
        <w:t>10.2主要设备/元器件来源说明</w:t>
      </w:r>
      <w:bookmarkEnd w:id="92"/>
      <w:bookmarkEnd w:id="9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投标方需在投标文件中如实填写《主要设备/元器件来源一览表》（见下表），明确所有核心设备/元器件的型号、生产厂家、地址、联系方式，承诺所有元器件为原厂正品，无贴牌、仿冒产品，投标方需附生产厂家授权证明（若有）。</w:t>
      </w:r>
    </w:p>
    <w:tbl>
      <w:tblPr>
        <w:tblStyle w:val="22"/>
        <w:tblW w:w="9335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62"/>
        <w:gridCol w:w="1623"/>
        <w:gridCol w:w="1049"/>
        <w:gridCol w:w="1145"/>
        <w:gridCol w:w="1145"/>
        <w:gridCol w:w="1145"/>
        <w:gridCol w:w="1145"/>
        <w:gridCol w:w="1321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70" w:hRule="atLeast"/>
          <w:jc w:val="center"/>
        </w:trPr>
        <w:tc>
          <w:tcPr>
            <w:tcW w:w="7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序号</w:t>
            </w:r>
          </w:p>
        </w:tc>
        <w:tc>
          <w:tcPr>
            <w:tcW w:w="162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设备/元器件名称</w:t>
            </w:r>
          </w:p>
        </w:tc>
        <w:tc>
          <w:tcPr>
            <w:tcW w:w="10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型号规格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生产厂家名称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生产厂家地址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生产厂家联系方式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是否原厂正品</w:t>
            </w:r>
          </w:p>
        </w:tc>
        <w:tc>
          <w:tcPr>
            <w:tcW w:w="13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附授权证明（是/否）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5" w:hRule="atLeast"/>
          <w:jc w:val="center"/>
        </w:trPr>
        <w:tc>
          <w:tcPr>
            <w:tcW w:w="7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</w:t>
            </w:r>
          </w:p>
        </w:tc>
        <w:tc>
          <w:tcPr>
            <w:tcW w:w="162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水泵</w:t>
            </w:r>
          </w:p>
        </w:tc>
        <w:tc>
          <w:tcPr>
            <w:tcW w:w="10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5" w:hRule="atLeast"/>
          <w:jc w:val="center"/>
        </w:trPr>
        <w:tc>
          <w:tcPr>
            <w:tcW w:w="7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</w:t>
            </w:r>
          </w:p>
        </w:tc>
        <w:tc>
          <w:tcPr>
            <w:tcW w:w="1623" w:type="dxa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 w:leftChars="0"/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铅酸电池</w:t>
            </w:r>
          </w:p>
        </w:tc>
        <w:tc>
          <w:tcPr>
            <w:tcW w:w="10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19" w:hRule="atLeast"/>
          <w:jc w:val="center"/>
        </w:trPr>
        <w:tc>
          <w:tcPr>
            <w:tcW w:w="7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3</w:t>
            </w:r>
          </w:p>
        </w:tc>
        <w:tc>
          <w:tcPr>
            <w:tcW w:w="1623" w:type="dxa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 w:leftChars="0"/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LED照明灯具</w:t>
            </w:r>
          </w:p>
        </w:tc>
        <w:tc>
          <w:tcPr>
            <w:tcW w:w="10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19" w:hRule="atLeast"/>
          <w:jc w:val="center"/>
        </w:trPr>
        <w:tc>
          <w:tcPr>
            <w:tcW w:w="7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4</w:t>
            </w:r>
          </w:p>
        </w:tc>
        <w:tc>
          <w:tcPr>
            <w:tcW w:w="1623" w:type="dxa"/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 w:leftChars="0"/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【其他核心元器件】</w:t>
            </w:r>
          </w:p>
        </w:tc>
        <w:tc>
          <w:tcPr>
            <w:tcW w:w="10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4" w:hRule="atLeast"/>
          <w:jc w:val="center"/>
        </w:trPr>
        <w:tc>
          <w:tcPr>
            <w:tcW w:w="76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62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0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1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3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</w:tbl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94" w:name="heading_49"/>
      <w:bookmarkStart w:id="95" w:name="_Toc1401090232"/>
      <w:r>
        <w:rPr>
          <w:rFonts w:ascii="Arial" w:hAnsi="Arial" w:eastAsia="等线" w:cs="Arial"/>
          <w:b/>
          <w:color w:val="auto"/>
          <w:sz w:val="32"/>
          <w:highlight w:val="none"/>
        </w:rPr>
        <w:t>10.3备品备件及专用工具提交要求</w:t>
      </w:r>
      <w:bookmarkEnd w:id="94"/>
      <w:bookmarkEnd w:id="9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投标方需在投标文件中如实填写《备品备件、专用工具和仪器仪表供货表》（见下表），明确所有备品备件、专用工具、仪器仪表的名称、型号规格、单位、数量、使用处、制造商，承诺所有物品为新品，与设备同型号、同工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2.供货表需与实际供货清单一致，不得缺项、错配，招标方现场验收按此表核对。</w:t>
      </w:r>
    </w:p>
    <w:tbl>
      <w:tblPr>
        <w:tblStyle w:val="22"/>
        <w:tblW w:w="9056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73"/>
        <w:gridCol w:w="1491"/>
        <w:gridCol w:w="1405"/>
        <w:gridCol w:w="1008"/>
        <w:gridCol w:w="1068"/>
        <w:gridCol w:w="1047"/>
        <w:gridCol w:w="969"/>
        <w:gridCol w:w="1295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</w:tblPrEx>
        <w:trPr>
          <w:trHeight w:val="577" w:hRule="atLeast"/>
        </w:trPr>
        <w:tc>
          <w:tcPr>
            <w:tcW w:w="77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序号</w:t>
            </w:r>
          </w:p>
        </w:tc>
        <w:tc>
          <w:tcPr>
            <w:tcW w:w="149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名称</w:t>
            </w:r>
          </w:p>
        </w:tc>
        <w:tc>
          <w:tcPr>
            <w:tcW w:w="14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型号及规格</w:t>
            </w:r>
          </w:p>
        </w:tc>
        <w:tc>
          <w:tcPr>
            <w:tcW w:w="10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单位</w:t>
            </w:r>
          </w:p>
        </w:tc>
        <w:tc>
          <w:tcPr>
            <w:tcW w:w="10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数量</w:t>
            </w:r>
          </w:p>
        </w:tc>
        <w:tc>
          <w:tcPr>
            <w:tcW w:w="10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使用处</w:t>
            </w:r>
          </w:p>
        </w:tc>
        <w:tc>
          <w:tcPr>
            <w:tcW w:w="96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制造商</w:t>
            </w:r>
          </w:p>
        </w:tc>
        <w:tc>
          <w:tcPr>
            <w:tcW w:w="129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备注（是否易损/易耗）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1" w:hRule="atLeast"/>
        </w:trPr>
        <w:tc>
          <w:tcPr>
            <w:tcW w:w="77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</w:t>
            </w:r>
          </w:p>
        </w:tc>
        <w:tc>
          <w:tcPr>
            <w:tcW w:w="149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both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【备品备件】</w:t>
            </w:r>
          </w:p>
        </w:tc>
        <w:tc>
          <w:tcPr>
            <w:tcW w:w="14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6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1" w:hRule="atLeast"/>
        </w:trPr>
        <w:tc>
          <w:tcPr>
            <w:tcW w:w="77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</w:t>
            </w:r>
          </w:p>
        </w:tc>
        <w:tc>
          <w:tcPr>
            <w:tcW w:w="149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both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【专用工具】</w:t>
            </w:r>
          </w:p>
        </w:tc>
        <w:tc>
          <w:tcPr>
            <w:tcW w:w="14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6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62" w:hRule="atLeast"/>
        </w:trPr>
        <w:tc>
          <w:tcPr>
            <w:tcW w:w="77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3</w:t>
            </w:r>
          </w:p>
        </w:tc>
        <w:tc>
          <w:tcPr>
            <w:tcW w:w="149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both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【仪器仪表】</w:t>
            </w:r>
          </w:p>
        </w:tc>
        <w:tc>
          <w:tcPr>
            <w:tcW w:w="14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6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64" w:hRule="atLeast"/>
        </w:trPr>
        <w:tc>
          <w:tcPr>
            <w:tcW w:w="773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9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0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06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0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6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29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</w:tbl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96" w:name="_Toc965339869"/>
      <w:bookmarkStart w:id="97" w:name="heading_50"/>
      <w:r>
        <w:rPr>
          <w:rFonts w:ascii="Arial" w:hAnsi="Arial" w:eastAsia="等线" w:cs="Arial"/>
          <w:b/>
          <w:color w:val="auto"/>
          <w:sz w:val="36"/>
          <w:highlight w:val="none"/>
        </w:rPr>
        <w:t>11投标方技术偏差说明</w:t>
      </w:r>
      <w:bookmarkEnd w:id="96"/>
      <w:bookmarkEnd w:id="97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98" w:name="_Toc228225198"/>
      <w:bookmarkStart w:id="99" w:name="heading_51"/>
      <w:r>
        <w:rPr>
          <w:rFonts w:ascii="Arial" w:hAnsi="Arial" w:eastAsia="等线" w:cs="Arial"/>
          <w:b/>
          <w:color w:val="auto"/>
          <w:sz w:val="32"/>
          <w:highlight w:val="none"/>
        </w:rPr>
        <w:t>11.1技术偏差表填报要求</w:t>
      </w:r>
      <w:bookmarkEnd w:id="98"/>
      <w:bookmarkEnd w:id="9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★1.投标方需对照本规范书所有条款，在投标文件中如实填写《投标方技术偏差表》（见下表），明确与本规范书要求的差异内容。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2.若存在技术偏差，需注明偏差条款、招标文件要求、投标文件响应内容、偏差原因，并附相关佐证材料。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3.若无技术偏差，需在偏差表中注明“本投标文件无任何技术偏差，完全满足招标文件所有技术要求”。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4.未填报技术偏差表或填报不完整的，视为投标方默认存在技术偏差，招标方有权作无效投标处理。</w:t>
      </w:r>
    </w:p>
    <w:tbl>
      <w:tblPr>
        <w:tblStyle w:val="22"/>
        <w:tblW w:w="9593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5"/>
        <w:gridCol w:w="2908"/>
        <w:gridCol w:w="1479"/>
        <w:gridCol w:w="1621"/>
        <w:gridCol w:w="1359"/>
        <w:gridCol w:w="1481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8" w:hRule="atLeast"/>
          <w:jc w:val="center"/>
        </w:trPr>
        <w:tc>
          <w:tcPr>
            <w:tcW w:w="7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序号</w:t>
            </w:r>
          </w:p>
        </w:tc>
        <w:tc>
          <w:tcPr>
            <w:tcW w:w="29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招标文件条款/条目</w:t>
            </w:r>
          </w:p>
        </w:tc>
        <w:tc>
          <w:tcPr>
            <w:tcW w:w="147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招标文件要求（简要）</w:t>
            </w:r>
          </w:p>
        </w:tc>
        <w:tc>
          <w:tcPr>
            <w:tcW w:w="16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投标文件响应内容（简要）</w:t>
            </w:r>
          </w:p>
        </w:tc>
        <w:tc>
          <w:tcPr>
            <w:tcW w:w="135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偏差类型（正/负/无）</w:t>
            </w:r>
          </w:p>
        </w:tc>
        <w:tc>
          <w:tcPr>
            <w:tcW w:w="148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偏差原因及佐证材料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8" w:hRule="atLeast"/>
          <w:jc w:val="center"/>
        </w:trPr>
        <w:tc>
          <w:tcPr>
            <w:tcW w:w="7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</w:t>
            </w:r>
          </w:p>
        </w:tc>
        <w:tc>
          <w:tcPr>
            <w:tcW w:w="29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7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6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35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8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8" w:hRule="atLeast"/>
          <w:jc w:val="center"/>
        </w:trPr>
        <w:tc>
          <w:tcPr>
            <w:tcW w:w="7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2</w:t>
            </w:r>
          </w:p>
        </w:tc>
        <w:tc>
          <w:tcPr>
            <w:tcW w:w="29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7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6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35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8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8" w:hRule="atLeast"/>
          <w:jc w:val="center"/>
        </w:trPr>
        <w:tc>
          <w:tcPr>
            <w:tcW w:w="7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3</w:t>
            </w:r>
          </w:p>
        </w:tc>
        <w:tc>
          <w:tcPr>
            <w:tcW w:w="29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7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6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35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8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8" w:hRule="atLeast"/>
          <w:jc w:val="center"/>
        </w:trPr>
        <w:tc>
          <w:tcPr>
            <w:tcW w:w="7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29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7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6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35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148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29" w:hRule="atLeast"/>
          <w:jc w:val="center"/>
        </w:trPr>
        <w:tc>
          <w:tcPr>
            <w:tcW w:w="74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b/>
                <w:color w:val="auto"/>
                <w:sz w:val="22"/>
                <w:highlight w:val="none"/>
              </w:rPr>
              <w:t>注</w:t>
            </w:r>
          </w:p>
        </w:tc>
        <w:tc>
          <w:tcPr>
            <w:tcW w:w="29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本投标文件共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条偏差，其中正偏差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条，负偏差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条，无偏差</w:t>
            </w:r>
            <w:r>
              <w:rPr>
                <w:rFonts w:hint="eastAsia" w:ascii="Arial" w:hAnsi="Arial" w:eastAsia="等线" w:cs="Arial"/>
                <w:color w:val="auto"/>
                <w:sz w:val="22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条</w:t>
            </w:r>
          </w:p>
        </w:tc>
        <w:tc>
          <w:tcPr>
            <w:tcW w:w="147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——</w:t>
            </w:r>
          </w:p>
        </w:tc>
        <w:tc>
          <w:tcPr>
            <w:tcW w:w="162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——</w:t>
            </w:r>
          </w:p>
        </w:tc>
        <w:tc>
          <w:tcPr>
            <w:tcW w:w="135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——</w:t>
            </w:r>
          </w:p>
        </w:tc>
        <w:tc>
          <w:tcPr>
            <w:tcW w:w="148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——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投标方（盖章）：____________________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法定代表人/授权委托人（签字）：____________________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日期：______年____月____日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00" w:name="_Toc375109244"/>
      <w:bookmarkStart w:id="101" w:name="heading_52"/>
      <w:r>
        <w:rPr>
          <w:rFonts w:ascii="Arial" w:hAnsi="Arial" w:eastAsia="等线" w:cs="Arial"/>
          <w:b/>
          <w:color w:val="auto"/>
          <w:sz w:val="32"/>
          <w:highlight w:val="none"/>
        </w:rPr>
        <w:t>11.2其他问题说明要求</w:t>
      </w:r>
      <w:bookmarkEnd w:id="100"/>
      <w:bookmarkEnd w:id="10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若投标方有其他需要说明的技术、供货、服务等问题，需以书面形式在投标文件中单独说明，加盖投标方公章，未书面说明的，视为投标方认可本规范书所有约定。</w:t>
      </w:r>
    </w:p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102" w:name="heading_53"/>
      <w:bookmarkStart w:id="103" w:name="_Toc1596559963"/>
      <w:r>
        <w:rPr>
          <w:rFonts w:ascii="Arial" w:hAnsi="Arial" w:eastAsia="等线" w:cs="Arial"/>
          <w:b/>
          <w:color w:val="auto"/>
          <w:sz w:val="36"/>
          <w:highlight w:val="none"/>
        </w:rPr>
        <w:t>12设计图纸提交要求</w:t>
      </w:r>
      <w:bookmarkEnd w:id="102"/>
      <w:bookmarkEnd w:id="103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04" w:name="_Toc575128876"/>
      <w:bookmarkStart w:id="105" w:name="heading_54"/>
      <w:r>
        <w:rPr>
          <w:rFonts w:ascii="Arial" w:hAnsi="Arial" w:eastAsia="等线" w:cs="Arial"/>
          <w:b/>
          <w:color w:val="auto"/>
          <w:sz w:val="32"/>
          <w:highlight w:val="none"/>
        </w:rPr>
        <w:t>12.1提交形式与要求</w:t>
      </w:r>
      <w:bookmarkEnd w:id="104"/>
      <w:bookmarkEnd w:id="10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★1.所有设计图纸、技术资料均需由投标方加盖公章后提交至招标方指定单位，图纸需按国家制图标准绘制，清晰、准确、完整；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2.提交形式：纸质版+电子版，纸质版需装订成册，电子版包含PDF版（不可编辑）+可编辑版（AutoCAD/Word/Excel等）；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3.提交份数：纸质版不少于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2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份，电子版不少于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1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份，按招标方要求提交至设计单位、项目单位。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06" w:name="_Toc367123785"/>
      <w:bookmarkStart w:id="107" w:name="heading_55"/>
      <w:r>
        <w:rPr>
          <w:rFonts w:ascii="Arial" w:hAnsi="Arial" w:eastAsia="等线" w:cs="Arial"/>
          <w:b/>
          <w:color w:val="auto"/>
          <w:sz w:val="32"/>
          <w:highlight w:val="none"/>
        </w:rPr>
        <w:t>12.2扩建工程接口要求</w:t>
      </w:r>
      <w:bookmarkEnd w:id="106"/>
      <w:bookmarkEnd w:id="10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若本项目设备用于电网扩建、改造工程，投标方需提前赴现场勘察，明确现有土建基础、电力接口、排水管路的尺寸、规格，确保设备与现有电网设施无缝对接，投标方需承担现场勘察费用，若因勘察不到位导致设备无法对接，由投标方无条件整改。</w:t>
      </w:r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08" w:name="heading_56"/>
      <w:bookmarkStart w:id="109" w:name="_Toc528936664"/>
      <w:r>
        <w:rPr>
          <w:rFonts w:ascii="Arial" w:hAnsi="Arial" w:eastAsia="等线" w:cs="Arial"/>
          <w:b/>
          <w:color w:val="auto"/>
          <w:sz w:val="32"/>
          <w:highlight w:val="none"/>
        </w:rPr>
        <w:t>12.3图纸资料提交明细</w:t>
      </w:r>
      <w:bookmarkEnd w:id="108"/>
      <w:bookmarkEnd w:id="10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投标方需按下表要求向招标方设计单位、项目单位提交图纸资料，明确提交份数、提交时间，未按要求提交的，视为投标方违约。</w:t>
      </w:r>
    </w:p>
    <w:tbl>
      <w:tblPr>
        <w:tblStyle w:val="22"/>
        <w:tblW w:w="9200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40"/>
        <w:gridCol w:w="1840"/>
        <w:gridCol w:w="1840"/>
        <w:gridCol w:w="1840"/>
        <w:gridCol w:w="184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提交图纸资料名称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接收单位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提交份数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提交时间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备注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设备总装配图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AutoCADR2000版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设备基础图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AutoCADR2000版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液压系统原理图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AutoCADR2000版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电气控制系统原理图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AutoCADR2000版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设备安装使用说明书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Word2013版+PDF版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设备维护手册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Word2013版+PDF版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型式试验报告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PDF版（原件扫描）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出厂检验报告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PDF版（原件扫描）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4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产品合格证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PDF版（原件扫描）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9" w:hRule="atLeast"/>
          <w:jc w:val="center"/>
        </w:trPr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【其他图纸资料】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设计单位/项目单位</w:t>
            </w: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——</w:t>
            </w:r>
          </w:p>
        </w:tc>
      </w:tr>
    </w:tbl>
    <w:p>
      <w:pPr>
        <w:spacing w:before="380" w:after="140" w:line="288" w:lineRule="auto"/>
        <w:ind w:left="0"/>
        <w:jc w:val="left"/>
        <w:outlineLvl w:val="0"/>
        <w:rPr>
          <w:color w:val="auto"/>
          <w:highlight w:val="none"/>
        </w:rPr>
      </w:pPr>
      <w:bookmarkStart w:id="110" w:name="heading_57"/>
      <w:bookmarkStart w:id="111" w:name="_Toc1403696915"/>
      <w:r>
        <w:rPr>
          <w:rFonts w:ascii="Arial" w:hAnsi="Arial" w:eastAsia="等线" w:cs="Arial"/>
          <w:b/>
          <w:color w:val="auto"/>
          <w:sz w:val="36"/>
          <w:highlight w:val="none"/>
        </w:rPr>
        <w:t>13其他要求</w:t>
      </w:r>
      <w:bookmarkEnd w:id="110"/>
      <w:bookmarkEnd w:id="111"/>
    </w:p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12" w:name="_Toc1826188110"/>
      <w:bookmarkStart w:id="113" w:name="heading_58"/>
      <w:r>
        <w:rPr>
          <w:rFonts w:ascii="Arial" w:hAnsi="Arial" w:eastAsia="等线" w:cs="Arial"/>
          <w:b/>
          <w:color w:val="auto"/>
          <w:sz w:val="32"/>
          <w:highlight w:val="none"/>
        </w:rPr>
        <w:t>13.1全生命周期成本（LCC）资料</w:t>
      </w:r>
      <w:bookmarkEnd w:id="112"/>
      <w:bookmarkEnd w:id="1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480" w:firstLineChars="20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★投标方需在投标文件中如实填写《设备投资成本费用表》（见下表），按要求提供设备全生命周期成本相关资料，同时提供专用工具、备品备件、在线监测装置的详细清单，所有数据真实、准确，无虚报、瞒报。</w:t>
      </w:r>
    </w:p>
    <w:tbl>
      <w:tblPr>
        <w:tblStyle w:val="22"/>
        <w:tblW w:w="9160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6"/>
        <w:gridCol w:w="916"/>
        <w:gridCol w:w="916"/>
        <w:gridCol w:w="916"/>
        <w:gridCol w:w="916"/>
        <w:gridCol w:w="916"/>
        <w:gridCol w:w="916"/>
        <w:gridCol w:w="916"/>
        <w:gridCol w:w="916"/>
        <w:gridCol w:w="916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16" w:hRule="atLeast"/>
          <w:jc w:val="center"/>
        </w:trPr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序号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设备型号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数量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设备单价（元）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专用工具费（元）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备品备件费（元）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调试费用（元）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现场服务费（元）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运输费（元）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合计费用（元）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8" w:hRule="atLeast"/>
          <w:jc w:val="center"/>
        </w:trPr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1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8" w:hRule="atLeast"/>
          <w:jc w:val="center"/>
        </w:trPr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color w:val="auto"/>
                <w:sz w:val="22"/>
                <w:highlight w:val="none"/>
              </w:rPr>
              <w:t>...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1" w:hRule="atLeast"/>
          <w:jc w:val="center"/>
        </w:trPr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rFonts w:ascii="Arial" w:hAnsi="Arial" w:eastAsia="等线" w:cs="Arial"/>
                <w:b/>
                <w:color w:val="auto"/>
                <w:sz w:val="22"/>
                <w:highlight w:val="none"/>
              </w:rPr>
              <w:t>总计</w:t>
            </w: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1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color w:val="auto"/>
                <w:highlight w:val="none"/>
              </w:rPr>
            </w:pPr>
          </w:p>
        </w:tc>
      </w:tr>
    </w:tbl>
    <w:p>
      <w:pPr>
        <w:spacing w:before="320" w:after="120" w:line="288" w:lineRule="auto"/>
        <w:ind w:left="0"/>
        <w:jc w:val="left"/>
        <w:outlineLvl w:val="1"/>
        <w:rPr>
          <w:color w:val="auto"/>
          <w:highlight w:val="none"/>
        </w:rPr>
      </w:pPr>
      <w:bookmarkStart w:id="114" w:name="_Toc907281846"/>
      <w:bookmarkStart w:id="115" w:name="heading_59"/>
      <w:r>
        <w:rPr>
          <w:rFonts w:ascii="Arial" w:hAnsi="Arial" w:eastAsia="等线" w:cs="Arial"/>
          <w:b/>
          <w:color w:val="auto"/>
          <w:sz w:val="32"/>
          <w:highlight w:val="none"/>
        </w:rPr>
        <w:t>13.2其他强制性约定</w:t>
      </w:r>
      <w:bookmarkEnd w:id="114"/>
      <w:bookmarkEnd w:id="115"/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投标方需承诺在本项目中标后，按招标方要求按时、按质、按量供货，供货周期不得超过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30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天（自合同签订之日起），若延迟供货，每延迟一天按合同总价的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1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‰支付违约金，延迟超过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u w:val="single"/>
          <w:lang w:val="en-US" w:eastAsia="zh-CN"/>
        </w:rPr>
        <w:t xml:space="preserve">  15  </w:t>
      </w: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天的，招标方有权解除合同；</w:t>
      </w:r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投标方需承诺所供设备符合国家环保、安全标准，无任何环境污染、安全隐患，若因设备环保、安全问题给招标方造成损失，由投标方承担全部责任；</w:t>
      </w:r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本规范书为项目招标合同的重要组成部分，与招标合同具有同等法律效力，双方均需严格遵守；</w:t>
      </w:r>
    </w:p>
    <w:p>
      <w:pPr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0" w:firstLineChars="0"/>
        <w:jc w:val="left"/>
        <w:textAlignment w:val="auto"/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4"/>
          <w:szCs w:val="24"/>
          <w:highlight w:val="none"/>
          <w:lang w:val="en-US" w:eastAsia="zh-CN"/>
        </w:rPr>
        <w:t>本规范书未尽事宜，由双方协商解决，协商结果以书面形式作为本规范书的补充文件，加盖双方公章后生效。</w:t>
      </w:r>
    </w:p>
    <w:p>
      <w:pPr>
        <w:spacing w:before="120" w:after="120" w:line="288" w:lineRule="auto"/>
        <w:ind w:left="0"/>
        <w:jc w:val="left"/>
        <w:rPr>
          <w:color w:val="auto"/>
          <w:highlight w:val="none"/>
        </w:rPr>
      </w:pPr>
      <w:r>
        <w:rPr>
          <w:rFonts w:hint="eastAsia" w:ascii="Arial" w:hAnsi="Arial" w:eastAsia="等线" w:cs="Arial"/>
          <w:b/>
          <w:color w:val="auto"/>
          <w:sz w:val="22"/>
          <w:highlight w:val="none"/>
          <w:lang w:val="en-US" w:eastAsia="zh-CN"/>
        </w:rPr>
        <w:t>投标</w:t>
      </w:r>
      <w:r>
        <w:rPr>
          <w:rFonts w:ascii="Arial" w:hAnsi="Arial" w:eastAsia="等线" w:cs="Arial"/>
          <w:b/>
          <w:color w:val="auto"/>
          <w:sz w:val="22"/>
          <w:highlight w:val="none"/>
        </w:rPr>
        <w:t>单位（盖章）</w:t>
      </w:r>
      <w:r>
        <w:rPr>
          <w:rFonts w:ascii="Arial" w:hAnsi="Arial" w:eastAsia="等线" w:cs="Arial"/>
          <w:color w:val="auto"/>
          <w:sz w:val="22"/>
          <w:highlight w:val="none"/>
        </w:rPr>
        <w:t>：</w:t>
      </w:r>
    </w:p>
    <w:p>
      <w:pPr>
        <w:spacing w:before="120" w:after="120" w:line="288" w:lineRule="auto"/>
        <w:ind w:left="0"/>
        <w:jc w:val="left"/>
        <w:rPr>
          <w:color w:val="auto"/>
          <w:highlight w:val="none"/>
        </w:rPr>
      </w:pPr>
      <w:r>
        <w:rPr>
          <w:rFonts w:ascii="Arial" w:hAnsi="Arial" w:eastAsia="等线" w:cs="Arial"/>
          <w:b/>
          <w:color w:val="auto"/>
          <w:sz w:val="22"/>
          <w:highlight w:val="none"/>
        </w:rPr>
        <w:t>法定代表人/授权委托人（签字）</w:t>
      </w:r>
      <w:r>
        <w:rPr>
          <w:rFonts w:ascii="Arial" w:hAnsi="Arial" w:eastAsia="等线" w:cs="Arial"/>
          <w:color w:val="auto"/>
          <w:sz w:val="22"/>
          <w:highlight w:val="none"/>
        </w:rPr>
        <w:t>：____________________</w:t>
      </w:r>
    </w:p>
    <w:p>
      <w:pPr>
        <w:spacing w:before="120" w:after="120" w:line="288" w:lineRule="auto"/>
        <w:ind w:left="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ascii="Arial" w:hAnsi="Arial" w:eastAsia="等线" w:cs="Arial"/>
          <w:b/>
          <w:color w:val="auto"/>
          <w:sz w:val="22"/>
          <w:highlight w:val="none"/>
        </w:rPr>
        <w:t>日期</w:t>
      </w:r>
      <w:r>
        <w:rPr>
          <w:rFonts w:ascii="Arial" w:hAnsi="Arial" w:eastAsia="等线" w:cs="Arial"/>
          <w:color w:val="auto"/>
          <w:sz w:val="22"/>
          <w:highlight w:val="none"/>
        </w:rPr>
        <w:t>：</w:t>
      </w:r>
      <w:r>
        <w:rPr>
          <w:rFonts w:hint="eastAsia" w:ascii="Arial" w:hAnsi="Arial" w:eastAsia="等线" w:cs="Arial"/>
          <w:color w:val="auto"/>
          <w:sz w:val="22"/>
          <w:highlight w:val="none"/>
          <w:u w:val="single"/>
          <w:lang w:val="en-US" w:eastAsia="zh-CN"/>
        </w:rPr>
        <w:t xml:space="preserve">     </w:t>
      </w:r>
      <w:r>
        <w:rPr>
          <w:rFonts w:ascii="Arial" w:hAnsi="Arial" w:eastAsia="等线" w:cs="Arial"/>
          <w:color w:val="auto"/>
          <w:sz w:val="22"/>
          <w:highlight w:val="none"/>
        </w:rPr>
        <w:t>年</w:t>
      </w:r>
      <w:r>
        <w:rPr>
          <w:rFonts w:hint="eastAsia" w:ascii="Arial" w:hAnsi="Arial" w:eastAsia="等线" w:cs="Arial"/>
          <w:color w:val="auto"/>
          <w:sz w:val="22"/>
          <w:highlight w:val="none"/>
          <w:u w:val="single"/>
          <w:lang w:val="en-US" w:eastAsia="zh-CN"/>
        </w:rPr>
        <w:t xml:space="preserve">     </w:t>
      </w:r>
      <w:r>
        <w:rPr>
          <w:rFonts w:ascii="Arial" w:hAnsi="Arial" w:eastAsia="等线" w:cs="Arial"/>
          <w:color w:val="auto"/>
          <w:sz w:val="22"/>
          <w:highlight w:val="none"/>
        </w:rPr>
        <w:t>月</w:t>
      </w:r>
      <w:r>
        <w:rPr>
          <w:rFonts w:hint="eastAsia" w:ascii="Arial" w:hAnsi="Arial" w:eastAsia="等线" w:cs="Arial"/>
          <w:color w:val="auto"/>
          <w:sz w:val="22"/>
          <w:highlight w:val="none"/>
          <w:u w:val="single"/>
          <w:lang w:val="en-US" w:eastAsia="zh-CN"/>
        </w:rPr>
        <w:t xml:space="preserve">     </w:t>
      </w:r>
      <w:r>
        <w:rPr>
          <w:rFonts w:ascii="Arial" w:hAnsi="Arial" w:eastAsia="等线" w:cs="Arial"/>
          <w:color w:val="auto"/>
          <w:sz w:val="22"/>
          <w:highlight w:val="none"/>
        </w:rPr>
        <w:t>日</w:t>
      </w:r>
    </w:p>
    <w:sectPr>
      <w:headerReference r:id="rId8" w:type="default"/>
      <w:footerReference r:id="rId9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3"/>
      <w:ind w:right="360" w:firstLine="360"/>
      <w:rPr>
        <w:rStyle w:val="2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framePr w:wrap="around" w:vAnchor="page" w:hAnchor="page" w:xAlign="right" w:yAlign="center"/>
      <w:rPr>
        <w:rStyle w:val="25"/>
      </w:rPr>
    </w:pPr>
    <w:r>
      <w:fldChar w:fldCharType="begin"/>
    </w:r>
    <w:r>
      <w:rPr>
        <w:rStyle w:val="25"/>
      </w:rPr>
      <w:instrText xml:space="preserve">PAGE  </w:instrText>
    </w:r>
    <w:r>
      <w:fldChar w:fldCharType="separate"/>
    </w:r>
    <w:r>
      <w:rPr>
        <w:rStyle w:val="25"/>
      </w:rPr>
      <w:t>II</w:t>
    </w:r>
    <w:r>
      <w:fldChar w:fldCharType="end"/>
    </w:r>
  </w:p>
  <w:p>
    <w:pPr>
      <w:pStyle w:val="34"/>
      <w:ind w:right="360"/>
      <w:rPr>
        <w:rStyle w:val="25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both"/>
      <w:rPr>
        <w:rFonts w:hint="default"/>
        <w:lang w:val="en-US"/>
      </w:rPr>
    </w:pPr>
    <w:r>
      <w:rPr>
        <w:rFonts w:hint="eastAsia"/>
      </w:rPr>
      <w:t>中国南方电网有限责任公司500kV变电站计算机监控系统标准技术标书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</w:pPr>
    <w:r>
      <w:rPr>
        <w:rFonts w:hint="eastAsia"/>
      </w:rPr>
      <w:t>中国南方电网有限责任公司500kV线路保护标准技术标书第</w:t>
    </w:r>
    <w:r>
      <w:fldChar w:fldCharType="begin"/>
    </w:r>
    <w:r>
      <w:rPr>
        <w:rStyle w:val="25"/>
      </w:rPr>
      <w:instrText xml:space="preserve"> PAGE </w:instrText>
    </w:r>
    <w:r>
      <w:fldChar w:fldCharType="separate"/>
    </w:r>
    <w:r>
      <w:rPr>
        <w:rStyle w:val="25"/>
      </w:rPr>
      <w:t>II</w:t>
    </w:r>
    <w:r>
      <w:fldChar w:fldCharType="end"/>
    </w:r>
    <w:r>
      <w:rPr>
        <w:rFonts w:hint="eastAsia"/>
      </w:rPr>
      <w:t>页/共</w:t>
    </w:r>
    <w:r>
      <w:fldChar w:fldCharType="begin"/>
    </w:r>
    <w:r>
      <w:rPr>
        <w:rStyle w:val="25"/>
      </w:rPr>
      <w:instrText xml:space="preserve"> NUMPAGES </w:instrText>
    </w:r>
    <w:r>
      <w:fldChar w:fldCharType="separate"/>
    </w:r>
    <w:r>
      <w:rPr>
        <w:rStyle w:val="25"/>
      </w:rPr>
      <w:t>59</w:t>
    </w:r>
    <w:r>
      <w:fldChar w:fldCharType="end"/>
    </w:r>
    <w:r>
      <w:rPr>
        <w:rFonts w:hint="eastAsia"/>
      </w:rPr>
      <w:t>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center"/>
    </w:pPr>
    <w:r>
      <w:rPr>
        <w:rFonts w:hint="eastAsia"/>
        <w:lang w:val="en-US" w:eastAsia="zh-CN"/>
      </w:rPr>
      <w:t xml:space="preserve">抽水机技术规范书 </w:t>
    </w:r>
    <w:r>
      <w:rPr>
        <w:rFonts w:hint="eastAsia"/>
        <w:kern w:val="0"/>
        <w:szCs w:val="21"/>
      </w:rPr>
      <w:t>第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58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>页共30页</w:t>
    </w:r>
  </w:p>
  <w:p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FFA1D7"/>
    <w:multiLevelType w:val="singleLevel"/>
    <w:tmpl w:val="9FFFA1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D9A5B8C"/>
    <w:multiLevelType w:val="singleLevel"/>
    <w:tmpl w:val="AD9A5B8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ADE61FC9"/>
    <w:multiLevelType w:val="singleLevel"/>
    <w:tmpl w:val="ADE61FC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">
    <w:nsid w:val="CFFE981F"/>
    <w:multiLevelType w:val="singleLevel"/>
    <w:tmpl w:val="CFFE981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D90EB951"/>
    <w:multiLevelType w:val="multilevel"/>
    <w:tmpl w:val="D90EB951"/>
    <w:lvl w:ilvl="0" w:tentative="0">
      <w:start w:val="1"/>
      <w:numFmt w:val="decimal"/>
      <w:pStyle w:val="2"/>
      <w:lvlText w:val="%1"/>
      <w:lvlJc w:val="left"/>
      <w:pPr>
        <w:ind w:left="672" w:hanging="432"/>
      </w:pPr>
      <w:rPr>
        <w:rFonts w:hint="default"/>
      </w:rPr>
    </w:lvl>
    <w:lvl w:ilvl="1" w:tentative="0">
      <w:start w:val="1"/>
      <w:numFmt w:val="decimal"/>
      <w:pStyle w:val="3"/>
      <w:lvlText w:val="%1.%2"/>
      <w:lvlJc w:val="left"/>
      <w:pPr>
        <w:ind w:left="816" w:hanging="576"/>
      </w:pPr>
    </w:lvl>
    <w:lvl w:ilvl="2" w:tentative="0">
      <w:start w:val="1"/>
      <w:numFmt w:val="decimal"/>
      <w:lvlText w:val="%1.%2.%3"/>
      <w:lvlJc w:val="left"/>
      <w:pPr>
        <w:ind w:left="960" w:hanging="720"/>
      </w:pPr>
    </w:lvl>
    <w:lvl w:ilvl="3" w:tentative="0">
      <w:start w:val="1"/>
      <w:numFmt w:val="decimal"/>
      <w:lvlText w:val="%1.%2.%3.%4"/>
      <w:lvlJc w:val="left"/>
      <w:pPr>
        <w:ind w:left="110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24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39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53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68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824" w:hanging="1584"/>
      </w:pPr>
    </w:lvl>
  </w:abstractNum>
  <w:abstractNum w:abstractNumId="5">
    <w:nsid w:val="EDFEB5F5"/>
    <w:multiLevelType w:val="singleLevel"/>
    <w:tmpl w:val="EDFEB5F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EFFE0449"/>
    <w:multiLevelType w:val="singleLevel"/>
    <w:tmpl w:val="EFFE04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F7FA0EC0"/>
    <w:multiLevelType w:val="singleLevel"/>
    <w:tmpl w:val="F7FA0EC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FBDD7E79"/>
    <w:multiLevelType w:val="singleLevel"/>
    <w:tmpl w:val="FBDD7E7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FFFE1F00"/>
    <w:multiLevelType w:val="singleLevel"/>
    <w:tmpl w:val="FFFE1F00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10">
    <w:nsid w:val="1FFEA863"/>
    <w:multiLevelType w:val="singleLevel"/>
    <w:tmpl w:val="1FFEA86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6E089B07"/>
    <w:multiLevelType w:val="multilevel"/>
    <w:tmpl w:val="6E089B07"/>
    <w:lvl w:ilvl="0" w:tentative="0">
      <w:start w:val="1"/>
      <w:numFmt w:val="decimal"/>
      <w:lvlText w:val="%1."/>
      <w:lvlJc w:val="left"/>
      <w:pPr>
        <w:ind w:left="708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992" w:hanging="567"/>
      </w:pPr>
      <w:rPr>
        <w:rFonts w:hint="default"/>
      </w:rPr>
    </w:lvl>
    <w:lvl w:ilvl="2" w:tentative="0">
      <w:start w:val="1"/>
      <w:numFmt w:val="decimal"/>
      <w:pStyle w:val="4"/>
      <w:lvlText w:val="%1.%2.%3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pStyle w:val="5"/>
      <w:lvlText w:val="%1.%2.%3.%4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2">
    <w:nsid w:val="78FEBE3D"/>
    <w:multiLevelType w:val="singleLevel"/>
    <w:tmpl w:val="78FEBE3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10"/>
  </w:num>
  <w:num w:numId="5">
    <w:abstractNumId w:val="0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12"/>
  </w:num>
  <w:num w:numId="11">
    <w:abstractNumId w:val="5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952E15"/>
    <w:rsid w:val="00026BDC"/>
    <w:rsid w:val="00090A50"/>
    <w:rsid w:val="0014701E"/>
    <w:rsid w:val="00167F7D"/>
    <w:rsid w:val="001D55EE"/>
    <w:rsid w:val="001D71BB"/>
    <w:rsid w:val="002E67D4"/>
    <w:rsid w:val="006139D8"/>
    <w:rsid w:val="006140F3"/>
    <w:rsid w:val="00685B1C"/>
    <w:rsid w:val="006D051E"/>
    <w:rsid w:val="009B3963"/>
    <w:rsid w:val="009E29F3"/>
    <w:rsid w:val="00A01D77"/>
    <w:rsid w:val="00A06255"/>
    <w:rsid w:val="00A53153"/>
    <w:rsid w:val="00A74C23"/>
    <w:rsid w:val="00A940F9"/>
    <w:rsid w:val="00AD4589"/>
    <w:rsid w:val="00BF40A5"/>
    <w:rsid w:val="00C048CB"/>
    <w:rsid w:val="00C77D0D"/>
    <w:rsid w:val="00D05161"/>
    <w:rsid w:val="00D17187"/>
    <w:rsid w:val="00DB59F4"/>
    <w:rsid w:val="00E14D95"/>
    <w:rsid w:val="00E15985"/>
    <w:rsid w:val="00E5510A"/>
    <w:rsid w:val="011B0A67"/>
    <w:rsid w:val="011F59FD"/>
    <w:rsid w:val="01203084"/>
    <w:rsid w:val="012A1E78"/>
    <w:rsid w:val="012D564F"/>
    <w:rsid w:val="01840F9B"/>
    <w:rsid w:val="018803C8"/>
    <w:rsid w:val="01AB3D9B"/>
    <w:rsid w:val="01B2567D"/>
    <w:rsid w:val="01D803FB"/>
    <w:rsid w:val="01E156DD"/>
    <w:rsid w:val="01E81E94"/>
    <w:rsid w:val="023B0FEE"/>
    <w:rsid w:val="02407E6F"/>
    <w:rsid w:val="025D0792"/>
    <w:rsid w:val="028D2630"/>
    <w:rsid w:val="02A64F18"/>
    <w:rsid w:val="02AD34F4"/>
    <w:rsid w:val="02CE5028"/>
    <w:rsid w:val="02D4600D"/>
    <w:rsid w:val="02DD2233"/>
    <w:rsid w:val="03002861"/>
    <w:rsid w:val="03074EB4"/>
    <w:rsid w:val="035B7934"/>
    <w:rsid w:val="036D7D6E"/>
    <w:rsid w:val="03A10192"/>
    <w:rsid w:val="03A466CC"/>
    <w:rsid w:val="03B44492"/>
    <w:rsid w:val="03BF6775"/>
    <w:rsid w:val="03C74BB5"/>
    <w:rsid w:val="03F32240"/>
    <w:rsid w:val="04086400"/>
    <w:rsid w:val="04300676"/>
    <w:rsid w:val="0478706F"/>
    <w:rsid w:val="047C1254"/>
    <w:rsid w:val="04AE1EE2"/>
    <w:rsid w:val="04B55092"/>
    <w:rsid w:val="04C77462"/>
    <w:rsid w:val="04D563B3"/>
    <w:rsid w:val="04F35ED1"/>
    <w:rsid w:val="05000C12"/>
    <w:rsid w:val="0588047B"/>
    <w:rsid w:val="05AF51F5"/>
    <w:rsid w:val="05B22790"/>
    <w:rsid w:val="05B97AB5"/>
    <w:rsid w:val="05C33511"/>
    <w:rsid w:val="05FC51B4"/>
    <w:rsid w:val="0658212B"/>
    <w:rsid w:val="066D7188"/>
    <w:rsid w:val="067F60AD"/>
    <w:rsid w:val="069035DF"/>
    <w:rsid w:val="069C5AEE"/>
    <w:rsid w:val="06C55D6E"/>
    <w:rsid w:val="06DE214A"/>
    <w:rsid w:val="06E230F6"/>
    <w:rsid w:val="06F50192"/>
    <w:rsid w:val="06F7182F"/>
    <w:rsid w:val="070A57E0"/>
    <w:rsid w:val="071C2053"/>
    <w:rsid w:val="071F38F9"/>
    <w:rsid w:val="072040EA"/>
    <w:rsid w:val="075340CC"/>
    <w:rsid w:val="07760245"/>
    <w:rsid w:val="077A10F2"/>
    <w:rsid w:val="07857B54"/>
    <w:rsid w:val="078B3C70"/>
    <w:rsid w:val="07A80A90"/>
    <w:rsid w:val="07D52BA9"/>
    <w:rsid w:val="07EC0390"/>
    <w:rsid w:val="07F34E21"/>
    <w:rsid w:val="080C1215"/>
    <w:rsid w:val="08273D19"/>
    <w:rsid w:val="08465321"/>
    <w:rsid w:val="084C3617"/>
    <w:rsid w:val="089E5A3A"/>
    <w:rsid w:val="08AD46A1"/>
    <w:rsid w:val="08B47A02"/>
    <w:rsid w:val="08B845C9"/>
    <w:rsid w:val="08BE7DE2"/>
    <w:rsid w:val="08BF53CC"/>
    <w:rsid w:val="090F03B5"/>
    <w:rsid w:val="091A553F"/>
    <w:rsid w:val="091D250E"/>
    <w:rsid w:val="09263E2D"/>
    <w:rsid w:val="09294BCB"/>
    <w:rsid w:val="095D0688"/>
    <w:rsid w:val="097E7F40"/>
    <w:rsid w:val="09916C07"/>
    <w:rsid w:val="099E34E5"/>
    <w:rsid w:val="09C2147F"/>
    <w:rsid w:val="09D70479"/>
    <w:rsid w:val="09DB692B"/>
    <w:rsid w:val="09E51E0E"/>
    <w:rsid w:val="09E76C59"/>
    <w:rsid w:val="09F86C81"/>
    <w:rsid w:val="0A0037B9"/>
    <w:rsid w:val="0A047BA3"/>
    <w:rsid w:val="0A6522B6"/>
    <w:rsid w:val="0A7B6F00"/>
    <w:rsid w:val="0A7F2FBE"/>
    <w:rsid w:val="0A8B4D50"/>
    <w:rsid w:val="0A8F080F"/>
    <w:rsid w:val="0AA57BE7"/>
    <w:rsid w:val="0AA8200A"/>
    <w:rsid w:val="0AD36E1D"/>
    <w:rsid w:val="0AFD47FC"/>
    <w:rsid w:val="0B115E74"/>
    <w:rsid w:val="0B13113B"/>
    <w:rsid w:val="0B362E72"/>
    <w:rsid w:val="0B540BB2"/>
    <w:rsid w:val="0B5A2317"/>
    <w:rsid w:val="0B63601A"/>
    <w:rsid w:val="0B871E56"/>
    <w:rsid w:val="0BB6171C"/>
    <w:rsid w:val="0BC53940"/>
    <w:rsid w:val="0BCB55B8"/>
    <w:rsid w:val="0BD17DF8"/>
    <w:rsid w:val="0BD55679"/>
    <w:rsid w:val="0BE14E0C"/>
    <w:rsid w:val="0C0E2DAD"/>
    <w:rsid w:val="0C21337C"/>
    <w:rsid w:val="0C3B5B77"/>
    <w:rsid w:val="0C720D19"/>
    <w:rsid w:val="0CC569D9"/>
    <w:rsid w:val="0CCA7600"/>
    <w:rsid w:val="0CDD7488"/>
    <w:rsid w:val="0CE628ED"/>
    <w:rsid w:val="0CF01994"/>
    <w:rsid w:val="0CFF0960"/>
    <w:rsid w:val="0D0C53E6"/>
    <w:rsid w:val="0D2A6F5B"/>
    <w:rsid w:val="0D45263A"/>
    <w:rsid w:val="0D5562D3"/>
    <w:rsid w:val="0D565565"/>
    <w:rsid w:val="0D570BB7"/>
    <w:rsid w:val="0D5A7A56"/>
    <w:rsid w:val="0DE40972"/>
    <w:rsid w:val="0DE601CC"/>
    <w:rsid w:val="0DF05AA7"/>
    <w:rsid w:val="0E277CC2"/>
    <w:rsid w:val="0E3E1B37"/>
    <w:rsid w:val="0E4C6C96"/>
    <w:rsid w:val="0E5470F2"/>
    <w:rsid w:val="0E73339D"/>
    <w:rsid w:val="0E763175"/>
    <w:rsid w:val="0E7D3DBA"/>
    <w:rsid w:val="0E811E85"/>
    <w:rsid w:val="0EB07E1F"/>
    <w:rsid w:val="0EB42F53"/>
    <w:rsid w:val="0EB6385C"/>
    <w:rsid w:val="0EBC72C7"/>
    <w:rsid w:val="0EC27E26"/>
    <w:rsid w:val="0EE02FCE"/>
    <w:rsid w:val="0EED1BFB"/>
    <w:rsid w:val="0EF01E99"/>
    <w:rsid w:val="0F1446CB"/>
    <w:rsid w:val="0F520A4E"/>
    <w:rsid w:val="0F523430"/>
    <w:rsid w:val="0F632919"/>
    <w:rsid w:val="0F635864"/>
    <w:rsid w:val="0F7F48A1"/>
    <w:rsid w:val="0F952E15"/>
    <w:rsid w:val="0F9777B3"/>
    <w:rsid w:val="0F9F4ADB"/>
    <w:rsid w:val="0F9F7C7F"/>
    <w:rsid w:val="0FA7652A"/>
    <w:rsid w:val="0FBE1BAE"/>
    <w:rsid w:val="0FC422F0"/>
    <w:rsid w:val="0FCA3F3C"/>
    <w:rsid w:val="0FF4235A"/>
    <w:rsid w:val="0FFF5E0F"/>
    <w:rsid w:val="101F4EB5"/>
    <w:rsid w:val="1028153B"/>
    <w:rsid w:val="102979C8"/>
    <w:rsid w:val="102D4537"/>
    <w:rsid w:val="102D50F8"/>
    <w:rsid w:val="10332340"/>
    <w:rsid w:val="10354362"/>
    <w:rsid w:val="103817A3"/>
    <w:rsid w:val="10434141"/>
    <w:rsid w:val="105D575F"/>
    <w:rsid w:val="10817E44"/>
    <w:rsid w:val="109B3CF8"/>
    <w:rsid w:val="10B23B4B"/>
    <w:rsid w:val="10BE11F2"/>
    <w:rsid w:val="10C35B7B"/>
    <w:rsid w:val="10ED1764"/>
    <w:rsid w:val="10F1502F"/>
    <w:rsid w:val="1109001F"/>
    <w:rsid w:val="1112374F"/>
    <w:rsid w:val="111E773D"/>
    <w:rsid w:val="11234D80"/>
    <w:rsid w:val="1143094B"/>
    <w:rsid w:val="11590366"/>
    <w:rsid w:val="116B4268"/>
    <w:rsid w:val="118B6C97"/>
    <w:rsid w:val="11906433"/>
    <w:rsid w:val="119D6462"/>
    <w:rsid w:val="11A20DC2"/>
    <w:rsid w:val="11AB7C29"/>
    <w:rsid w:val="11B057E6"/>
    <w:rsid w:val="11C50583"/>
    <w:rsid w:val="11DB2190"/>
    <w:rsid w:val="12377CEC"/>
    <w:rsid w:val="12545F76"/>
    <w:rsid w:val="128E7E7B"/>
    <w:rsid w:val="12BC500F"/>
    <w:rsid w:val="12C76AE8"/>
    <w:rsid w:val="12E631E6"/>
    <w:rsid w:val="12EC53F6"/>
    <w:rsid w:val="13073693"/>
    <w:rsid w:val="131821D8"/>
    <w:rsid w:val="133C4890"/>
    <w:rsid w:val="1341736C"/>
    <w:rsid w:val="134B0B37"/>
    <w:rsid w:val="134B2AF1"/>
    <w:rsid w:val="13825190"/>
    <w:rsid w:val="13887CD6"/>
    <w:rsid w:val="138A5B24"/>
    <w:rsid w:val="13990C9E"/>
    <w:rsid w:val="13C5358B"/>
    <w:rsid w:val="13D44784"/>
    <w:rsid w:val="13DA4490"/>
    <w:rsid w:val="13DC42A6"/>
    <w:rsid w:val="140E1406"/>
    <w:rsid w:val="14104729"/>
    <w:rsid w:val="141177B2"/>
    <w:rsid w:val="143A3BC4"/>
    <w:rsid w:val="144131AC"/>
    <w:rsid w:val="14452C98"/>
    <w:rsid w:val="146061C0"/>
    <w:rsid w:val="148D25BA"/>
    <w:rsid w:val="14BA44D9"/>
    <w:rsid w:val="14C111BA"/>
    <w:rsid w:val="14CC667B"/>
    <w:rsid w:val="14EA34E5"/>
    <w:rsid w:val="14F122F2"/>
    <w:rsid w:val="15041D3C"/>
    <w:rsid w:val="150D086F"/>
    <w:rsid w:val="15177379"/>
    <w:rsid w:val="157444BA"/>
    <w:rsid w:val="157C0131"/>
    <w:rsid w:val="157C335F"/>
    <w:rsid w:val="15837C25"/>
    <w:rsid w:val="158D0489"/>
    <w:rsid w:val="15911B10"/>
    <w:rsid w:val="1591551E"/>
    <w:rsid w:val="1593080A"/>
    <w:rsid w:val="15935AA3"/>
    <w:rsid w:val="15C04A53"/>
    <w:rsid w:val="15CB3A9D"/>
    <w:rsid w:val="15E3366C"/>
    <w:rsid w:val="15E86E8A"/>
    <w:rsid w:val="163F2007"/>
    <w:rsid w:val="168D1266"/>
    <w:rsid w:val="16931E50"/>
    <w:rsid w:val="169A0017"/>
    <w:rsid w:val="169F551D"/>
    <w:rsid w:val="16AA674A"/>
    <w:rsid w:val="16BA2357"/>
    <w:rsid w:val="16CF4DD0"/>
    <w:rsid w:val="16DF591A"/>
    <w:rsid w:val="16E65CF1"/>
    <w:rsid w:val="16ED7CF1"/>
    <w:rsid w:val="170B6341"/>
    <w:rsid w:val="172C70E3"/>
    <w:rsid w:val="173A4697"/>
    <w:rsid w:val="17423D25"/>
    <w:rsid w:val="17480543"/>
    <w:rsid w:val="174F723B"/>
    <w:rsid w:val="17604D35"/>
    <w:rsid w:val="176467FE"/>
    <w:rsid w:val="177C28BE"/>
    <w:rsid w:val="1782339D"/>
    <w:rsid w:val="179809BA"/>
    <w:rsid w:val="17BC795A"/>
    <w:rsid w:val="17DA4A5F"/>
    <w:rsid w:val="17EB4158"/>
    <w:rsid w:val="17EC162C"/>
    <w:rsid w:val="17FE3499"/>
    <w:rsid w:val="1809044B"/>
    <w:rsid w:val="180E1E38"/>
    <w:rsid w:val="181202B4"/>
    <w:rsid w:val="182872D9"/>
    <w:rsid w:val="18872644"/>
    <w:rsid w:val="188A0F44"/>
    <w:rsid w:val="18CE57FC"/>
    <w:rsid w:val="195465E1"/>
    <w:rsid w:val="19826EE0"/>
    <w:rsid w:val="19843706"/>
    <w:rsid w:val="19AA64B0"/>
    <w:rsid w:val="19AD3C2C"/>
    <w:rsid w:val="19B55CF3"/>
    <w:rsid w:val="19BC61BF"/>
    <w:rsid w:val="19D24147"/>
    <w:rsid w:val="19DF7485"/>
    <w:rsid w:val="1A717F2E"/>
    <w:rsid w:val="1A8058AE"/>
    <w:rsid w:val="1A9E74B4"/>
    <w:rsid w:val="1AE127DE"/>
    <w:rsid w:val="1AE25876"/>
    <w:rsid w:val="1AED4593"/>
    <w:rsid w:val="1AF6078B"/>
    <w:rsid w:val="1AFB629F"/>
    <w:rsid w:val="1B070AF7"/>
    <w:rsid w:val="1B1C7800"/>
    <w:rsid w:val="1B4D379A"/>
    <w:rsid w:val="1B4D718B"/>
    <w:rsid w:val="1B6C54E3"/>
    <w:rsid w:val="1BC82944"/>
    <w:rsid w:val="1BCD21D4"/>
    <w:rsid w:val="1BCF2401"/>
    <w:rsid w:val="1BE72596"/>
    <w:rsid w:val="1C077FF6"/>
    <w:rsid w:val="1C224807"/>
    <w:rsid w:val="1C3B2538"/>
    <w:rsid w:val="1C614A7E"/>
    <w:rsid w:val="1C8A6CE9"/>
    <w:rsid w:val="1C8E17B6"/>
    <w:rsid w:val="1C986A88"/>
    <w:rsid w:val="1C9D0B69"/>
    <w:rsid w:val="1CA33F1C"/>
    <w:rsid w:val="1CA72A40"/>
    <w:rsid w:val="1CB97827"/>
    <w:rsid w:val="1CBB4289"/>
    <w:rsid w:val="1CBD542B"/>
    <w:rsid w:val="1CE6538B"/>
    <w:rsid w:val="1CEE32E5"/>
    <w:rsid w:val="1D052E8F"/>
    <w:rsid w:val="1D2F6432"/>
    <w:rsid w:val="1D47724A"/>
    <w:rsid w:val="1DAF4298"/>
    <w:rsid w:val="1DD74CBB"/>
    <w:rsid w:val="1DEC73E5"/>
    <w:rsid w:val="1E16313A"/>
    <w:rsid w:val="1E377B00"/>
    <w:rsid w:val="1E482827"/>
    <w:rsid w:val="1E4E03FF"/>
    <w:rsid w:val="1E6B38CA"/>
    <w:rsid w:val="1E6D0EFF"/>
    <w:rsid w:val="1E886CF6"/>
    <w:rsid w:val="1EC52880"/>
    <w:rsid w:val="1EC71AB5"/>
    <w:rsid w:val="1ED9577A"/>
    <w:rsid w:val="1EDA14E1"/>
    <w:rsid w:val="1EE6041E"/>
    <w:rsid w:val="1EFC1369"/>
    <w:rsid w:val="1F344294"/>
    <w:rsid w:val="1F3C6FDC"/>
    <w:rsid w:val="1F523F07"/>
    <w:rsid w:val="1F8B2C4D"/>
    <w:rsid w:val="1FA8579D"/>
    <w:rsid w:val="1FAC1CFE"/>
    <w:rsid w:val="1FAD4814"/>
    <w:rsid w:val="1FE90C05"/>
    <w:rsid w:val="20011A5D"/>
    <w:rsid w:val="200C78E8"/>
    <w:rsid w:val="200D5E30"/>
    <w:rsid w:val="2035401D"/>
    <w:rsid w:val="203F55F3"/>
    <w:rsid w:val="204227A5"/>
    <w:rsid w:val="205247CA"/>
    <w:rsid w:val="205A5828"/>
    <w:rsid w:val="206977B4"/>
    <w:rsid w:val="20812AB3"/>
    <w:rsid w:val="20832352"/>
    <w:rsid w:val="20A66DBB"/>
    <w:rsid w:val="20B35BB3"/>
    <w:rsid w:val="20BD3AB2"/>
    <w:rsid w:val="20BE4DE7"/>
    <w:rsid w:val="20C06672"/>
    <w:rsid w:val="20D50176"/>
    <w:rsid w:val="20E33E11"/>
    <w:rsid w:val="20F11BF0"/>
    <w:rsid w:val="20F929A4"/>
    <w:rsid w:val="20FB5E2D"/>
    <w:rsid w:val="210B2454"/>
    <w:rsid w:val="21105037"/>
    <w:rsid w:val="211865F8"/>
    <w:rsid w:val="211A52ED"/>
    <w:rsid w:val="214928DD"/>
    <w:rsid w:val="215F29B8"/>
    <w:rsid w:val="21A41E1A"/>
    <w:rsid w:val="21C92AD7"/>
    <w:rsid w:val="21F93DDE"/>
    <w:rsid w:val="222D480E"/>
    <w:rsid w:val="22401962"/>
    <w:rsid w:val="2241380B"/>
    <w:rsid w:val="22454A75"/>
    <w:rsid w:val="224E7557"/>
    <w:rsid w:val="225F4489"/>
    <w:rsid w:val="2263163E"/>
    <w:rsid w:val="22C504CA"/>
    <w:rsid w:val="22DC5DCF"/>
    <w:rsid w:val="22EF560A"/>
    <w:rsid w:val="230D4D1D"/>
    <w:rsid w:val="231336A3"/>
    <w:rsid w:val="231D2CB8"/>
    <w:rsid w:val="2385254D"/>
    <w:rsid w:val="23A117EE"/>
    <w:rsid w:val="23C10132"/>
    <w:rsid w:val="23DA6508"/>
    <w:rsid w:val="23E83ED0"/>
    <w:rsid w:val="23FC2053"/>
    <w:rsid w:val="240956C0"/>
    <w:rsid w:val="2419690F"/>
    <w:rsid w:val="24270C93"/>
    <w:rsid w:val="24440A16"/>
    <w:rsid w:val="24607D7A"/>
    <w:rsid w:val="24797CDD"/>
    <w:rsid w:val="24A41426"/>
    <w:rsid w:val="24A95017"/>
    <w:rsid w:val="24AA67DD"/>
    <w:rsid w:val="24BB79C6"/>
    <w:rsid w:val="24C033A4"/>
    <w:rsid w:val="24D30C10"/>
    <w:rsid w:val="24E84EB4"/>
    <w:rsid w:val="24EA553C"/>
    <w:rsid w:val="24F54AA9"/>
    <w:rsid w:val="250C0FF0"/>
    <w:rsid w:val="25277CBA"/>
    <w:rsid w:val="253411A6"/>
    <w:rsid w:val="25455431"/>
    <w:rsid w:val="254766CF"/>
    <w:rsid w:val="255E5775"/>
    <w:rsid w:val="25610124"/>
    <w:rsid w:val="257E4D0C"/>
    <w:rsid w:val="25833082"/>
    <w:rsid w:val="258E567A"/>
    <w:rsid w:val="258F4E6D"/>
    <w:rsid w:val="25905D43"/>
    <w:rsid w:val="25960D1F"/>
    <w:rsid w:val="25B27C21"/>
    <w:rsid w:val="25BA2FFA"/>
    <w:rsid w:val="25BD1B1F"/>
    <w:rsid w:val="25DE0DD1"/>
    <w:rsid w:val="262F3A43"/>
    <w:rsid w:val="265608F5"/>
    <w:rsid w:val="2662265A"/>
    <w:rsid w:val="266548E4"/>
    <w:rsid w:val="26981F10"/>
    <w:rsid w:val="26A701C5"/>
    <w:rsid w:val="26A81C03"/>
    <w:rsid w:val="26B211D3"/>
    <w:rsid w:val="26C6446A"/>
    <w:rsid w:val="26CC049D"/>
    <w:rsid w:val="26CC3617"/>
    <w:rsid w:val="26F8457D"/>
    <w:rsid w:val="272179E5"/>
    <w:rsid w:val="272D5C3F"/>
    <w:rsid w:val="273305D4"/>
    <w:rsid w:val="279A3851"/>
    <w:rsid w:val="27A25708"/>
    <w:rsid w:val="27A42993"/>
    <w:rsid w:val="27B22602"/>
    <w:rsid w:val="27B921CD"/>
    <w:rsid w:val="27BE51CE"/>
    <w:rsid w:val="27C22CE4"/>
    <w:rsid w:val="27DD65D4"/>
    <w:rsid w:val="280A092B"/>
    <w:rsid w:val="28607C44"/>
    <w:rsid w:val="28802B60"/>
    <w:rsid w:val="28A72650"/>
    <w:rsid w:val="28CA4ACA"/>
    <w:rsid w:val="28D45F01"/>
    <w:rsid w:val="28E042EF"/>
    <w:rsid w:val="28E917F6"/>
    <w:rsid w:val="28F23D41"/>
    <w:rsid w:val="29181057"/>
    <w:rsid w:val="29456D28"/>
    <w:rsid w:val="298116FD"/>
    <w:rsid w:val="299F2B15"/>
    <w:rsid w:val="29B810E6"/>
    <w:rsid w:val="29E81CEF"/>
    <w:rsid w:val="29FB6322"/>
    <w:rsid w:val="2A164B27"/>
    <w:rsid w:val="2A414E6C"/>
    <w:rsid w:val="2A4F3037"/>
    <w:rsid w:val="2A530EA9"/>
    <w:rsid w:val="2A673073"/>
    <w:rsid w:val="2A77438F"/>
    <w:rsid w:val="2A774E09"/>
    <w:rsid w:val="2AAC0CEA"/>
    <w:rsid w:val="2AB76683"/>
    <w:rsid w:val="2ABB138C"/>
    <w:rsid w:val="2ABB14BB"/>
    <w:rsid w:val="2AD879FE"/>
    <w:rsid w:val="2AF00F1E"/>
    <w:rsid w:val="2B076FD1"/>
    <w:rsid w:val="2B225F87"/>
    <w:rsid w:val="2B232995"/>
    <w:rsid w:val="2B2362C5"/>
    <w:rsid w:val="2B5B6BE5"/>
    <w:rsid w:val="2B834432"/>
    <w:rsid w:val="2BA33F1C"/>
    <w:rsid w:val="2BA675D9"/>
    <w:rsid w:val="2BAC1148"/>
    <w:rsid w:val="2BC164E2"/>
    <w:rsid w:val="2BE47CED"/>
    <w:rsid w:val="2BEC2B5B"/>
    <w:rsid w:val="2BF9426D"/>
    <w:rsid w:val="2C1D4DF7"/>
    <w:rsid w:val="2C1E0728"/>
    <w:rsid w:val="2C457A8C"/>
    <w:rsid w:val="2C466F5B"/>
    <w:rsid w:val="2C4A0A06"/>
    <w:rsid w:val="2C50711C"/>
    <w:rsid w:val="2C642C79"/>
    <w:rsid w:val="2CC0072C"/>
    <w:rsid w:val="2CC077C2"/>
    <w:rsid w:val="2CC667B2"/>
    <w:rsid w:val="2CD41411"/>
    <w:rsid w:val="2CD46C9D"/>
    <w:rsid w:val="2CE9779C"/>
    <w:rsid w:val="2CF16FDD"/>
    <w:rsid w:val="2D2442F1"/>
    <w:rsid w:val="2D4C270B"/>
    <w:rsid w:val="2D75266D"/>
    <w:rsid w:val="2D963BC9"/>
    <w:rsid w:val="2DA06311"/>
    <w:rsid w:val="2DC47DD7"/>
    <w:rsid w:val="2DC53AC7"/>
    <w:rsid w:val="2DC77716"/>
    <w:rsid w:val="2DD85398"/>
    <w:rsid w:val="2DDE03F8"/>
    <w:rsid w:val="2DED3AC5"/>
    <w:rsid w:val="2DF3754D"/>
    <w:rsid w:val="2DFA5A7B"/>
    <w:rsid w:val="2DFD5BC9"/>
    <w:rsid w:val="2E0574DC"/>
    <w:rsid w:val="2E4D59F9"/>
    <w:rsid w:val="2E790125"/>
    <w:rsid w:val="2E8C56A5"/>
    <w:rsid w:val="2E8E336E"/>
    <w:rsid w:val="2E9C17FD"/>
    <w:rsid w:val="2EF41CC8"/>
    <w:rsid w:val="2F302095"/>
    <w:rsid w:val="2F6534CB"/>
    <w:rsid w:val="2F6B6E54"/>
    <w:rsid w:val="2F7E4A5C"/>
    <w:rsid w:val="2F8277D3"/>
    <w:rsid w:val="2F8A59A9"/>
    <w:rsid w:val="2F9B242E"/>
    <w:rsid w:val="2FA05369"/>
    <w:rsid w:val="2FA9301C"/>
    <w:rsid w:val="2FAA0D63"/>
    <w:rsid w:val="2FE457A1"/>
    <w:rsid w:val="2FEB0C77"/>
    <w:rsid w:val="301A7541"/>
    <w:rsid w:val="30432049"/>
    <w:rsid w:val="305B27D2"/>
    <w:rsid w:val="30765915"/>
    <w:rsid w:val="308E1F88"/>
    <w:rsid w:val="30986E0D"/>
    <w:rsid w:val="30A50ACE"/>
    <w:rsid w:val="30AF56FB"/>
    <w:rsid w:val="30DF1286"/>
    <w:rsid w:val="30EC273A"/>
    <w:rsid w:val="311B1CDC"/>
    <w:rsid w:val="313006E0"/>
    <w:rsid w:val="314A34B0"/>
    <w:rsid w:val="315749DE"/>
    <w:rsid w:val="31986B4A"/>
    <w:rsid w:val="31A56795"/>
    <w:rsid w:val="31B22151"/>
    <w:rsid w:val="31BE36C4"/>
    <w:rsid w:val="31C762EC"/>
    <w:rsid w:val="31C95215"/>
    <w:rsid w:val="31D37177"/>
    <w:rsid w:val="31F75A71"/>
    <w:rsid w:val="31F864D6"/>
    <w:rsid w:val="320C3474"/>
    <w:rsid w:val="322360C0"/>
    <w:rsid w:val="32283D45"/>
    <w:rsid w:val="322F0090"/>
    <w:rsid w:val="322F7200"/>
    <w:rsid w:val="32350BED"/>
    <w:rsid w:val="323A2739"/>
    <w:rsid w:val="323B13BD"/>
    <w:rsid w:val="325D750C"/>
    <w:rsid w:val="326C0040"/>
    <w:rsid w:val="326F0FA5"/>
    <w:rsid w:val="3292068C"/>
    <w:rsid w:val="329E4A59"/>
    <w:rsid w:val="32AB5C75"/>
    <w:rsid w:val="32B02295"/>
    <w:rsid w:val="32BD4414"/>
    <w:rsid w:val="32EF2B1C"/>
    <w:rsid w:val="32FF3B1E"/>
    <w:rsid w:val="330B46F4"/>
    <w:rsid w:val="33191C1B"/>
    <w:rsid w:val="33360560"/>
    <w:rsid w:val="335A65FC"/>
    <w:rsid w:val="33727E9B"/>
    <w:rsid w:val="338E016B"/>
    <w:rsid w:val="33C156EC"/>
    <w:rsid w:val="33D43963"/>
    <w:rsid w:val="33DA6DF5"/>
    <w:rsid w:val="340123CF"/>
    <w:rsid w:val="340262C1"/>
    <w:rsid w:val="34033802"/>
    <w:rsid w:val="342B1486"/>
    <w:rsid w:val="344A0E21"/>
    <w:rsid w:val="347408A3"/>
    <w:rsid w:val="34825E0A"/>
    <w:rsid w:val="34B03006"/>
    <w:rsid w:val="34B72D3C"/>
    <w:rsid w:val="34CE72A2"/>
    <w:rsid w:val="34DA09BE"/>
    <w:rsid w:val="34E153BE"/>
    <w:rsid w:val="34EF5975"/>
    <w:rsid w:val="34F82605"/>
    <w:rsid w:val="34F8690E"/>
    <w:rsid w:val="34F92A9D"/>
    <w:rsid w:val="35321C38"/>
    <w:rsid w:val="354447A5"/>
    <w:rsid w:val="3546260A"/>
    <w:rsid w:val="354C4C36"/>
    <w:rsid w:val="35700465"/>
    <w:rsid w:val="3572268F"/>
    <w:rsid w:val="35801C2C"/>
    <w:rsid w:val="358952A6"/>
    <w:rsid w:val="35990846"/>
    <w:rsid w:val="359C0BEC"/>
    <w:rsid w:val="35B57DD3"/>
    <w:rsid w:val="35C21843"/>
    <w:rsid w:val="35CE2E2C"/>
    <w:rsid w:val="35E679F4"/>
    <w:rsid w:val="35EB7863"/>
    <w:rsid w:val="35F12A4E"/>
    <w:rsid w:val="36032F7B"/>
    <w:rsid w:val="360F0F5E"/>
    <w:rsid w:val="365C0E10"/>
    <w:rsid w:val="3661535A"/>
    <w:rsid w:val="36A302BA"/>
    <w:rsid w:val="36D36DE8"/>
    <w:rsid w:val="36D40605"/>
    <w:rsid w:val="371B7871"/>
    <w:rsid w:val="371D1E81"/>
    <w:rsid w:val="372C4A3D"/>
    <w:rsid w:val="372E4CC3"/>
    <w:rsid w:val="373D07F9"/>
    <w:rsid w:val="374B2696"/>
    <w:rsid w:val="376F3C94"/>
    <w:rsid w:val="37702C8C"/>
    <w:rsid w:val="37A70FB7"/>
    <w:rsid w:val="37CA02FC"/>
    <w:rsid w:val="37CA4FEB"/>
    <w:rsid w:val="37D921E5"/>
    <w:rsid w:val="37DE0AE3"/>
    <w:rsid w:val="37F55B11"/>
    <w:rsid w:val="380B7544"/>
    <w:rsid w:val="38130201"/>
    <w:rsid w:val="38337786"/>
    <w:rsid w:val="386707CF"/>
    <w:rsid w:val="387F53C0"/>
    <w:rsid w:val="38871652"/>
    <w:rsid w:val="388C2A9E"/>
    <w:rsid w:val="388E4E68"/>
    <w:rsid w:val="38E5447A"/>
    <w:rsid w:val="38F7173E"/>
    <w:rsid w:val="38FD14A2"/>
    <w:rsid w:val="39271328"/>
    <w:rsid w:val="39350DF6"/>
    <w:rsid w:val="3939649D"/>
    <w:rsid w:val="396E7533"/>
    <w:rsid w:val="396F26D5"/>
    <w:rsid w:val="398402A8"/>
    <w:rsid w:val="39A13259"/>
    <w:rsid w:val="3A4A6CCF"/>
    <w:rsid w:val="3A5D3409"/>
    <w:rsid w:val="3A9929CF"/>
    <w:rsid w:val="3AAD5BAB"/>
    <w:rsid w:val="3AB61DC2"/>
    <w:rsid w:val="3AB977FC"/>
    <w:rsid w:val="3ADF10E1"/>
    <w:rsid w:val="3B2A6B8F"/>
    <w:rsid w:val="3B342972"/>
    <w:rsid w:val="3B371CB4"/>
    <w:rsid w:val="3B555E44"/>
    <w:rsid w:val="3B665697"/>
    <w:rsid w:val="3B6B2240"/>
    <w:rsid w:val="3B795E5C"/>
    <w:rsid w:val="3B7F4680"/>
    <w:rsid w:val="3B8266DA"/>
    <w:rsid w:val="3B90034F"/>
    <w:rsid w:val="3BA449EB"/>
    <w:rsid w:val="3BBB2A81"/>
    <w:rsid w:val="3BC90678"/>
    <w:rsid w:val="3C074B4E"/>
    <w:rsid w:val="3C271C33"/>
    <w:rsid w:val="3C367EAD"/>
    <w:rsid w:val="3C590B82"/>
    <w:rsid w:val="3C75152F"/>
    <w:rsid w:val="3C7671E7"/>
    <w:rsid w:val="3C795135"/>
    <w:rsid w:val="3C8B07D4"/>
    <w:rsid w:val="3C9C0F27"/>
    <w:rsid w:val="3C9E6710"/>
    <w:rsid w:val="3CAE3ABE"/>
    <w:rsid w:val="3CF0683C"/>
    <w:rsid w:val="3D12567D"/>
    <w:rsid w:val="3D1F2315"/>
    <w:rsid w:val="3D20421B"/>
    <w:rsid w:val="3D274242"/>
    <w:rsid w:val="3D4D4083"/>
    <w:rsid w:val="3D6020BA"/>
    <w:rsid w:val="3D667773"/>
    <w:rsid w:val="3D74650C"/>
    <w:rsid w:val="3D833381"/>
    <w:rsid w:val="3D9F00AD"/>
    <w:rsid w:val="3DF3712B"/>
    <w:rsid w:val="3DF95BBC"/>
    <w:rsid w:val="3E0B1EF9"/>
    <w:rsid w:val="3E2A0456"/>
    <w:rsid w:val="3E34142C"/>
    <w:rsid w:val="3E3E2275"/>
    <w:rsid w:val="3E431154"/>
    <w:rsid w:val="3E484F38"/>
    <w:rsid w:val="3E534E3E"/>
    <w:rsid w:val="3E554250"/>
    <w:rsid w:val="3E595BFF"/>
    <w:rsid w:val="3E5D0A43"/>
    <w:rsid w:val="3E8F60B9"/>
    <w:rsid w:val="3EA753A2"/>
    <w:rsid w:val="3EAE74AC"/>
    <w:rsid w:val="3EB5121E"/>
    <w:rsid w:val="3EB54A0A"/>
    <w:rsid w:val="3EEF6C1E"/>
    <w:rsid w:val="3F070D76"/>
    <w:rsid w:val="3F0F2CDB"/>
    <w:rsid w:val="3F1D75A2"/>
    <w:rsid w:val="3F371406"/>
    <w:rsid w:val="3F456AC1"/>
    <w:rsid w:val="3F5807ED"/>
    <w:rsid w:val="3F5813A1"/>
    <w:rsid w:val="3F6F1EB6"/>
    <w:rsid w:val="3FBD0691"/>
    <w:rsid w:val="3FDE59D4"/>
    <w:rsid w:val="40005CD9"/>
    <w:rsid w:val="40047A8A"/>
    <w:rsid w:val="40211600"/>
    <w:rsid w:val="40224945"/>
    <w:rsid w:val="402D2326"/>
    <w:rsid w:val="40377510"/>
    <w:rsid w:val="40862B30"/>
    <w:rsid w:val="40863C48"/>
    <w:rsid w:val="409B7C89"/>
    <w:rsid w:val="40A00C2C"/>
    <w:rsid w:val="40AE66C4"/>
    <w:rsid w:val="40CD0CF1"/>
    <w:rsid w:val="40DB1F7A"/>
    <w:rsid w:val="40E0696A"/>
    <w:rsid w:val="40E16DAD"/>
    <w:rsid w:val="412B6368"/>
    <w:rsid w:val="416661AD"/>
    <w:rsid w:val="41831F8B"/>
    <w:rsid w:val="41AC728D"/>
    <w:rsid w:val="41D4096B"/>
    <w:rsid w:val="41D51DE4"/>
    <w:rsid w:val="41DC07A5"/>
    <w:rsid w:val="41E338BD"/>
    <w:rsid w:val="41ED20DC"/>
    <w:rsid w:val="42197A54"/>
    <w:rsid w:val="421B46F8"/>
    <w:rsid w:val="422B597D"/>
    <w:rsid w:val="423F061E"/>
    <w:rsid w:val="425F0297"/>
    <w:rsid w:val="42697349"/>
    <w:rsid w:val="428468CB"/>
    <w:rsid w:val="42B70D56"/>
    <w:rsid w:val="42B927B4"/>
    <w:rsid w:val="42F942C5"/>
    <w:rsid w:val="42FF2B78"/>
    <w:rsid w:val="430C798F"/>
    <w:rsid w:val="43300B97"/>
    <w:rsid w:val="4333192F"/>
    <w:rsid w:val="4338300F"/>
    <w:rsid w:val="434A5A2F"/>
    <w:rsid w:val="434B6FBF"/>
    <w:rsid w:val="435C611C"/>
    <w:rsid w:val="437F6BA5"/>
    <w:rsid w:val="438600DD"/>
    <w:rsid w:val="438A44FE"/>
    <w:rsid w:val="439D279F"/>
    <w:rsid w:val="43BA5E71"/>
    <w:rsid w:val="43C05589"/>
    <w:rsid w:val="441501B0"/>
    <w:rsid w:val="443E65DA"/>
    <w:rsid w:val="44432266"/>
    <w:rsid w:val="44475E98"/>
    <w:rsid w:val="445226C5"/>
    <w:rsid w:val="4456677C"/>
    <w:rsid w:val="44684A56"/>
    <w:rsid w:val="44685222"/>
    <w:rsid w:val="44775BB7"/>
    <w:rsid w:val="447D1F17"/>
    <w:rsid w:val="447F3868"/>
    <w:rsid w:val="449B705C"/>
    <w:rsid w:val="44A40F85"/>
    <w:rsid w:val="44A86879"/>
    <w:rsid w:val="450A2302"/>
    <w:rsid w:val="452969C9"/>
    <w:rsid w:val="454702DD"/>
    <w:rsid w:val="45734B59"/>
    <w:rsid w:val="459B1BDC"/>
    <w:rsid w:val="45C52C36"/>
    <w:rsid w:val="45D71C43"/>
    <w:rsid w:val="45DB7D51"/>
    <w:rsid w:val="45FC38E6"/>
    <w:rsid w:val="46566C35"/>
    <w:rsid w:val="46631271"/>
    <w:rsid w:val="46686B9C"/>
    <w:rsid w:val="46722E0D"/>
    <w:rsid w:val="46827631"/>
    <w:rsid w:val="46970067"/>
    <w:rsid w:val="46B13D20"/>
    <w:rsid w:val="46C54D34"/>
    <w:rsid w:val="46FE1EDD"/>
    <w:rsid w:val="4701087D"/>
    <w:rsid w:val="47142E4E"/>
    <w:rsid w:val="472B0583"/>
    <w:rsid w:val="473F01BA"/>
    <w:rsid w:val="474558DD"/>
    <w:rsid w:val="475D281B"/>
    <w:rsid w:val="47783BAC"/>
    <w:rsid w:val="479E05EE"/>
    <w:rsid w:val="480C1A6F"/>
    <w:rsid w:val="481268B0"/>
    <w:rsid w:val="4831209F"/>
    <w:rsid w:val="485A5C54"/>
    <w:rsid w:val="486E3C7D"/>
    <w:rsid w:val="486F5F2A"/>
    <w:rsid w:val="48C7234C"/>
    <w:rsid w:val="491849C0"/>
    <w:rsid w:val="493556E9"/>
    <w:rsid w:val="494F05B4"/>
    <w:rsid w:val="49551493"/>
    <w:rsid w:val="49683782"/>
    <w:rsid w:val="496B2C2B"/>
    <w:rsid w:val="498033FE"/>
    <w:rsid w:val="49A973EE"/>
    <w:rsid w:val="49AF4DDF"/>
    <w:rsid w:val="49B164F5"/>
    <w:rsid w:val="49B165E6"/>
    <w:rsid w:val="49B927E0"/>
    <w:rsid w:val="49DF2BF5"/>
    <w:rsid w:val="4A0C458F"/>
    <w:rsid w:val="4A151ADA"/>
    <w:rsid w:val="4A1946C3"/>
    <w:rsid w:val="4A3E5FC4"/>
    <w:rsid w:val="4A461F80"/>
    <w:rsid w:val="4A5C0D97"/>
    <w:rsid w:val="4A9B58C2"/>
    <w:rsid w:val="4A9E63DD"/>
    <w:rsid w:val="4AB36114"/>
    <w:rsid w:val="4AB465DD"/>
    <w:rsid w:val="4AD079B2"/>
    <w:rsid w:val="4AE114C9"/>
    <w:rsid w:val="4AF40BE8"/>
    <w:rsid w:val="4B10560F"/>
    <w:rsid w:val="4B170531"/>
    <w:rsid w:val="4B5D0C80"/>
    <w:rsid w:val="4B6751FD"/>
    <w:rsid w:val="4B71315E"/>
    <w:rsid w:val="4B782567"/>
    <w:rsid w:val="4B8354A1"/>
    <w:rsid w:val="4B8A21A7"/>
    <w:rsid w:val="4BB56F29"/>
    <w:rsid w:val="4BC20FC9"/>
    <w:rsid w:val="4BC44D3C"/>
    <w:rsid w:val="4BD60245"/>
    <w:rsid w:val="4BE679EB"/>
    <w:rsid w:val="4BF8394F"/>
    <w:rsid w:val="4C35750D"/>
    <w:rsid w:val="4C42742C"/>
    <w:rsid w:val="4C467123"/>
    <w:rsid w:val="4C475701"/>
    <w:rsid w:val="4C4A42B7"/>
    <w:rsid w:val="4C4D75CC"/>
    <w:rsid w:val="4C70617B"/>
    <w:rsid w:val="4C716343"/>
    <w:rsid w:val="4C9168F3"/>
    <w:rsid w:val="4CA6579B"/>
    <w:rsid w:val="4CAB194D"/>
    <w:rsid w:val="4CED1422"/>
    <w:rsid w:val="4CF308D5"/>
    <w:rsid w:val="4D16313C"/>
    <w:rsid w:val="4D2149BC"/>
    <w:rsid w:val="4D24186A"/>
    <w:rsid w:val="4D4B26CA"/>
    <w:rsid w:val="4D5938A3"/>
    <w:rsid w:val="4D730B98"/>
    <w:rsid w:val="4D8A1884"/>
    <w:rsid w:val="4D961780"/>
    <w:rsid w:val="4DAA6AD6"/>
    <w:rsid w:val="4DC9291A"/>
    <w:rsid w:val="4DF04DDF"/>
    <w:rsid w:val="4DFB3DC1"/>
    <w:rsid w:val="4DFF0D87"/>
    <w:rsid w:val="4E323FA5"/>
    <w:rsid w:val="4E485CB6"/>
    <w:rsid w:val="4EA01871"/>
    <w:rsid w:val="4EBA2938"/>
    <w:rsid w:val="4ED03394"/>
    <w:rsid w:val="4ED060F2"/>
    <w:rsid w:val="4EDD5723"/>
    <w:rsid w:val="4EED56ED"/>
    <w:rsid w:val="4EEF7A57"/>
    <w:rsid w:val="4F3A2D41"/>
    <w:rsid w:val="4F85545D"/>
    <w:rsid w:val="4F8D27A8"/>
    <w:rsid w:val="4F9815E0"/>
    <w:rsid w:val="4FA7451F"/>
    <w:rsid w:val="4FE250F5"/>
    <w:rsid w:val="500F33A0"/>
    <w:rsid w:val="502620CF"/>
    <w:rsid w:val="503072C4"/>
    <w:rsid w:val="50660CD2"/>
    <w:rsid w:val="508D7BB9"/>
    <w:rsid w:val="509172E0"/>
    <w:rsid w:val="50B26CE7"/>
    <w:rsid w:val="50D02F98"/>
    <w:rsid w:val="50FF03D4"/>
    <w:rsid w:val="51172195"/>
    <w:rsid w:val="511754BF"/>
    <w:rsid w:val="511B7980"/>
    <w:rsid w:val="513446B9"/>
    <w:rsid w:val="514546F3"/>
    <w:rsid w:val="51497629"/>
    <w:rsid w:val="5165572E"/>
    <w:rsid w:val="51727B76"/>
    <w:rsid w:val="51877001"/>
    <w:rsid w:val="518F6EE4"/>
    <w:rsid w:val="51AF3FA2"/>
    <w:rsid w:val="51B93182"/>
    <w:rsid w:val="51D0755D"/>
    <w:rsid w:val="51E46EE6"/>
    <w:rsid w:val="51FC5B54"/>
    <w:rsid w:val="52023487"/>
    <w:rsid w:val="52646F14"/>
    <w:rsid w:val="52682F3D"/>
    <w:rsid w:val="5271516B"/>
    <w:rsid w:val="52820232"/>
    <w:rsid w:val="5287320B"/>
    <w:rsid w:val="528A19AB"/>
    <w:rsid w:val="52A2168E"/>
    <w:rsid w:val="52A83559"/>
    <w:rsid w:val="52BD6488"/>
    <w:rsid w:val="52CA51E1"/>
    <w:rsid w:val="52D05643"/>
    <w:rsid w:val="52E22783"/>
    <w:rsid w:val="52EF42ED"/>
    <w:rsid w:val="52F17279"/>
    <w:rsid w:val="53005AB1"/>
    <w:rsid w:val="53446D09"/>
    <w:rsid w:val="53470CE9"/>
    <w:rsid w:val="534A3B3F"/>
    <w:rsid w:val="534C23DA"/>
    <w:rsid w:val="534D0DAF"/>
    <w:rsid w:val="536E249B"/>
    <w:rsid w:val="5371610E"/>
    <w:rsid w:val="5384336A"/>
    <w:rsid w:val="5396578A"/>
    <w:rsid w:val="53A67EFC"/>
    <w:rsid w:val="53BC5345"/>
    <w:rsid w:val="53D81AAB"/>
    <w:rsid w:val="53DD0D54"/>
    <w:rsid w:val="53E72CEF"/>
    <w:rsid w:val="53EC4188"/>
    <w:rsid w:val="544D0F25"/>
    <w:rsid w:val="544D1202"/>
    <w:rsid w:val="54904F14"/>
    <w:rsid w:val="54D157F2"/>
    <w:rsid w:val="54DC1371"/>
    <w:rsid w:val="54E25CB7"/>
    <w:rsid w:val="553F603F"/>
    <w:rsid w:val="55467DF7"/>
    <w:rsid w:val="554B1A23"/>
    <w:rsid w:val="555F0B2E"/>
    <w:rsid w:val="559C5A49"/>
    <w:rsid w:val="55B74054"/>
    <w:rsid w:val="55D44AD7"/>
    <w:rsid w:val="55DC52DC"/>
    <w:rsid w:val="560D1E6C"/>
    <w:rsid w:val="5616545C"/>
    <w:rsid w:val="56286560"/>
    <w:rsid w:val="5630482D"/>
    <w:rsid w:val="563B3C13"/>
    <w:rsid w:val="56660C90"/>
    <w:rsid w:val="56765468"/>
    <w:rsid w:val="568E0AC3"/>
    <w:rsid w:val="569C7623"/>
    <w:rsid w:val="569D6BDA"/>
    <w:rsid w:val="56A833BB"/>
    <w:rsid w:val="56B33514"/>
    <w:rsid w:val="56B63B13"/>
    <w:rsid w:val="56D47EB2"/>
    <w:rsid w:val="56E35AE4"/>
    <w:rsid w:val="56EE72A7"/>
    <w:rsid w:val="57087F99"/>
    <w:rsid w:val="571FFB86"/>
    <w:rsid w:val="572B2546"/>
    <w:rsid w:val="57407B74"/>
    <w:rsid w:val="57573F55"/>
    <w:rsid w:val="577D6C9B"/>
    <w:rsid w:val="57C7625F"/>
    <w:rsid w:val="57D523CF"/>
    <w:rsid w:val="582A482C"/>
    <w:rsid w:val="583D275F"/>
    <w:rsid w:val="588912CB"/>
    <w:rsid w:val="589846B3"/>
    <w:rsid w:val="58A91EA1"/>
    <w:rsid w:val="58AB5292"/>
    <w:rsid w:val="58B54B47"/>
    <w:rsid w:val="58BB3256"/>
    <w:rsid w:val="58CF0E3E"/>
    <w:rsid w:val="58E87337"/>
    <w:rsid w:val="58F05525"/>
    <w:rsid w:val="58FE1115"/>
    <w:rsid w:val="592765A4"/>
    <w:rsid w:val="594208D9"/>
    <w:rsid w:val="59491499"/>
    <w:rsid w:val="59611C87"/>
    <w:rsid w:val="5965706E"/>
    <w:rsid w:val="59725888"/>
    <w:rsid w:val="59C94889"/>
    <w:rsid w:val="59DF37AC"/>
    <w:rsid w:val="5A097A2B"/>
    <w:rsid w:val="5A272745"/>
    <w:rsid w:val="5A3D7C55"/>
    <w:rsid w:val="5A513FDE"/>
    <w:rsid w:val="5A554E08"/>
    <w:rsid w:val="5A64375E"/>
    <w:rsid w:val="5A6C4C0C"/>
    <w:rsid w:val="5A766764"/>
    <w:rsid w:val="5A8632D4"/>
    <w:rsid w:val="5A8959B6"/>
    <w:rsid w:val="5A945208"/>
    <w:rsid w:val="5A9542AA"/>
    <w:rsid w:val="5AC51413"/>
    <w:rsid w:val="5ACD7B69"/>
    <w:rsid w:val="5AFC7831"/>
    <w:rsid w:val="5B13098A"/>
    <w:rsid w:val="5B1D5F4A"/>
    <w:rsid w:val="5B303552"/>
    <w:rsid w:val="5B3A3383"/>
    <w:rsid w:val="5B5B6D49"/>
    <w:rsid w:val="5B6F6E07"/>
    <w:rsid w:val="5B7B3A14"/>
    <w:rsid w:val="5B821010"/>
    <w:rsid w:val="5B8567C6"/>
    <w:rsid w:val="5B960CE6"/>
    <w:rsid w:val="5BAD06A3"/>
    <w:rsid w:val="5BB1639F"/>
    <w:rsid w:val="5BC5477D"/>
    <w:rsid w:val="5BD17B4C"/>
    <w:rsid w:val="5BE91932"/>
    <w:rsid w:val="5C003D25"/>
    <w:rsid w:val="5C144F70"/>
    <w:rsid w:val="5C2B135F"/>
    <w:rsid w:val="5C5526FF"/>
    <w:rsid w:val="5C8E623C"/>
    <w:rsid w:val="5C996CBC"/>
    <w:rsid w:val="5CAB6ADF"/>
    <w:rsid w:val="5CCD7CB9"/>
    <w:rsid w:val="5CE12FC8"/>
    <w:rsid w:val="5CF3437A"/>
    <w:rsid w:val="5CF43114"/>
    <w:rsid w:val="5CFD41F3"/>
    <w:rsid w:val="5D113218"/>
    <w:rsid w:val="5D4930BA"/>
    <w:rsid w:val="5D4D0EEB"/>
    <w:rsid w:val="5D5338F9"/>
    <w:rsid w:val="5D56048F"/>
    <w:rsid w:val="5D61031F"/>
    <w:rsid w:val="5D797C9C"/>
    <w:rsid w:val="5D7E071D"/>
    <w:rsid w:val="5D810DDD"/>
    <w:rsid w:val="5DB50D59"/>
    <w:rsid w:val="5DCD5A99"/>
    <w:rsid w:val="5E165EC3"/>
    <w:rsid w:val="5E1F2CDD"/>
    <w:rsid w:val="5E631301"/>
    <w:rsid w:val="5E762A2C"/>
    <w:rsid w:val="5E814130"/>
    <w:rsid w:val="5EB0113C"/>
    <w:rsid w:val="5EB109F3"/>
    <w:rsid w:val="5EB21109"/>
    <w:rsid w:val="5EC6412A"/>
    <w:rsid w:val="5ECB3C18"/>
    <w:rsid w:val="5EE635B4"/>
    <w:rsid w:val="5EE906B0"/>
    <w:rsid w:val="5EF30192"/>
    <w:rsid w:val="5EF70B41"/>
    <w:rsid w:val="5F083FC2"/>
    <w:rsid w:val="5F09030D"/>
    <w:rsid w:val="5F234D26"/>
    <w:rsid w:val="5F3D2D19"/>
    <w:rsid w:val="5F4158B5"/>
    <w:rsid w:val="5F475556"/>
    <w:rsid w:val="5F595469"/>
    <w:rsid w:val="5F5B6E73"/>
    <w:rsid w:val="5F6652CC"/>
    <w:rsid w:val="5F8F1C80"/>
    <w:rsid w:val="5FDB30F1"/>
    <w:rsid w:val="5FF26B36"/>
    <w:rsid w:val="60392872"/>
    <w:rsid w:val="607267CC"/>
    <w:rsid w:val="60AE5BC8"/>
    <w:rsid w:val="60B029F4"/>
    <w:rsid w:val="60BF3D4C"/>
    <w:rsid w:val="60D2341B"/>
    <w:rsid w:val="60DE4086"/>
    <w:rsid w:val="60EF270B"/>
    <w:rsid w:val="60FF33EE"/>
    <w:rsid w:val="61052C88"/>
    <w:rsid w:val="610E1462"/>
    <w:rsid w:val="611858A2"/>
    <w:rsid w:val="61210A86"/>
    <w:rsid w:val="61473938"/>
    <w:rsid w:val="615B542D"/>
    <w:rsid w:val="61626B32"/>
    <w:rsid w:val="61663995"/>
    <w:rsid w:val="616D08C1"/>
    <w:rsid w:val="617A2EAA"/>
    <w:rsid w:val="61821E2A"/>
    <w:rsid w:val="61842B45"/>
    <w:rsid w:val="61C430FB"/>
    <w:rsid w:val="6207253B"/>
    <w:rsid w:val="622A066E"/>
    <w:rsid w:val="622F773F"/>
    <w:rsid w:val="623F3E87"/>
    <w:rsid w:val="625000F7"/>
    <w:rsid w:val="62536E58"/>
    <w:rsid w:val="62587E80"/>
    <w:rsid w:val="626420E8"/>
    <w:rsid w:val="626F35C2"/>
    <w:rsid w:val="62844339"/>
    <w:rsid w:val="62C82BC5"/>
    <w:rsid w:val="62CB6B38"/>
    <w:rsid w:val="62E52187"/>
    <w:rsid w:val="62E91227"/>
    <w:rsid w:val="63270FF9"/>
    <w:rsid w:val="635709A7"/>
    <w:rsid w:val="63660521"/>
    <w:rsid w:val="63674EB3"/>
    <w:rsid w:val="637C5D39"/>
    <w:rsid w:val="638767B2"/>
    <w:rsid w:val="63881B11"/>
    <w:rsid w:val="638865E5"/>
    <w:rsid w:val="63C4194D"/>
    <w:rsid w:val="63EE7CDC"/>
    <w:rsid w:val="63F164FB"/>
    <w:rsid w:val="63F45E84"/>
    <w:rsid w:val="64616F3B"/>
    <w:rsid w:val="64634A08"/>
    <w:rsid w:val="647F2F69"/>
    <w:rsid w:val="649749DD"/>
    <w:rsid w:val="64A54580"/>
    <w:rsid w:val="64BD0763"/>
    <w:rsid w:val="64C14E5C"/>
    <w:rsid w:val="64CA6972"/>
    <w:rsid w:val="64EB2E09"/>
    <w:rsid w:val="655005E5"/>
    <w:rsid w:val="65D56621"/>
    <w:rsid w:val="65E43BEF"/>
    <w:rsid w:val="65E66A3B"/>
    <w:rsid w:val="660130BE"/>
    <w:rsid w:val="661B4ED5"/>
    <w:rsid w:val="6621343D"/>
    <w:rsid w:val="66353F04"/>
    <w:rsid w:val="66466AF9"/>
    <w:rsid w:val="6671570C"/>
    <w:rsid w:val="66A77581"/>
    <w:rsid w:val="66B61862"/>
    <w:rsid w:val="67086FE5"/>
    <w:rsid w:val="672475F5"/>
    <w:rsid w:val="67450CB5"/>
    <w:rsid w:val="674703D8"/>
    <w:rsid w:val="6768166E"/>
    <w:rsid w:val="676C5BB2"/>
    <w:rsid w:val="678450A8"/>
    <w:rsid w:val="678E0047"/>
    <w:rsid w:val="67C223E6"/>
    <w:rsid w:val="67C55C34"/>
    <w:rsid w:val="67CE2A4E"/>
    <w:rsid w:val="67CF31A0"/>
    <w:rsid w:val="67DE13F8"/>
    <w:rsid w:val="67E23EA7"/>
    <w:rsid w:val="67E401AC"/>
    <w:rsid w:val="680912C3"/>
    <w:rsid w:val="68172E5E"/>
    <w:rsid w:val="681B6EEC"/>
    <w:rsid w:val="68394C62"/>
    <w:rsid w:val="683C2E2B"/>
    <w:rsid w:val="683E0C16"/>
    <w:rsid w:val="683F5B78"/>
    <w:rsid w:val="684C0191"/>
    <w:rsid w:val="684D095C"/>
    <w:rsid w:val="68534CD3"/>
    <w:rsid w:val="687E1E19"/>
    <w:rsid w:val="68A013BB"/>
    <w:rsid w:val="68DD6368"/>
    <w:rsid w:val="68E43F44"/>
    <w:rsid w:val="68E87626"/>
    <w:rsid w:val="68EC21A6"/>
    <w:rsid w:val="68ED7234"/>
    <w:rsid w:val="68EE51D8"/>
    <w:rsid w:val="68F904F0"/>
    <w:rsid w:val="69230374"/>
    <w:rsid w:val="693A1DC7"/>
    <w:rsid w:val="695A6CDA"/>
    <w:rsid w:val="696066D9"/>
    <w:rsid w:val="697D24CA"/>
    <w:rsid w:val="69994618"/>
    <w:rsid w:val="69AB66A3"/>
    <w:rsid w:val="69B110A7"/>
    <w:rsid w:val="69B7087C"/>
    <w:rsid w:val="69D003CF"/>
    <w:rsid w:val="69D0617F"/>
    <w:rsid w:val="69D201BB"/>
    <w:rsid w:val="69E21300"/>
    <w:rsid w:val="69FF72BC"/>
    <w:rsid w:val="6A051C62"/>
    <w:rsid w:val="6A0C0A33"/>
    <w:rsid w:val="6A1008D7"/>
    <w:rsid w:val="6A2634EE"/>
    <w:rsid w:val="6A266425"/>
    <w:rsid w:val="6A3D128B"/>
    <w:rsid w:val="6A3F30DF"/>
    <w:rsid w:val="6A645B1A"/>
    <w:rsid w:val="6A6D6C00"/>
    <w:rsid w:val="6A733FF6"/>
    <w:rsid w:val="6A776443"/>
    <w:rsid w:val="6A8F0A67"/>
    <w:rsid w:val="6AA32B9F"/>
    <w:rsid w:val="6AA60CD6"/>
    <w:rsid w:val="6AD42215"/>
    <w:rsid w:val="6AEB0BB5"/>
    <w:rsid w:val="6AF71A0B"/>
    <w:rsid w:val="6AFA5F2C"/>
    <w:rsid w:val="6B2579B6"/>
    <w:rsid w:val="6B2D1238"/>
    <w:rsid w:val="6B421207"/>
    <w:rsid w:val="6B4634C2"/>
    <w:rsid w:val="6B464BF6"/>
    <w:rsid w:val="6B823ECA"/>
    <w:rsid w:val="6BA26F59"/>
    <w:rsid w:val="6BB257C3"/>
    <w:rsid w:val="6BD053DD"/>
    <w:rsid w:val="6BDD334B"/>
    <w:rsid w:val="6BF41E69"/>
    <w:rsid w:val="6BF77783"/>
    <w:rsid w:val="6C521674"/>
    <w:rsid w:val="6C591D8C"/>
    <w:rsid w:val="6C916240"/>
    <w:rsid w:val="6C9167F3"/>
    <w:rsid w:val="6CAE56A2"/>
    <w:rsid w:val="6CB41EBA"/>
    <w:rsid w:val="6CCB6C12"/>
    <w:rsid w:val="6CD2545B"/>
    <w:rsid w:val="6CEE1A51"/>
    <w:rsid w:val="6CFA04BF"/>
    <w:rsid w:val="6D014EB4"/>
    <w:rsid w:val="6D06067F"/>
    <w:rsid w:val="6D2531FB"/>
    <w:rsid w:val="6D3256C6"/>
    <w:rsid w:val="6D3D0606"/>
    <w:rsid w:val="6D570C69"/>
    <w:rsid w:val="6D637319"/>
    <w:rsid w:val="6D6F6958"/>
    <w:rsid w:val="6D7E3440"/>
    <w:rsid w:val="6DCA2791"/>
    <w:rsid w:val="6DE35F97"/>
    <w:rsid w:val="6DF075F5"/>
    <w:rsid w:val="6DFB67C0"/>
    <w:rsid w:val="6E226DC7"/>
    <w:rsid w:val="6E230581"/>
    <w:rsid w:val="6E2F2212"/>
    <w:rsid w:val="6E4F358A"/>
    <w:rsid w:val="6E6652BF"/>
    <w:rsid w:val="6E6B7042"/>
    <w:rsid w:val="6E7F4433"/>
    <w:rsid w:val="6E8035F2"/>
    <w:rsid w:val="6E9B3A04"/>
    <w:rsid w:val="6E9C4CCA"/>
    <w:rsid w:val="6EA72004"/>
    <w:rsid w:val="6EF43887"/>
    <w:rsid w:val="6F1A5FBF"/>
    <w:rsid w:val="6F2315F5"/>
    <w:rsid w:val="6F2F3D47"/>
    <w:rsid w:val="6F354C8C"/>
    <w:rsid w:val="6FA452B1"/>
    <w:rsid w:val="6FBF2E90"/>
    <w:rsid w:val="6FC667CD"/>
    <w:rsid w:val="6FD01F88"/>
    <w:rsid w:val="6FDD35BA"/>
    <w:rsid w:val="6FE43C9C"/>
    <w:rsid w:val="701C13A7"/>
    <w:rsid w:val="702134A1"/>
    <w:rsid w:val="70240A70"/>
    <w:rsid w:val="70286F9C"/>
    <w:rsid w:val="703807D3"/>
    <w:rsid w:val="7038246E"/>
    <w:rsid w:val="70512595"/>
    <w:rsid w:val="706F1708"/>
    <w:rsid w:val="706F2DE0"/>
    <w:rsid w:val="70917F1F"/>
    <w:rsid w:val="70B84386"/>
    <w:rsid w:val="70BD6EB8"/>
    <w:rsid w:val="70FA6E37"/>
    <w:rsid w:val="70FA723B"/>
    <w:rsid w:val="70FF5B11"/>
    <w:rsid w:val="713A6B3C"/>
    <w:rsid w:val="713B20D6"/>
    <w:rsid w:val="713E6F7E"/>
    <w:rsid w:val="715B3588"/>
    <w:rsid w:val="716A31DD"/>
    <w:rsid w:val="716B3DA1"/>
    <w:rsid w:val="71740782"/>
    <w:rsid w:val="718166DC"/>
    <w:rsid w:val="718A6727"/>
    <w:rsid w:val="71961C3E"/>
    <w:rsid w:val="71A30B93"/>
    <w:rsid w:val="71E03228"/>
    <w:rsid w:val="71F238C8"/>
    <w:rsid w:val="71F77B95"/>
    <w:rsid w:val="71FA26B8"/>
    <w:rsid w:val="7217294D"/>
    <w:rsid w:val="724561C4"/>
    <w:rsid w:val="72594823"/>
    <w:rsid w:val="726F3753"/>
    <w:rsid w:val="726F4522"/>
    <w:rsid w:val="728330F6"/>
    <w:rsid w:val="728B7BC5"/>
    <w:rsid w:val="728E4663"/>
    <w:rsid w:val="72A73806"/>
    <w:rsid w:val="73364102"/>
    <w:rsid w:val="73B72176"/>
    <w:rsid w:val="73C25E4C"/>
    <w:rsid w:val="73ED0E6A"/>
    <w:rsid w:val="74051E7F"/>
    <w:rsid w:val="741C1942"/>
    <w:rsid w:val="7430401A"/>
    <w:rsid w:val="743157D2"/>
    <w:rsid w:val="74356975"/>
    <w:rsid w:val="7472215E"/>
    <w:rsid w:val="74C048DC"/>
    <w:rsid w:val="74C2757B"/>
    <w:rsid w:val="74E63408"/>
    <w:rsid w:val="74EA3463"/>
    <w:rsid w:val="74F31FCB"/>
    <w:rsid w:val="74F37239"/>
    <w:rsid w:val="750D097E"/>
    <w:rsid w:val="7516673A"/>
    <w:rsid w:val="752F76F8"/>
    <w:rsid w:val="753C61DE"/>
    <w:rsid w:val="75443193"/>
    <w:rsid w:val="755F5E9B"/>
    <w:rsid w:val="75687EF0"/>
    <w:rsid w:val="758565A7"/>
    <w:rsid w:val="7591022E"/>
    <w:rsid w:val="759B32D2"/>
    <w:rsid w:val="759B3E31"/>
    <w:rsid w:val="75B034CD"/>
    <w:rsid w:val="75BF3132"/>
    <w:rsid w:val="75E67F1A"/>
    <w:rsid w:val="75F7678B"/>
    <w:rsid w:val="76107DC2"/>
    <w:rsid w:val="761330E9"/>
    <w:rsid w:val="76166A88"/>
    <w:rsid w:val="763265D1"/>
    <w:rsid w:val="76356029"/>
    <w:rsid w:val="763E0BC7"/>
    <w:rsid w:val="764566BC"/>
    <w:rsid w:val="764B2907"/>
    <w:rsid w:val="765263A6"/>
    <w:rsid w:val="768B4BE5"/>
    <w:rsid w:val="76AB7206"/>
    <w:rsid w:val="76AF4CF9"/>
    <w:rsid w:val="76BF228B"/>
    <w:rsid w:val="76DC5A0C"/>
    <w:rsid w:val="772941B8"/>
    <w:rsid w:val="77534F6E"/>
    <w:rsid w:val="776E437B"/>
    <w:rsid w:val="779C055E"/>
    <w:rsid w:val="77DFBC6C"/>
    <w:rsid w:val="78085BF3"/>
    <w:rsid w:val="78173C26"/>
    <w:rsid w:val="781B4DE7"/>
    <w:rsid w:val="781B5763"/>
    <w:rsid w:val="783D4756"/>
    <w:rsid w:val="783E5412"/>
    <w:rsid w:val="786302F2"/>
    <w:rsid w:val="78680825"/>
    <w:rsid w:val="786E5338"/>
    <w:rsid w:val="78796CC2"/>
    <w:rsid w:val="787D55E6"/>
    <w:rsid w:val="788B37E1"/>
    <w:rsid w:val="78AF5D22"/>
    <w:rsid w:val="78B81F8D"/>
    <w:rsid w:val="78D74A72"/>
    <w:rsid w:val="79020370"/>
    <w:rsid w:val="79114895"/>
    <w:rsid w:val="79304B37"/>
    <w:rsid w:val="793B1E91"/>
    <w:rsid w:val="795F7BC5"/>
    <w:rsid w:val="79731708"/>
    <w:rsid w:val="79890A5A"/>
    <w:rsid w:val="798B68EE"/>
    <w:rsid w:val="79A35FDF"/>
    <w:rsid w:val="79AF05EE"/>
    <w:rsid w:val="79BB6081"/>
    <w:rsid w:val="79BF7567"/>
    <w:rsid w:val="79D56778"/>
    <w:rsid w:val="79E007D6"/>
    <w:rsid w:val="79E57F11"/>
    <w:rsid w:val="79EE476E"/>
    <w:rsid w:val="7A026D44"/>
    <w:rsid w:val="7A2817F0"/>
    <w:rsid w:val="7A473FA6"/>
    <w:rsid w:val="7A5077DE"/>
    <w:rsid w:val="7A5F48C3"/>
    <w:rsid w:val="7A611932"/>
    <w:rsid w:val="7A614FFA"/>
    <w:rsid w:val="7A737C5F"/>
    <w:rsid w:val="7A8A15FD"/>
    <w:rsid w:val="7A8F0B1D"/>
    <w:rsid w:val="7AA25F5B"/>
    <w:rsid w:val="7AA5177B"/>
    <w:rsid w:val="7AAA2563"/>
    <w:rsid w:val="7AC06AC3"/>
    <w:rsid w:val="7AD01599"/>
    <w:rsid w:val="7ADC75A9"/>
    <w:rsid w:val="7AE01A33"/>
    <w:rsid w:val="7AE1492A"/>
    <w:rsid w:val="7AF45F62"/>
    <w:rsid w:val="7B0056D5"/>
    <w:rsid w:val="7B116A21"/>
    <w:rsid w:val="7B1603AE"/>
    <w:rsid w:val="7B1A3CA7"/>
    <w:rsid w:val="7B1C0C62"/>
    <w:rsid w:val="7B267257"/>
    <w:rsid w:val="7B2C3AF5"/>
    <w:rsid w:val="7B32221D"/>
    <w:rsid w:val="7B425546"/>
    <w:rsid w:val="7B805DC9"/>
    <w:rsid w:val="7B851173"/>
    <w:rsid w:val="7B945FD5"/>
    <w:rsid w:val="7BB63258"/>
    <w:rsid w:val="7BBA3593"/>
    <w:rsid w:val="7BFD5318"/>
    <w:rsid w:val="7C0261BE"/>
    <w:rsid w:val="7C0831A1"/>
    <w:rsid w:val="7C11467F"/>
    <w:rsid w:val="7C232E8B"/>
    <w:rsid w:val="7C4D3404"/>
    <w:rsid w:val="7C583CF9"/>
    <w:rsid w:val="7C60168E"/>
    <w:rsid w:val="7C6D5668"/>
    <w:rsid w:val="7C734BFD"/>
    <w:rsid w:val="7CAF2AE1"/>
    <w:rsid w:val="7CB20DB6"/>
    <w:rsid w:val="7CB535B9"/>
    <w:rsid w:val="7CB91220"/>
    <w:rsid w:val="7CC05EEC"/>
    <w:rsid w:val="7CD40CA4"/>
    <w:rsid w:val="7CE5FA82"/>
    <w:rsid w:val="7CFBF6DD"/>
    <w:rsid w:val="7D287695"/>
    <w:rsid w:val="7D3074AE"/>
    <w:rsid w:val="7D58284F"/>
    <w:rsid w:val="7D750DCC"/>
    <w:rsid w:val="7D93502F"/>
    <w:rsid w:val="7DB94D6B"/>
    <w:rsid w:val="7E2143A5"/>
    <w:rsid w:val="7E284041"/>
    <w:rsid w:val="7E43425B"/>
    <w:rsid w:val="7E4C1D4C"/>
    <w:rsid w:val="7E890321"/>
    <w:rsid w:val="7EBD3A49"/>
    <w:rsid w:val="7EDE0C43"/>
    <w:rsid w:val="7EE943A8"/>
    <w:rsid w:val="7EEC4A48"/>
    <w:rsid w:val="7F077B08"/>
    <w:rsid w:val="7F267E00"/>
    <w:rsid w:val="7F574788"/>
    <w:rsid w:val="7F9801FA"/>
    <w:rsid w:val="7F9A2551"/>
    <w:rsid w:val="7F9C449A"/>
    <w:rsid w:val="7FB26A45"/>
    <w:rsid w:val="7FB421BD"/>
    <w:rsid w:val="7FC56688"/>
    <w:rsid w:val="7FFA1115"/>
    <w:rsid w:val="9FFB5FF8"/>
    <w:rsid w:val="D7FF9A17"/>
    <w:rsid w:val="FFFDD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2"/>
      </w:numPr>
      <w:spacing w:line="360" w:lineRule="auto"/>
      <w:ind w:firstLine="482" w:firstLineChars="200"/>
      <w:outlineLvl w:val="2"/>
    </w:pPr>
    <w:rPr>
      <w:rFonts w:ascii="宋体" w:hAnsi="宋体" w:cs="宋体"/>
      <w:b/>
      <w:bCs/>
      <w:sz w:val="24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2"/>
      </w:numPr>
      <w:adjustRightInd w:val="0"/>
      <w:spacing w:before="157" w:beforeLines="50" w:after="157" w:afterLines="50" w:line="360" w:lineRule="auto"/>
      <w:ind w:firstLine="482" w:firstLineChars="200"/>
      <w:textAlignment w:val="baseline"/>
      <w:outlineLvl w:val="3"/>
    </w:pPr>
    <w:rPr>
      <w:rFonts w:ascii="宋体" w:hAnsi="宋体" w:cs="宋体"/>
      <w:b/>
      <w:bCs/>
      <w:sz w:val="24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ody Text"/>
    <w:basedOn w:val="1"/>
    <w:link w:val="37"/>
    <w:qFormat/>
    <w:uiPriority w:val="0"/>
    <w:pPr>
      <w:spacing w:after="120"/>
    </w:pPr>
  </w:style>
  <w:style w:type="paragraph" w:styleId="13">
    <w:name w:val="Body Text Indent"/>
    <w:basedOn w:val="1"/>
    <w:qFormat/>
    <w:uiPriority w:val="0"/>
    <w:pPr>
      <w:ind w:left="1080"/>
    </w:pPr>
    <w:rPr>
      <w:rFonts w:ascii="楷体_GB2312" w:eastAsia="楷体_GB2312"/>
      <w:b/>
      <w:kern w:val="15"/>
      <w:sz w:val="30"/>
      <w:szCs w:val="20"/>
    </w:rPr>
  </w:style>
  <w:style w:type="paragraph" w:styleId="14">
    <w:name w:val="Plain Text"/>
    <w:basedOn w:val="1"/>
    <w:link w:val="35"/>
    <w:qFormat/>
    <w:uiPriority w:val="0"/>
    <w:pPr>
      <w:spacing w:line="360" w:lineRule="auto"/>
    </w:pPr>
    <w:rPr>
      <w:rFonts w:hint="eastAsia" w:ascii="宋体" w:hAnsi="Courier New"/>
      <w:szCs w:val="20"/>
    </w:rPr>
  </w:style>
  <w:style w:type="paragraph" w:styleId="1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qFormat/>
    <w:uiPriority w:val="39"/>
    <w:pPr>
      <w:tabs>
        <w:tab w:val="right" w:leader="dot" w:pos="8296"/>
      </w:tabs>
    </w:pPr>
  </w:style>
  <w:style w:type="paragraph" w:styleId="18">
    <w:name w:val="Body Text Indent 3"/>
    <w:basedOn w:val="1"/>
    <w:qFormat/>
    <w:uiPriority w:val="0"/>
    <w:pPr>
      <w:spacing w:line="360" w:lineRule="auto"/>
      <w:ind w:firstLine="480"/>
    </w:pPr>
    <w:rPr>
      <w:sz w:val="24"/>
    </w:rPr>
  </w:style>
  <w:style w:type="paragraph" w:styleId="19">
    <w:name w:val="toc 2"/>
    <w:basedOn w:val="1"/>
    <w:next w:val="1"/>
    <w:qFormat/>
    <w:uiPriority w:val="39"/>
    <w:pPr>
      <w:ind w:left="420" w:leftChars="200"/>
    </w:pPr>
  </w:style>
  <w:style w:type="paragraph" w:styleId="2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1">
    <w:name w:val="Body Text First Indent"/>
    <w:basedOn w:val="1"/>
    <w:link w:val="36"/>
    <w:qFormat/>
    <w:uiPriority w:val="0"/>
    <w:pPr>
      <w:spacing w:line="360" w:lineRule="auto"/>
      <w:ind w:firstLine="420" w:firstLineChars="100"/>
    </w:pPr>
    <w:rPr>
      <w:rFonts w:ascii="Calibri" w:hAnsi="Calibri"/>
      <w:szCs w:val="21"/>
    </w:rPr>
  </w:style>
  <w:style w:type="table" w:styleId="23">
    <w:name w:val="Table Grid"/>
    <w:basedOn w:val="2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page number"/>
    <w:qFormat/>
    <w:uiPriority w:val="0"/>
    <w:rPr>
      <w:rFonts w:ascii="Times New Roman" w:hAnsi="Times New Roman" w:eastAsia="宋体"/>
      <w:sz w:val="18"/>
    </w:rPr>
  </w:style>
  <w:style w:type="character" w:styleId="26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paragraph" w:customStyle="1" w:styleId="27">
    <w:name w:val="列出段落2"/>
    <w:basedOn w:val="1"/>
    <w:qFormat/>
    <w:uiPriority w:val="99"/>
    <w:pPr>
      <w:ind w:firstLine="420" w:firstLineChars="200"/>
    </w:pPr>
  </w:style>
  <w:style w:type="paragraph" w:customStyle="1" w:styleId="28">
    <w:name w:val="列出段落21"/>
    <w:basedOn w:val="1"/>
    <w:qFormat/>
    <w:uiPriority w:val="99"/>
    <w:pPr>
      <w:ind w:firstLine="420" w:firstLineChars="200"/>
    </w:pPr>
  </w:style>
  <w:style w:type="paragraph" w:customStyle="1" w:styleId="29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 w:cs="宋体"/>
      <w:szCs w:val="20"/>
    </w:rPr>
  </w:style>
  <w:style w:type="paragraph" w:customStyle="1" w:styleId="30">
    <w:name w:val="列出段落3"/>
    <w:basedOn w:val="1"/>
    <w:qFormat/>
    <w:uiPriority w:val="99"/>
    <w:pPr>
      <w:ind w:firstLine="420" w:firstLineChars="200"/>
    </w:pPr>
  </w:style>
  <w:style w:type="paragraph" w:styleId="31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32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33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34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character" w:customStyle="1" w:styleId="35">
    <w:name w:val="纯文本 字符"/>
    <w:basedOn w:val="24"/>
    <w:link w:val="14"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6">
    <w:name w:val="正文文本首行缩进 字符"/>
    <w:basedOn w:val="37"/>
    <w:link w:val="21"/>
    <w:qFormat/>
    <w:uiPriority w:val="0"/>
    <w:rPr>
      <w:rFonts w:hint="default" w:ascii="Calibri" w:hAnsi="Calibri" w:cs="Calibri"/>
      <w:kern w:val="2"/>
      <w:sz w:val="21"/>
      <w:szCs w:val="21"/>
    </w:rPr>
  </w:style>
  <w:style w:type="character" w:customStyle="1" w:styleId="37">
    <w:name w:val="正文文本 字符"/>
    <w:basedOn w:val="24"/>
    <w:link w:val="12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4154</Words>
  <Characters>4627</Characters>
  <Lines>337</Lines>
  <Paragraphs>429</Paragraphs>
  <TotalTime>14</TotalTime>
  <ScaleCrop>false</ScaleCrop>
  <LinksUpToDate>false</LinksUpToDate>
  <CharactersWithSpaces>4781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2023-04-09T17:24:00Z</dcterms:created>
  <dc:creator>黄炜昭</dc:creator>
  <cp:lastModifiedBy>林泽伟</cp:lastModifiedBy>
  <dcterms:modified xsi:type="dcterms:W3CDTF">2026-08-28T02:24:06Z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EAA236D6541544F7BC9F436D70F542D4</vt:lpwstr>
  </property>
  <property fmtid="{D5CDD505-2E9C-101B-9397-08002B2CF9AE}" pid="4" name="KSOTemplateDocerSaveRecord">
    <vt:lpwstr>eyJoZGlkIjoiNGZkMjU4NWFlODljYTcwNjAzOTAwZmEwMzFlZGExOWEiLCJ1c2VySWQiOiI3MzY3NTcxMTgifQ==</vt:lpwstr>
  </property>
</Properties>
</file>