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</w:pPr>
      <w:bookmarkStart w:id="0" w:name="_Toc8445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附件A-项目信息清单（标的</w:t>
      </w:r>
      <w:r>
        <w:rPr>
          <w:rFonts w:hint="eastAsia" w:hAnsi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9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标段</w:t>
      </w:r>
      <w:r>
        <w:rPr>
          <w:rFonts w:hint="eastAsia" w:hAnsi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32"/>
          <w:szCs w:val="32"/>
          <w:highlight w:val="none"/>
          <w:u w:val="none"/>
          <w:lang w:val="en-US" w:eastAsia="zh-CN"/>
        </w:rPr>
        <w:t>）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标的名称：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single"/>
          <w:lang w:val="en-US" w:eastAsia="zh-CN"/>
        </w:rPr>
        <w:t>云浮220千伏都杨二输变电工程等2项工程施工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 xml:space="preserve"> 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标段名称：云浮220千伏都杨二输变电工程施工</w:t>
      </w:r>
    </w:p>
    <w:p>
      <w:pPr>
        <w:pStyle w:val="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1"/>
          <w:szCs w:val="21"/>
          <w:highlight w:val="none"/>
          <w:u w:val="none"/>
          <w:lang w:val="en-US" w:eastAsia="zh-CN"/>
        </w:rPr>
        <w:t>项目信息表</w:t>
      </w:r>
    </w:p>
    <w:tbl>
      <w:tblPr>
        <w:tblStyle w:val="13"/>
        <w:tblW w:w="243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4"/>
        <w:gridCol w:w="2461"/>
        <w:gridCol w:w="37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805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条款名称</w:t>
            </w:r>
          </w:p>
        </w:tc>
        <w:tc>
          <w:tcPr>
            <w:tcW w:w="2736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805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可研批复文号</w:t>
            </w:r>
          </w:p>
        </w:tc>
        <w:tc>
          <w:tcPr>
            <w:tcW w:w="2736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广电规〔2026〕8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805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项目核准备案文号</w:t>
            </w:r>
          </w:p>
        </w:tc>
        <w:tc>
          <w:tcPr>
            <w:tcW w:w="2736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云发改核准〔2026〕7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805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资金落实（投资计划）</w:t>
            </w:r>
          </w:p>
        </w:tc>
        <w:tc>
          <w:tcPr>
            <w:tcW w:w="2736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云供电计〔2026〕26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805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初设批复文号</w:t>
            </w:r>
          </w:p>
        </w:tc>
        <w:tc>
          <w:tcPr>
            <w:tcW w:w="2736" w:type="pct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广电建〔2026〕97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  <w:t>5</w:t>
            </w:r>
          </w:p>
        </w:tc>
        <w:tc>
          <w:tcPr>
            <w:tcW w:w="1805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初设批复总投资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万元</w:t>
            </w:r>
            <w:r>
              <w:rPr>
                <w:rFonts w:hint="eastAsia" w:hAnsi="宋体" w:cs="宋体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  <w:tc>
          <w:tcPr>
            <w:tcW w:w="2736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22948.5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805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施工图设计批复文号</w:t>
            </w:r>
          </w:p>
        </w:tc>
        <w:tc>
          <w:tcPr>
            <w:tcW w:w="2736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1805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招标类型</w:t>
            </w:r>
          </w:p>
        </w:tc>
        <w:tc>
          <w:tcPr>
            <w:tcW w:w="2736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初设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招标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1805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项目建设单位</w:t>
            </w:r>
          </w:p>
        </w:tc>
        <w:tc>
          <w:tcPr>
            <w:tcW w:w="2736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云浮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供电局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1805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项目建设地点</w:t>
            </w:r>
          </w:p>
        </w:tc>
        <w:tc>
          <w:tcPr>
            <w:tcW w:w="2736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hAnsi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云浮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805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工        期</w:t>
            </w:r>
          </w:p>
        </w:tc>
        <w:tc>
          <w:tcPr>
            <w:tcW w:w="2736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计划工期：485日历天；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计划开工日期：2026年12月01日；</w:t>
            </w:r>
          </w:p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atLeast"/>
              <w:jc w:val="left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计划竣工日期：2028年03月30日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11</w:t>
            </w:r>
          </w:p>
        </w:tc>
        <w:tc>
          <w:tcPr>
            <w:tcW w:w="1805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项目可研单位</w:t>
            </w:r>
          </w:p>
        </w:tc>
        <w:tc>
          <w:tcPr>
            <w:tcW w:w="273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广东电网能源发展有限公司,核工业赣州工程勘察设计集团有限公司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1805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项目勘察设计单位</w:t>
            </w:r>
          </w:p>
        </w:tc>
        <w:tc>
          <w:tcPr>
            <w:tcW w:w="273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广东电网能源发展有限公司,核工业赣州工程勘察设计集团有限公司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458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13</w:t>
            </w:r>
          </w:p>
        </w:tc>
        <w:tc>
          <w:tcPr>
            <w:tcW w:w="1805" w:type="pct"/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项目监理单位</w:t>
            </w:r>
          </w:p>
        </w:tc>
        <w:tc>
          <w:tcPr>
            <w:tcW w:w="2736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暂无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i/>
          <w:iCs/>
          <w:color w:val="auto"/>
          <w:sz w:val="21"/>
          <w:szCs w:val="21"/>
          <w:highlight w:val="none"/>
          <w:u w:val="single"/>
          <w:lang w:val="en-US" w:eastAsia="zh-CN"/>
        </w:rPr>
      </w:pPr>
    </w:p>
    <w:p>
      <w:pPr>
        <w:pStyle w:val="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sectPr>
          <w:pgSz w:w="16838" w:h="11906" w:orient="landscape"/>
          <w:pgMar w:top="2098" w:right="1474" w:bottom="1984" w:left="1587" w:header="851" w:footer="992" w:gutter="0"/>
          <w:cols w:space="425" w:num="1"/>
          <w:rtlGutter w:val="0"/>
          <w:docGrid w:type="lines" w:linePitch="312" w:charSpace="0"/>
        </w:sectPr>
      </w:pPr>
    </w:p>
    <w:p>
      <w:pPr>
        <w:pStyle w:val="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0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（一）项目概况：</w:t>
      </w:r>
      <w:bookmarkEnd w:id="0"/>
      <w:bookmarkStart w:id="1" w:name="_Toc13498"/>
      <w:bookmarkStart w:id="2" w:name="_Toc4755"/>
      <w:bookmarkStart w:id="3" w:name="_Toc28718"/>
    </w:p>
    <w:bookmarkEnd w:id="1"/>
    <w:bookmarkEnd w:id="2"/>
    <w:bookmarkEnd w:id="3"/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云浮220千伏都杨二输变电工程施工</w:t>
      </w:r>
    </w:p>
    <w:p>
      <w:pPr>
        <w:pStyle w:val="9"/>
        <w:keepNext w:val="0"/>
        <w:keepLines w:val="0"/>
        <w:suppressLineNumbers w:val="0"/>
        <w:spacing w:before="0" w:beforeAutospacing="0" w:after="0" w:afterAutospacing="0" w:line="100" w:lineRule="atLeast"/>
        <w:ind w:left="0" w:right="0" w:firstLine="562" w:firstLineChars="200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※变电部分：</w:t>
      </w:r>
    </w:p>
    <w:p>
      <w:pPr>
        <w:pStyle w:val="18"/>
        <w:spacing w:before="77" w:line="251" w:lineRule="auto"/>
        <w:ind w:right="324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1、220kV都杨二变电站工程：本期新建220kV出线6回，采用GIS设备户内布置，配套二次内容；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站区拟建建筑物共4座，总建筑面积5932.7m</w:t>
      </w:r>
      <w:r>
        <w:rPr>
          <w:rFonts w:hint="eastAsia" w:asciiTheme="minorEastAsia" w:hAnsiTheme="minorEastAsia" w:eastAsiaTheme="minorEastAsia" w:cstheme="minorEastAsia"/>
          <w:sz w:val="28"/>
          <w:szCs w:val="28"/>
          <w:vertAlign w:val="superscript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。其中，综合配电楼建筑面积4570.7m</w:t>
      </w:r>
      <w:r>
        <w:rPr>
          <w:rFonts w:hint="eastAsia" w:asciiTheme="minorEastAsia" w:hAnsiTheme="minorEastAsia" w:eastAsiaTheme="minorEastAsia" w:cstheme="minorEastAsia"/>
          <w:sz w:val="28"/>
          <w:szCs w:val="28"/>
          <w:vertAlign w:val="superscript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，220kV GIS配电装置室建筑面积1174m</w:t>
      </w:r>
      <w:r>
        <w:rPr>
          <w:rFonts w:hint="eastAsia" w:asciiTheme="minorEastAsia" w:hAnsiTheme="minorEastAsia" w:eastAsiaTheme="minorEastAsia" w:cstheme="minorEastAsia"/>
          <w:sz w:val="28"/>
          <w:szCs w:val="28"/>
          <w:vertAlign w:val="superscript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，警传室建筑面积80m</w:t>
      </w:r>
      <w:r>
        <w:rPr>
          <w:rFonts w:hint="eastAsia" w:asciiTheme="minorEastAsia" w:hAnsiTheme="minorEastAsia" w:eastAsiaTheme="minorEastAsia" w:cstheme="minorEastAsia"/>
          <w:sz w:val="28"/>
          <w:szCs w:val="28"/>
          <w:vertAlign w:val="superscript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，消防泵房建筑面积108m</w:t>
      </w:r>
      <w:r>
        <w:rPr>
          <w:rFonts w:hint="eastAsia" w:asciiTheme="minorEastAsia" w:hAnsiTheme="minorEastAsia" w:eastAsiaTheme="minorEastAsia" w:cstheme="minorEastAsia"/>
          <w:sz w:val="28"/>
          <w:szCs w:val="28"/>
          <w:vertAlign w:val="superscript"/>
          <w:lang w:val="en-US" w:eastAsia="zh-CN"/>
        </w:rPr>
        <w:t>2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。</w:t>
      </w:r>
    </w:p>
    <w:p>
      <w:pPr>
        <w:pStyle w:val="9"/>
        <w:keepNext w:val="0"/>
        <w:keepLines w:val="0"/>
        <w:suppressLineNumbers w:val="0"/>
        <w:spacing w:before="0" w:beforeAutospacing="0" w:after="0" w:afterAutospacing="0" w:line="100" w:lineRule="atLeast"/>
        <w:ind w:left="0" w:right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2、500kV立安站扩建220kV间隔工程：本期在备用间隔位置扩建2个220kV架空出线间隔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，采用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户外AIS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布置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，配套二次及土建内容。</w:t>
      </w:r>
    </w:p>
    <w:p>
      <w:pPr>
        <w:pStyle w:val="9"/>
        <w:keepNext w:val="0"/>
        <w:keepLines w:val="0"/>
        <w:suppressLineNumbers w:val="0"/>
        <w:spacing w:before="0" w:beforeAutospacing="0" w:after="0" w:afterAutospacing="0" w:line="100" w:lineRule="atLeast"/>
        <w:ind w:left="0" w:right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、220kV宏阳站扩建220kV间隔工程：本期在备用间隔位置扩建2个220kV架空出线间隔</w:t>
      </w:r>
      <w:r>
        <w:rPr>
          <w:rFonts w:hint="eastAsia" w:asciiTheme="minorEastAsia" w:hAnsiTheme="minorEastAsia" w:eastAsiaTheme="minorEastAsia" w:cstheme="minorEastAsia"/>
          <w:sz w:val="28"/>
          <w:szCs w:val="28"/>
          <w:lang w:eastAsia="zh-CN"/>
        </w:rPr>
        <w:t>，采用GIS户内布置</w:t>
      </w:r>
      <w:r>
        <w:rPr>
          <w:rFonts w:hint="eastAsia" w:asciiTheme="minorEastAsia" w:hAnsiTheme="minorEastAsia" w:eastAsiaTheme="minorEastAsia" w:cstheme="minorEastAsia"/>
          <w:sz w:val="28"/>
          <w:szCs w:val="28"/>
        </w:rPr>
        <w:t>，配套二次及土建内容。</w:t>
      </w:r>
    </w:p>
    <w:p>
      <w:pPr>
        <w:pStyle w:val="9"/>
        <w:keepNext w:val="0"/>
        <w:keepLines w:val="0"/>
        <w:suppressLineNumbers w:val="0"/>
        <w:spacing w:before="0" w:beforeAutospacing="0" w:after="0" w:afterAutospacing="0" w:line="100" w:lineRule="atLeast"/>
        <w:ind w:left="0" w:right="0" w:firstLine="562" w:firstLineChars="200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※架空线路部分:</w:t>
      </w:r>
    </w:p>
    <w:p>
      <w:pPr>
        <w:pStyle w:val="9"/>
        <w:keepNext w:val="0"/>
        <w:keepLines w:val="0"/>
        <w:suppressLineNumbers w:val="0"/>
        <w:spacing w:before="0" w:beforeAutospacing="0" w:after="0" w:afterAutospacing="0" w:line="100" w:lineRule="atLeast"/>
        <w:ind w:left="0" w:right="0"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1、220kV宏阳至都杨二线路工程：自220kV宏阳站至220kV都杨二站，新建220kV同塔双回架空线路长约2×7.3km，新建220kV/110kV混压四回挂双回导线线路长约2×2.8km。导线截面2×400mm²。</w:t>
      </w:r>
    </w:p>
    <w:p>
      <w:pPr>
        <w:pStyle w:val="9"/>
        <w:keepNext w:val="0"/>
        <w:keepLines w:val="0"/>
        <w:suppressLineNumbers w:val="0"/>
        <w:spacing w:before="0" w:beforeAutospacing="0" w:after="0" w:afterAutospacing="0" w:line="100" w:lineRule="atLeast"/>
        <w:ind w:left="0" w:right="0" w:firstLine="560" w:firstLineChars="200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2、220kV立安至都杨二线路工程：自500kV立安站至220kV都杨二站，新建220kV同塔双回架空线路长约2×11.2km。导线截面2×630mm²。本线路穿越500kV立凰甲乙线#395-#396档，现状#395塔为单联悬垂串，需更换为双联悬垂串。</w:t>
      </w:r>
    </w:p>
    <w:p>
      <w:pPr>
        <w:pStyle w:val="9"/>
        <w:keepNext w:val="0"/>
        <w:keepLines w:val="0"/>
        <w:suppressLineNumbers w:val="0"/>
        <w:spacing w:before="0" w:beforeAutospacing="0" w:after="0" w:afterAutospacing="0" w:line="100" w:lineRule="atLeast"/>
        <w:ind w:left="0" w:right="0" w:firstLine="560" w:firstLineChars="200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3、110kV宏初线、天初线改造工程：110kV宏初线、天初线共新建110kV单回架空线路长约1×（0.45+1.0）km。</w:t>
      </w:r>
    </w:p>
    <w:p>
      <w:pPr>
        <w:pStyle w:val="9"/>
        <w:keepNext w:val="0"/>
        <w:keepLines w:val="0"/>
        <w:suppressLineNumbers w:val="0"/>
        <w:spacing w:before="0" w:beforeAutospacing="0" w:after="0" w:afterAutospacing="0" w:line="100" w:lineRule="atLeast"/>
        <w:ind w:left="0" w:right="0" w:firstLine="562" w:firstLineChars="200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※通信部分:</w:t>
      </w:r>
    </w:p>
    <w:p>
      <w:pPr>
        <w:pStyle w:val="9"/>
        <w:keepNext w:val="0"/>
        <w:keepLines w:val="0"/>
        <w:suppressLineNumbers w:val="0"/>
        <w:spacing w:before="0" w:beforeAutospacing="0" w:after="0" w:afterAutospacing="0" w:line="100" w:lineRule="atLeast"/>
        <w:ind w:left="0" w:right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1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、配套通信设备工程：本期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在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都杨2站配置2套STM-64 ASON设备、对侧站配置相应的光接口单元以及配套设备材料。</w:t>
      </w:r>
    </w:p>
    <w:p>
      <w:pPr>
        <w:pStyle w:val="9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00" w:lineRule="atLeast"/>
        <w:ind w:left="0" w:right="0"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2、220kV宏阳至都杨二线路工程（OPGW光缆部分）：沿都杨二站至宏阳站220kV新建线路建设2条72芯OPGW光缆，新建光缆路径长约2×10.1km。</w:t>
      </w:r>
    </w:p>
    <w:p>
      <w:pPr>
        <w:pStyle w:val="9"/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100" w:lineRule="atLeast"/>
        <w:ind w:left="0" w:right="0"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3、220kV立安至都杨二线路工程（OPGW光缆部分）：沿都杨二站至立安站220kV新建线路建设2条72芯OPGW光缆，新建光缆路径长约2×11.2km。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4、110kV宏初线、天初线改造工程（OPGW光缆部分）：因线路改造，需要恢复110kV宏初线、天初线的各1条48芯OPGW光缆，新建光缆路径长约1.0km+0.45km。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u w:val="single"/>
        </w:rPr>
        <w:t>注：具体建设规模以施工图纸为准。</w:t>
      </w:r>
    </w:p>
    <w:p>
      <w:pPr>
        <w:pStyle w:val="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outlineLvl w:val="0"/>
        <w:rPr>
          <w:rFonts w:hint="eastAsia" w:ascii="宋体" w:hAnsi="宋体" w:eastAsia="宋体" w:cs="宋体"/>
          <w:snapToGrid w:val="0"/>
          <w:color w:val="auto"/>
          <w:kern w:val="0"/>
          <w:sz w:val="28"/>
          <w:szCs w:val="28"/>
          <w:highlight w:val="none"/>
          <w:u w:val="single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none"/>
          <w:lang w:val="en-US" w:eastAsia="zh-CN"/>
        </w:rPr>
        <w:t>（二）采购范围：</w:t>
      </w:r>
      <w:bookmarkStart w:id="4" w:name="施工招标范围综合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single"/>
        </w:rPr>
        <w:t>包括施工图范围内的建筑、安装及调试工程。施工图范围内的下列工作内容，无□及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single"/>
        </w:rPr>
        <w:fldChar w:fldCharType="begin"/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single"/>
        </w:rPr>
        <w:instrText xml:space="preserve"> EQ \o\ac(</w:instrTex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position w:val="-5"/>
          <w:sz w:val="42"/>
          <w:szCs w:val="28"/>
          <w:highlight w:val="none"/>
          <w:u w:val="single"/>
        </w:rPr>
        <w:instrText xml:space="preserve">□</w:instrTex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position w:val="0"/>
          <w:sz w:val="28"/>
          <w:szCs w:val="28"/>
          <w:highlight w:val="none"/>
          <w:u w:val="single"/>
        </w:rPr>
        <w:instrText xml:space="preserve">,√)</w:instrTex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single"/>
        </w:rPr>
        <w:fldChar w:fldCharType="end"/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single"/>
        </w:rPr>
        <w:t>的为本次报价范围；□未打√的，不在本次报价范围内</w:t>
      </w:r>
      <w:bookmarkEnd w:id="4"/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single"/>
        </w:rPr>
        <w:t>，特殊情况在“其他”中说明。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云浮220千伏都杨二输变电工程施工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233" w:lineRule="auto"/>
        <w:ind w:firstLine="56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color w:val="auto"/>
          <w:sz w:val="28"/>
          <w:szCs w:val="28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</w:rPr>
        <w:t>※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变电部分：</w:t>
      </w:r>
    </w:p>
    <w:p>
      <w:pPr>
        <w:autoSpaceDE w:val="0"/>
        <w:autoSpaceDN w:val="0"/>
        <w:adjustRightInd w:val="0"/>
        <w:spacing w:line="240" w:lineRule="auto"/>
        <w:ind w:firstLine="560" w:firstLineChars="200"/>
        <w:jc w:val="left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变电建筑工程：</w:t>
      </w:r>
    </w:p>
    <w:p>
      <w:pPr>
        <w:autoSpaceDE w:val="0"/>
        <w:autoSpaceDN w:val="0"/>
        <w:adjustRightInd w:val="0"/>
        <w:spacing w:line="240" w:lineRule="auto"/>
        <w:ind w:firstLine="560" w:firstLineChars="200"/>
        <w:jc w:val="left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（一）主要生产工程：主要生产建筑，配电装置建筑，供水系统，消防系统；</w:t>
      </w:r>
    </w:p>
    <w:p>
      <w:pPr>
        <w:autoSpaceDE w:val="0"/>
        <w:autoSpaceDN w:val="0"/>
        <w:adjustRightInd w:val="0"/>
        <w:spacing w:line="240" w:lineRule="auto"/>
        <w:ind w:firstLine="560" w:firstLineChars="200"/>
        <w:jc w:val="left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（二）辅助生产工程：辅助生产建筑，站区性建筑，特殊构筑物，全站沉降观测点，站区绿化；</w:t>
      </w:r>
    </w:p>
    <w:p>
      <w:pPr>
        <w:autoSpaceDE w:val="0"/>
        <w:autoSpaceDN w:val="0"/>
        <w:adjustRightInd w:val="0"/>
        <w:spacing w:line="240" w:lineRule="auto"/>
        <w:ind w:firstLine="560" w:firstLineChars="200"/>
        <w:jc w:val="left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（三）与站址有关的单项工程：</w:t>
      </w:r>
    </w:p>
    <w:p>
      <w:pPr>
        <w:autoSpaceDE w:val="0"/>
        <w:autoSpaceDN w:val="0"/>
        <w:adjustRightInd w:val="0"/>
        <w:spacing w:line="240" w:lineRule="auto"/>
        <w:ind w:firstLine="420"/>
        <w:jc w:val="left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☑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地基处理，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☑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站外道路（其中□桥涵），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☑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站外水源，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☑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站外排水，□站外蒸发池，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☑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施工降水，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☑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临时施工电源，□临时施工水源，□临时施工道路，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□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临时施工通信线路，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□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临时施工防护工程；</w:t>
      </w:r>
    </w:p>
    <w:p>
      <w:pPr>
        <w:autoSpaceDE w:val="0"/>
        <w:autoSpaceDN w:val="0"/>
        <w:adjustRightInd w:val="0"/>
        <w:spacing w:line="240" w:lineRule="auto"/>
        <w:ind w:firstLine="420"/>
        <w:jc w:val="left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（四）其他费用工程：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☑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白蚁防治，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☑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拆除工程；</w:t>
      </w:r>
    </w:p>
    <w:p>
      <w:pPr>
        <w:autoSpaceDE w:val="0"/>
        <w:autoSpaceDN w:val="0"/>
        <w:adjustRightInd w:val="0"/>
        <w:spacing w:line="240" w:lineRule="auto"/>
        <w:ind w:firstLine="420"/>
        <w:jc w:val="left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（五）其他：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u w:val="single"/>
          <w:lang w:val="en-US" w:eastAsia="zh-CN"/>
        </w:rPr>
        <w:t xml:space="preserve">     /      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u w:val="single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42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变电安装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工程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：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bidi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/>
          <w:color w:val="auto"/>
          <w:kern w:val="0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主要生产工程：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主变压器系统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配电装置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无功补偿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，控制及直流系统，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站用电系统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，电缆及接地，远动系统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（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  <w:t>含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总调、中调、地调调度端的扩容）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，计费系统，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kern w:val="0"/>
          <w:sz w:val="28"/>
          <w:szCs w:val="28"/>
          <w:highlight w:val="none"/>
          <w:lang w:eastAsia="zh-CN"/>
        </w:rPr>
        <w:t>全站调试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（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其中特殊调试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以合同附件特殊调试项目为准）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kern w:val="0"/>
          <w:sz w:val="28"/>
          <w:szCs w:val="28"/>
          <w:highlight w:val="none"/>
          <w:lang w:eastAsia="zh-CN"/>
        </w:rPr>
        <w:t>；</w:t>
      </w:r>
    </w:p>
    <w:p>
      <w:pPr>
        <w:autoSpaceDE w:val="0"/>
        <w:autoSpaceDN w:val="0"/>
        <w:adjustRightInd w:val="0"/>
        <w:spacing w:line="120" w:lineRule="atLeast"/>
        <w:ind w:firstLine="420"/>
        <w:jc w:val="left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  <w:t>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）辅助生产工程：检修及修配设备；</w:t>
      </w:r>
    </w:p>
    <w:p>
      <w:pPr>
        <w:autoSpaceDE w:val="0"/>
        <w:autoSpaceDN w:val="0"/>
        <w:adjustRightInd w:val="0"/>
        <w:spacing w:line="120" w:lineRule="atLeast"/>
        <w:ind w:firstLine="420"/>
        <w:jc w:val="left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（三）与站址有关的单项工程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☑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站外电源，□站外通信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；</w:t>
      </w:r>
    </w:p>
    <w:p>
      <w:pPr>
        <w:autoSpaceDE w:val="0"/>
        <w:autoSpaceDN w:val="0"/>
        <w:adjustRightInd w:val="0"/>
        <w:spacing w:line="120" w:lineRule="atLeast"/>
        <w:ind w:firstLine="420"/>
        <w:jc w:val="left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（四）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其他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费用工程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u w:val="none"/>
          <w:lang w:eastAsia="zh-CN"/>
        </w:rPr>
        <w:t>☑标志牌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u w:val="none"/>
        </w:rPr>
        <w:t>安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u w:val="none"/>
          <w:lang w:eastAsia="zh-CN"/>
        </w:rPr>
        <w:t>装，☑拆除工程；</w:t>
      </w:r>
    </w:p>
    <w:p>
      <w:pPr>
        <w:autoSpaceDE w:val="0"/>
        <w:autoSpaceDN w:val="0"/>
        <w:adjustRightInd w:val="0"/>
        <w:spacing w:line="120" w:lineRule="atLeast"/>
        <w:ind w:firstLine="420"/>
        <w:jc w:val="left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（五）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其他：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u w:val="single"/>
          <w:lang w:val="en-US" w:eastAsia="zh-CN"/>
        </w:rPr>
        <w:t xml:space="preserve">  ☑本次招标范围不包括电力监控系统等级保护测评及安全防护评估、主机加固和在线监测系统等级保护测评。 </w:t>
      </w:r>
    </w:p>
    <w:p>
      <w:pPr>
        <w:autoSpaceDE w:val="0"/>
        <w:autoSpaceDN w:val="0"/>
        <w:adjustRightInd w:val="0"/>
        <w:ind w:firstLine="562" w:firstLineChars="200"/>
        <w:jc w:val="left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</w:rPr>
        <w:t>※架空线路部分：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基础工程：基础工程材料工地运输，土石方工程，基础砌筑，基础防腐，基础防护，地基处理；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杆塔工程：杆塔工程材料工地运输，杆塔组立；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接地工程：接地工程材料工地运输，接地土石方，接地安装；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架线工程：架线工程材料工地运输，导地线架设（不含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OPGW接续与测量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），导地线跨越架设（其中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☑带电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</w:rPr>
        <w:t>跨越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10千伏及以下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</w:rPr>
        <w:t>电力线路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</w:rPr>
        <w:t>□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带电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</w:rPr>
        <w:t>跨越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35千伏及以上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</w:rPr>
        <w:t>电力线路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☑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</w:rPr>
        <w:t>跨越铁路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☑高速公路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☑一、二级公路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☑</w:t>
      </w:r>
      <w:r>
        <w:rPr>
          <w:rFonts w:hint="eastAsia" w:asciiTheme="minorEastAsia" w:hAnsiTheme="minorEastAsia" w:eastAsiaTheme="minorEastAsia" w:cstheme="minorEastAsia"/>
          <w:b w:val="0"/>
          <w:bCs w:val="0"/>
          <w:strike w:val="0"/>
          <w:dstrike w:val="0"/>
          <w:color w:val="auto"/>
          <w:sz w:val="28"/>
          <w:szCs w:val="28"/>
          <w:highlight w:val="none"/>
        </w:rPr>
        <w:t>河流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），其他架线工程；</w:t>
      </w:r>
    </w:p>
    <w:p>
      <w:pPr>
        <w:keepNext w:val="0"/>
        <w:keepLines w:val="0"/>
        <w:pageBreakBefore w:val="0"/>
        <w:numPr>
          <w:ilvl w:val="0"/>
          <w:numId w:val="2"/>
        </w:numPr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附件安装工程：附件安装工程材料工地运输，绝缘子串及金具安装；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（六）辅助工程：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永久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</w:rPr>
        <w:t>施工道路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修筑，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尖峰、施工基面土石方工程，护坡、挡土墙及排洪沟，基础永久性围堰，索道站安装，杆塔上装的各类辅助生产装置（其中：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☑标志牌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</w:rPr>
        <w:t>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装，☑防坠地装置，☑防鸟刺装置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），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☑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输、送电线路试运；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（七）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</w:rPr>
        <w:t>其他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费用工程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☑拆除工程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□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</w:rPr>
        <w:t>施工临时占用地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补偿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</w:rPr>
        <w:t>（含牵引场地租用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费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</w:rPr>
        <w:t>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</w:rPr>
        <w:t>□施工临时占用地（含牵引场地）青苗赔偿，□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临时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</w:rPr>
        <w:t>施工道路的青苗赔偿，□塔基占地及其青苗赔偿，□架线青苗赔偿，□接地线铺设的青苗赔偿，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☑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</w:rPr>
        <w:t>塔基绿化恢复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，☑临时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</w:rPr>
        <w:t>施工道路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修筑费（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val="en-US" w:eastAsia="zh-CN"/>
        </w:rPr>
        <w:t>单价/总价均报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），输电线路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跨越补偿费（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☑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</w:rPr>
        <w:t>跨越铁路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补偿费、☑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</w:rPr>
        <w:t>跨越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高速公路补偿费、☑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</w:rPr>
        <w:t>跨越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一、二级公路补偿费、☑跨越通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</w:rPr>
        <w:t>航河流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none"/>
          <w:lang w:eastAsia="zh-CN"/>
        </w:rPr>
        <w:t>补偿费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）；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20"/>
        <w:jc w:val="left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（八）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</w:rPr>
        <w:t>其他：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single"/>
          <w:lang w:eastAsia="zh-CN"/>
        </w:rPr>
        <w:t>☑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>水保措施费（表土剥离、表土回覆、土地整治、播撒草籽、栽植灌木等），其中机械化施工部分，按综合单价包干结算时不予调整；临时用地及线路走廊部分，不计报价考虑，具体按项目实际发生的费用（经发包人确认）结算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single"/>
        </w:rPr>
        <w:t>。</w:t>
      </w:r>
    </w:p>
    <w:p>
      <w:pPr>
        <w:pStyle w:val="9"/>
        <w:ind w:firstLine="562" w:firstLineChars="200"/>
        <w:jc w:val="left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</w:rPr>
        <w:t>※通信部分：</w:t>
      </w:r>
    </w:p>
    <w:p>
      <w:pPr>
        <w:autoSpaceDE w:val="0"/>
        <w:autoSpaceDN w:val="0"/>
        <w:adjustRightInd w:val="0"/>
        <w:ind w:firstLine="560" w:firstLineChars="200"/>
        <w:jc w:val="left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变电站工程：施工图纸范围内的通信设备安装及测试、光缆单盘测试、中继测试、接续、光缆及联络光缆敷设、通信子管敷设、通道开通及业务接入、割接等；设备、光缆及金具卸车清点、验收及保管，与施工相关的所有其他费用项目。</w:t>
      </w:r>
    </w:p>
    <w:p>
      <w:pPr>
        <w:pStyle w:val="9"/>
        <w:keepNext w:val="0"/>
        <w:keepLines w:val="0"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  <w:t>架空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线路部分：施工图纸范围内的光缆单盘测量、接续、全程测量；与施工相关的所有其他费用项目；不包含光缆架设、拆除、跨越及青苗赔偿</w:t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single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</w:rPr>
        <w:t>承包方式：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single"/>
        </w:rPr>
        <w:t>包工、部分包料，施工图纸范围内如有下列设备、材料，无□及</w: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single"/>
        </w:rPr>
        <w:fldChar w:fldCharType="begin"/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single"/>
        </w:rPr>
        <w:instrText xml:space="preserve"> EQ \o\ac(</w:instrTex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position w:val="-5"/>
          <w:sz w:val="42"/>
          <w:szCs w:val="28"/>
          <w:highlight w:val="none"/>
          <w:u w:val="single"/>
        </w:rPr>
        <w:instrText xml:space="preserve">□</w:instrTex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position w:val="0"/>
          <w:sz w:val="28"/>
          <w:szCs w:val="28"/>
          <w:highlight w:val="none"/>
          <w:u w:val="single"/>
        </w:rPr>
        <w:instrText xml:space="preserve">,√)</w:instrText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single"/>
        </w:rPr>
        <w:fldChar w:fldCharType="end"/>
      </w: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u w:val="single"/>
        </w:rPr>
        <w:t>的为甲供，□未打√的及不在下列的为乙供。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云浮220千伏都杨二输变电工程施工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color w:val="auto"/>
          <w:sz w:val="28"/>
          <w:szCs w:val="28"/>
          <w:highlight w:val="none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</w:rPr>
        <w:t>※变电部分：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（一）甲供物资：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  <w:t>变电建筑工程：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不锈钢材质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</w:rPr>
        <w:t>检修电源箱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，不锈钢材质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</w:rPr>
        <w:t>配电箱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（含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</w:rPr>
        <w:t>照明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和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</w:rPr>
        <w:t>动力配电箱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），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</w:rPr>
        <w:t>电力电缆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</w:rPr>
        <w:t>控制电缆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，低压电线，铜铝端子，铜端子，构支架钢结构（含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</w:rPr>
        <w:t>构支架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</w:rPr>
        <w:t>横梁，爬梯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</w:rPr>
        <w:t>避雷针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），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val="en-US" w:eastAsia="zh-CN"/>
        </w:rPr>
        <w:t>标准成品预制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</w:rPr>
        <w:t>电缆沟盖板（包括混凝土盖板和复合盖板）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，装配式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</w:rPr>
        <w:t>变电站围墙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和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</w:rPr>
        <w:t>主变防火墙（含混凝土和复合材质，厂家包安装及基础灌浆）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</w:rPr>
        <w:t>电缆支架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（铝合金、角钢、复合材质），电杆（含混凝土和复合材料）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，电缆保护管材（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  <w:t>HDPE管、涂塑钢管、PVC管、MPP管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b w:val="0"/>
          <w:bCs/>
          <w:strike w:val="0"/>
          <w:dstrike w:val="0"/>
          <w:color w:val="auto"/>
          <w:sz w:val="28"/>
          <w:szCs w:val="28"/>
          <w:highlight w:val="none"/>
          <w:lang w:eastAsia="zh-CN"/>
        </w:rPr>
        <w:t>，电缆管塞封堵器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  <w:t>空调（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精密空调、中央空调（换流站阀厅用）、工业空调（STATCOM集装箱用）、防爆空调（蓄电池室）），智能围栏。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□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装配式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  <w:t>电缆沟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□消防电缆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□电梯（不含货物电梯）、□嵌入式空调（天井式）、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☑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专用空调（生产场所、带自动启动功能）。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  <w:t>变电安装工程：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电气一、二次设备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，预制舱配电房，机载高速光电吊舱设备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铝镁合金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管形母线及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其配套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金具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，金具及附件（含线夹），钢绞线，铝绞线，红外热像仪，变电站智能巡检机器人，独立五防系统，检修隔离装置，视频及环境监控系统，监测装置，变压器配电箱（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  <w:t>SMC材质、不锈钢材质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），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不锈钢材质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端子箱，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不锈钢材质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检修电源箱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不锈钢材质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发电车开关箱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不锈钢材质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</w:rPr>
        <w:t>配电箱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（含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</w:rPr>
        <w:t>照明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和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</w:rPr>
        <w:t>动力配电箱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电力电缆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控制电缆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strike w:val="0"/>
          <w:dstrike w:val="0"/>
          <w:color w:val="auto"/>
          <w:sz w:val="28"/>
          <w:szCs w:val="28"/>
          <w:highlight w:val="none"/>
          <w:lang w:eastAsia="zh-CN"/>
        </w:rPr>
        <w:t>计量用电线，</w:t>
      </w:r>
      <w:r>
        <w:rPr>
          <w:rFonts w:hint="eastAsia" w:asciiTheme="minorEastAsia" w:hAnsiTheme="minorEastAsia" w:eastAsiaTheme="minorEastAsia" w:cstheme="minorEastAsia"/>
          <w:b w:val="0"/>
          <w:bCs/>
          <w:strike w:val="0"/>
          <w:color w:val="auto"/>
          <w:sz w:val="28"/>
          <w:szCs w:val="28"/>
          <w:highlight w:val="none"/>
        </w:rPr>
        <w:t>1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0kV及以上电缆头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strike w:val="0"/>
          <w:dstrike w:val="0"/>
          <w:color w:val="auto"/>
          <w:sz w:val="28"/>
          <w:szCs w:val="28"/>
          <w:highlight w:val="none"/>
          <w:lang w:eastAsia="zh-CN"/>
        </w:rPr>
        <w:t>各种类型</w:t>
      </w:r>
      <w:r>
        <w:rPr>
          <w:rFonts w:hint="eastAsia" w:asciiTheme="minorEastAsia" w:hAnsiTheme="minorEastAsia" w:eastAsiaTheme="minorEastAsia" w:cstheme="minorEastAsia"/>
          <w:b w:val="0"/>
          <w:bCs/>
          <w:strike w:val="0"/>
          <w:color w:val="auto"/>
          <w:sz w:val="28"/>
          <w:szCs w:val="28"/>
          <w:highlight w:val="none"/>
        </w:rPr>
        <w:t>绝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缘子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封闭母线桥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10kV绝缘铜管母线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穿墙套管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</w:rPr>
        <w:t>电缆支架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（铝合金、角钢、复合材质）、铝合金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</w:rPr>
        <w:t>电缆桥架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、计量接引装置、电抗器接地装置、小电流接地选线装置、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  <w:t>通用型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标志牌（包括：禁止攀登、高压危险、禁止抛物、高压危险等提醒类标志牌及相线牌、安装支架，不涉及资产名称、编号或位置）</w:t>
      </w:r>
      <w:r>
        <w:rPr>
          <w:rFonts w:hint="eastAsia" w:asciiTheme="minorEastAsia" w:hAnsiTheme="minorEastAsia" w:eastAsiaTheme="minorEastAsia" w:cstheme="minorEastAsia"/>
          <w:b w:val="0"/>
          <w:bCs/>
          <w:iCs/>
          <w:color w:val="auto"/>
          <w:sz w:val="28"/>
          <w:szCs w:val="28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□吊车。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（二）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其他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甲供物资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u w:val="single"/>
          <w:lang w:val="en-US" w:eastAsia="zh-CN"/>
        </w:rPr>
        <w:t xml:space="preserve"> / 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u w:val="single"/>
        </w:rPr>
        <w:t>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pacing w:line="240" w:lineRule="auto"/>
        <w:ind w:firstLine="56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</w:rPr>
        <w:t>※架空线路部分：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（一）甲供物资：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  <w:t>1、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杆塔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（水泥杆），铁塔加固器装置，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高空防坠落装置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，攀爬机轨道，钢绞线，铝绞线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，导地线，绝缘子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、绝缘横担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，金具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，标准铁构件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，光缆，光缆金具，线路避雷器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，故障指示器，故障精确定位装置，监测装置，视频监控系统，防鸟装置，铜覆钢接地极，</w:t>
      </w:r>
      <w:r>
        <w:rPr>
          <w:rFonts w:hint="eastAsia" w:asciiTheme="minorEastAsia" w:hAnsiTheme="minorEastAsia" w:eastAsiaTheme="minorEastAsia" w:cstheme="minorEastAsia"/>
          <w:b w:val="0"/>
          <w:bCs/>
          <w:strike w:val="0"/>
          <w:dstrike w:val="0"/>
          <w:color w:val="auto"/>
          <w:sz w:val="28"/>
          <w:szCs w:val="28"/>
          <w:highlight w:val="none"/>
          <w:lang w:eastAsia="zh-CN"/>
        </w:rPr>
        <w:t>石墨基接地体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  <w:t>通用型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标志牌（包括：禁止攀登、高压危险、禁止抛物、高压危险等提醒类标志牌及相线牌、安装支架，不涉及资产名称、编号或位置）、警示灯（航空、航道）、航道牌及支架。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val="en-US" w:eastAsia="zh-CN"/>
        </w:rPr>
        <w:t>2、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u w:val="none"/>
          <w:lang w:eastAsia="zh-CN"/>
        </w:rPr>
        <w:t>☑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地脚螺栓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，☑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直升机巡视作业标志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牌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（二）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其他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lang w:eastAsia="zh-CN"/>
        </w:rPr>
        <w:t>甲供物资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u w:val="single"/>
          <w:lang w:val="en-US" w:eastAsia="zh-CN"/>
        </w:rPr>
        <w:t xml:space="preserve">    /   </w:t>
      </w:r>
      <w:r>
        <w:rPr>
          <w:rFonts w:hint="eastAsia" w:asciiTheme="minorEastAsia" w:hAnsiTheme="minorEastAsia" w:eastAsiaTheme="minorEastAsia" w:cstheme="minorEastAsia"/>
          <w:b w:val="0"/>
          <w:bCs/>
          <w:color w:val="auto"/>
          <w:sz w:val="28"/>
          <w:szCs w:val="28"/>
          <w:highlight w:val="none"/>
          <w:u w:val="single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</w:rPr>
        <w:t>※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  <w:lang w:val="en-US" w:eastAsia="zh-CN"/>
        </w:rPr>
        <w:t>通信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8"/>
          <w:szCs w:val="28"/>
          <w:highlight w:val="none"/>
        </w:rPr>
        <w:t>部分：</w:t>
      </w:r>
      <w:r>
        <w:rPr>
          <w:rFonts w:hint="eastAsia" w:asciiTheme="minorEastAsia" w:hAnsiTheme="minorEastAsia" w:eastAsiaTheme="minorEastAsia" w:cstheme="minorEastAsia"/>
          <w:b/>
          <w:color w:val="auto"/>
          <w:sz w:val="28"/>
          <w:szCs w:val="28"/>
          <w:highlight w:val="none"/>
        </w:rPr>
        <w:t>建设单位提供部分设备及材料：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</w:rPr>
        <w:t>变电部分：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 w:val="0"/>
        <w:autoSpaceDN w:val="0"/>
        <w:bidi w:val="0"/>
        <w:adjustRightInd w:val="0"/>
        <w:spacing w:line="24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甲供物资：通信相关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</w:rPr>
        <w:t>设备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（含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光传输设备、无线设备、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电话、电池、监控、视频会议系统等），数据网设备，机架，通信电源，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通信光缆及其金具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，综合配线设备及材料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，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电缆保护管材（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HDPE管、涂塑钢管、PVC管、MPP管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</w:rPr>
        <w:t>。</w:t>
      </w:r>
    </w:p>
    <w:p>
      <w:pPr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56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</w:rPr>
        <w:t>其他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eastAsia="zh-CN"/>
        </w:rPr>
        <w:t>甲供物资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single"/>
          <w:lang w:val="en-US" w:eastAsia="zh-CN"/>
        </w:rPr>
        <w:t xml:space="preserve">    /    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u w:val="single"/>
        </w:rPr>
        <w:t>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2" w:firstLineChars="200"/>
        <w:textAlignment w:val="auto"/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注：建设单位提供的设备、材料以合同附件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eastAsia="宋体" w:cs="宋体"/>
          <w:b/>
          <w:color w:val="auto"/>
          <w:sz w:val="28"/>
          <w:szCs w:val="28"/>
          <w:highlight w:val="none"/>
        </w:rPr>
        <w:t>甲供设备材料明细表为准。</w:t>
      </w:r>
    </w:p>
    <w:p>
      <w:pP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br w:type="page"/>
      </w: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sectPr>
          <w:pgSz w:w="11906" w:h="16838"/>
          <w:pgMar w:top="2098" w:right="1474" w:bottom="1984" w:left="1587" w:header="851" w:footer="992" w:gutter="0"/>
          <w:cols w:space="425" w:num="1"/>
          <w:rtlGutter w:val="0"/>
          <w:docGrid w:type="lines" w:linePitch="312" w:charSpace="0"/>
        </w:sectPr>
      </w:pPr>
    </w:p>
    <w:p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shd w:val="clear" w:color="auto" w:fill="auto"/>
        <w:kinsoku/>
        <w:wordWrap/>
        <w:overflowPunct/>
        <w:topLinePunct w:val="0"/>
        <w:autoSpaceDE/>
        <w:autoSpaceDN/>
        <w:bidi w:val="0"/>
        <w:spacing w:line="560" w:lineRule="exact"/>
        <w:textAlignment w:val="auto"/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0"/>
          <w:sz w:val="28"/>
          <w:szCs w:val="28"/>
          <w:highlight w:val="none"/>
          <w:lang w:val="en-US" w:eastAsia="zh-CN"/>
        </w:rPr>
        <w:t>（四）报价表</w:t>
      </w:r>
    </w:p>
    <w:tbl>
      <w:tblPr>
        <w:tblStyle w:val="12"/>
        <w:tblW w:w="14226" w:type="dxa"/>
        <w:tblInd w:w="-23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93"/>
        <w:gridCol w:w="1683"/>
        <w:gridCol w:w="1185"/>
        <w:gridCol w:w="1185"/>
        <w:gridCol w:w="1185"/>
        <w:gridCol w:w="1185"/>
        <w:gridCol w:w="1185"/>
        <w:gridCol w:w="1185"/>
        <w:gridCol w:w="1185"/>
        <w:gridCol w:w="1185"/>
        <w:gridCol w:w="1185"/>
        <w:gridCol w:w="118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1" w:hRule="atLeast"/>
        </w:trPr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　号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工程或费用名称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最高投标限价（万元）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其中安全文明施工费（万元）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其中施工专项补助费（万元）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其中暂估价（万元）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投标费率（%）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投标报价（万元）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其中安全文明施工费（万元）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其中施工专项补助费（万元）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其中暂估价（万元）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  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6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bookmarkStart w:id="5" w:name="_GoBack" w:colFirst="2" w:colLast="5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6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云浮220千伏都杨二输变电工程施工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9400.43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459.60</w:t>
            </w:r>
          </w:p>
        </w:tc>
        <w:tc>
          <w:tcPr>
            <w:tcW w:w="118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6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before="0" w:after="0" w:line="400" w:lineRule="exac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237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pStyle w:val="9"/>
              <w:keepNext w:val="0"/>
              <w:keepLines w:val="0"/>
              <w:pageBreakBefore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合计（小写）：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snapToGrid w:val="0"/>
                <w:color w:val="auto"/>
                <w:kern w:val="0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9400.43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spacing w:line="40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459.60</w:t>
            </w:r>
          </w:p>
        </w:tc>
        <w:tc>
          <w:tcPr>
            <w:tcW w:w="118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rPr>
                <w:rFonts w:hint="eastAsia" w:ascii="宋体" w:hAnsi="宋体" w:eastAsia="宋体" w:cs="宋体"/>
                <w:i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jc w:val="center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1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line="360" w:lineRule="auto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</w:p>
        </w:tc>
      </w:tr>
      <w:bookmarkEnd w:id="5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4226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报价要求：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1、金额报价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保留两位小数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，同时填报投标费率。投标费率＝[(投标报价-安全文明施工费-暂估价）/（最高投标限价-安全文明施工费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-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暂估价)]×100%（保留两位小数）。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、安全文明施工费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如有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）</w:t>
            </w:r>
            <w:r>
              <w:rPr>
                <w:rFonts w:hint="eastAsia" w:ascii="宋体" w:hAnsi="宋体" w:cs="宋体"/>
                <w:b/>
                <w:bCs/>
                <w:i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、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暂估价（如有）需按照公布的金额固定报价，不得自行变更，否则视为原则性不响应招标文件要求，作否决投标处理。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、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施工专项补助费（如有）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，投标人报价时按文件要求将施工专项补助费作为“竞争性费用”列入投标报价中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报价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不得高于招标文件公布的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施工专项补助费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，否则按否决投标处理。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tLeast"/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color w:val="auto"/>
                <w:sz w:val="21"/>
                <w:szCs w:val="21"/>
                <w:highlight w:val="none"/>
                <w:u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i w:val="0"/>
                <w:color w:val="auto"/>
                <w:sz w:val="21"/>
                <w:szCs w:val="21"/>
                <w:highlight w:val="none"/>
                <w:u w:val="none"/>
              </w:rPr>
              <w:t>、投标下浮率=1-投标费率。</w:t>
            </w:r>
          </w:p>
        </w:tc>
      </w:tr>
    </w:tbl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</w:p>
    <w:sectPr>
      <w:pgSz w:w="16838" w:h="11906" w:orient="landscape"/>
      <w:pgMar w:top="2098" w:right="1474" w:bottom="1984" w:left="1587" w:header="851" w:footer="992" w:gutter="0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62E749"/>
    <w:multiLevelType w:val="singleLevel"/>
    <w:tmpl w:val="5862E749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5AFE7F4F"/>
    <w:multiLevelType w:val="singleLevel"/>
    <w:tmpl w:val="5AFE7F4F"/>
    <w:lvl w:ilvl="0" w:tentative="0">
      <w:start w:val="1"/>
      <w:numFmt w:val="chineseCounting"/>
      <w:suff w:val="nothing"/>
      <w:lvlText w:val="（%1）"/>
      <w:lvlJc w:val="left"/>
      <w:rPr>
        <w:rFonts w:hint="eastAsia"/>
        <w:b w:val="0"/>
        <w:bCs w:val="0"/>
      </w:rPr>
    </w:lvl>
  </w:abstractNum>
  <w:abstractNum w:abstractNumId="2">
    <w:nsid w:val="5B0B691A"/>
    <w:multiLevelType w:val="singleLevel"/>
    <w:tmpl w:val="5B0B691A"/>
    <w:lvl w:ilvl="0" w:tentative="0">
      <w:start w:val="1"/>
      <w:numFmt w:val="chineseCounting"/>
      <w:suff w:val="nothing"/>
      <w:lvlText w:val="（%1）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F737D8"/>
    <w:rsid w:val="00032C5E"/>
    <w:rsid w:val="00675492"/>
    <w:rsid w:val="00B87EA2"/>
    <w:rsid w:val="00C073B0"/>
    <w:rsid w:val="01000F1F"/>
    <w:rsid w:val="01CA5480"/>
    <w:rsid w:val="0256248D"/>
    <w:rsid w:val="0270337E"/>
    <w:rsid w:val="02B415D2"/>
    <w:rsid w:val="02D45932"/>
    <w:rsid w:val="050E07AE"/>
    <w:rsid w:val="05B87515"/>
    <w:rsid w:val="06033F60"/>
    <w:rsid w:val="068D71D9"/>
    <w:rsid w:val="08F700C6"/>
    <w:rsid w:val="09F92144"/>
    <w:rsid w:val="0AD565DE"/>
    <w:rsid w:val="0B4C09D9"/>
    <w:rsid w:val="0BC07002"/>
    <w:rsid w:val="0CB91C03"/>
    <w:rsid w:val="0D0758F3"/>
    <w:rsid w:val="0E490E7C"/>
    <w:rsid w:val="10430334"/>
    <w:rsid w:val="10A919C2"/>
    <w:rsid w:val="10C30F9C"/>
    <w:rsid w:val="116419AD"/>
    <w:rsid w:val="11DF6CFE"/>
    <w:rsid w:val="11FC1228"/>
    <w:rsid w:val="1221206F"/>
    <w:rsid w:val="12617BA5"/>
    <w:rsid w:val="133F6E67"/>
    <w:rsid w:val="1352362B"/>
    <w:rsid w:val="13C71878"/>
    <w:rsid w:val="14440D4B"/>
    <w:rsid w:val="15056A61"/>
    <w:rsid w:val="15701FEA"/>
    <w:rsid w:val="17241016"/>
    <w:rsid w:val="17311749"/>
    <w:rsid w:val="18E57496"/>
    <w:rsid w:val="193066EB"/>
    <w:rsid w:val="196B23E3"/>
    <w:rsid w:val="19AC57CC"/>
    <w:rsid w:val="1A2F2F81"/>
    <w:rsid w:val="1A3776A7"/>
    <w:rsid w:val="1B1435D1"/>
    <w:rsid w:val="1B663F82"/>
    <w:rsid w:val="1BA9108A"/>
    <w:rsid w:val="1CC004AB"/>
    <w:rsid w:val="1D615A5F"/>
    <w:rsid w:val="1DA71931"/>
    <w:rsid w:val="1EA379B5"/>
    <w:rsid w:val="20957CD4"/>
    <w:rsid w:val="216F4D5B"/>
    <w:rsid w:val="22D01CE9"/>
    <w:rsid w:val="24E46BF4"/>
    <w:rsid w:val="24F737D8"/>
    <w:rsid w:val="25260286"/>
    <w:rsid w:val="25B31123"/>
    <w:rsid w:val="26F863F9"/>
    <w:rsid w:val="274170EE"/>
    <w:rsid w:val="276160EC"/>
    <w:rsid w:val="2785030E"/>
    <w:rsid w:val="278F57AD"/>
    <w:rsid w:val="27E47C4B"/>
    <w:rsid w:val="28F46A2A"/>
    <w:rsid w:val="296555D1"/>
    <w:rsid w:val="2BED7EC0"/>
    <w:rsid w:val="2D8E3667"/>
    <w:rsid w:val="2DCE3DB2"/>
    <w:rsid w:val="2DFE6AFA"/>
    <w:rsid w:val="2E9A5E18"/>
    <w:rsid w:val="2F362DFB"/>
    <w:rsid w:val="2FF65FF8"/>
    <w:rsid w:val="300D195C"/>
    <w:rsid w:val="30337CC8"/>
    <w:rsid w:val="3044134F"/>
    <w:rsid w:val="306C7E8C"/>
    <w:rsid w:val="308E6ECB"/>
    <w:rsid w:val="308F01E2"/>
    <w:rsid w:val="30A33E0B"/>
    <w:rsid w:val="30BF37B5"/>
    <w:rsid w:val="31F44502"/>
    <w:rsid w:val="33431B08"/>
    <w:rsid w:val="342B476D"/>
    <w:rsid w:val="345F3519"/>
    <w:rsid w:val="361736AD"/>
    <w:rsid w:val="36905D28"/>
    <w:rsid w:val="36D200CF"/>
    <w:rsid w:val="37B26847"/>
    <w:rsid w:val="37FF59C4"/>
    <w:rsid w:val="38382DC3"/>
    <w:rsid w:val="3AAA73EE"/>
    <w:rsid w:val="3B260034"/>
    <w:rsid w:val="3B2A0F67"/>
    <w:rsid w:val="3BC7272F"/>
    <w:rsid w:val="3BCA27B8"/>
    <w:rsid w:val="3BE757AE"/>
    <w:rsid w:val="3C1E17EA"/>
    <w:rsid w:val="3C4A35F1"/>
    <w:rsid w:val="3D483D27"/>
    <w:rsid w:val="3D6C6E26"/>
    <w:rsid w:val="3E6671E3"/>
    <w:rsid w:val="3F773980"/>
    <w:rsid w:val="3F9B7EF1"/>
    <w:rsid w:val="4047281E"/>
    <w:rsid w:val="40B02D35"/>
    <w:rsid w:val="415A7E63"/>
    <w:rsid w:val="41656384"/>
    <w:rsid w:val="41775BBB"/>
    <w:rsid w:val="42E701E3"/>
    <w:rsid w:val="44D414C9"/>
    <w:rsid w:val="44E6598E"/>
    <w:rsid w:val="44F22C57"/>
    <w:rsid w:val="45E177CC"/>
    <w:rsid w:val="460D1423"/>
    <w:rsid w:val="46383F13"/>
    <w:rsid w:val="46472D5E"/>
    <w:rsid w:val="469B4709"/>
    <w:rsid w:val="46A85B41"/>
    <w:rsid w:val="474422FB"/>
    <w:rsid w:val="47CB2C71"/>
    <w:rsid w:val="48EC6B0B"/>
    <w:rsid w:val="49332FB5"/>
    <w:rsid w:val="4B3A1BDA"/>
    <w:rsid w:val="4D0B2DF1"/>
    <w:rsid w:val="4D392B7F"/>
    <w:rsid w:val="4DC759F3"/>
    <w:rsid w:val="4E040B17"/>
    <w:rsid w:val="4EA560D6"/>
    <w:rsid w:val="4F6A7BA3"/>
    <w:rsid w:val="50667F11"/>
    <w:rsid w:val="510C438D"/>
    <w:rsid w:val="53F52931"/>
    <w:rsid w:val="546F308A"/>
    <w:rsid w:val="552E444C"/>
    <w:rsid w:val="55734D49"/>
    <w:rsid w:val="55C3156A"/>
    <w:rsid w:val="55C814C7"/>
    <w:rsid w:val="56677483"/>
    <w:rsid w:val="57092F8E"/>
    <w:rsid w:val="58D643B5"/>
    <w:rsid w:val="59070DFA"/>
    <w:rsid w:val="599017B7"/>
    <w:rsid w:val="5A4935A4"/>
    <w:rsid w:val="5BF73AAD"/>
    <w:rsid w:val="5CB42BA8"/>
    <w:rsid w:val="5DAC6D06"/>
    <w:rsid w:val="5EF953A6"/>
    <w:rsid w:val="5F8E0C51"/>
    <w:rsid w:val="5FE724D4"/>
    <w:rsid w:val="608606DE"/>
    <w:rsid w:val="63E602AB"/>
    <w:rsid w:val="644D1809"/>
    <w:rsid w:val="66714535"/>
    <w:rsid w:val="66C35559"/>
    <w:rsid w:val="66D91A76"/>
    <w:rsid w:val="68B337CC"/>
    <w:rsid w:val="69311D38"/>
    <w:rsid w:val="696074AE"/>
    <w:rsid w:val="6A287B5E"/>
    <w:rsid w:val="6A6B37FA"/>
    <w:rsid w:val="6B303A1A"/>
    <w:rsid w:val="6D897695"/>
    <w:rsid w:val="6DAA2FDF"/>
    <w:rsid w:val="6E121228"/>
    <w:rsid w:val="6E2E145B"/>
    <w:rsid w:val="6FF808C2"/>
    <w:rsid w:val="70873960"/>
    <w:rsid w:val="70B81233"/>
    <w:rsid w:val="70D1495F"/>
    <w:rsid w:val="717B53E2"/>
    <w:rsid w:val="71AE4710"/>
    <w:rsid w:val="71FE7D99"/>
    <w:rsid w:val="7247722C"/>
    <w:rsid w:val="73641402"/>
    <w:rsid w:val="7472484C"/>
    <w:rsid w:val="74E73186"/>
    <w:rsid w:val="76015DEA"/>
    <w:rsid w:val="763B2CF0"/>
    <w:rsid w:val="764E470D"/>
    <w:rsid w:val="76850D49"/>
    <w:rsid w:val="76DB0FDE"/>
    <w:rsid w:val="779B4AAB"/>
    <w:rsid w:val="7842124A"/>
    <w:rsid w:val="79435213"/>
    <w:rsid w:val="796F764D"/>
    <w:rsid w:val="7AAF7CE8"/>
    <w:rsid w:val="7C6A3EAA"/>
    <w:rsid w:val="7C766170"/>
    <w:rsid w:val="7D26550D"/>
    <w:rsid w:val="7D2D6A7C"/>
    <w:rsid w:val="7D3B0B84"/>
    <w:rsid w:val="7E3420E0"/>
    <w:rsid w:val="7E405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iPriority="99" w:semiHidden="0" w:name="heading 1"/>
    <w:lsdException w:qFormat="1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color w:val="000000"/>
      <w:sz w:val="32"/>
    </w:rPr>
  </w:style>
  <w:style w:type="paragraph" w:styleId="3">
    <w:name w:val="heading 2"/>
    <w:basedOn w:val="1"/>
    <w:next w:val="1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default" w:ascii="Arial" w:hAnsi="Arial" w:eastAsia="宋体" w:cs="Times New Roman"/>
      <w:b/>
      <w:i/>
      <w:color w:val="000000"/>
      <w:sz w:val="28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rFonts w:ascii="Times New Roman" w:hAnsi="Times New Roman" w:cs="Times New Roman"/>
      <w:kern w:val="0"/>
      <w:sz w:val="20"/>
      <w:szCs w:val="20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next w:val="7"/>
    <w:unhideWhenUsed/>
    <w:qFormat/>
    <w:uiPriority w:val="99"/>
    <w:pPr>
      <w:spacing w:after="120"/>
    </w:pPr>
  </w:style>
  <w:style w:type="paragraph" w:styleId="7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8">
    <w:name w:val="Body Text Indent"/>
    <w:basedOn w:val="1"/>
    <w:qFormat/>
    <w:uiPriority w:val="0"/>
    <w:pPr>
      <w:spacing w:after="120"/>
      <w:ind w:left="420" w:leftChars="200"/>
    </w:pPr>
  </w:style>
  <w:style w:type="paragraph" w:styleId="9">
    <w:name w:val="Plain Text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宋体" w:hAnsi="Courier New"/>
      <w:kern w:val="0"/>
      <w:sz w:val="20"/>
      <w:szCs w:val="20"/>
      <w:lang w:val="en-US" w:eastAsia="zh-CN"/>
    </w:rPr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1">
    <w:name w:val="Body Text First Indent"/>
    <w:basedOn w:val="6"/>
    <w:unhideWhenUsed/>
    <w:qFormat/>
    <w:uiPriority w:val="99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spacing w:line="360" w:lineRule="auto"/>
      <w:ind w:firstLine="200" w:firstLineChars="200"/>
      <w:jc w:val="both"/>
    </w:pPr>
    <w:rPr>
      <w:kern w:val="0"/>
      <w:sz w:val="24"/>
      <w:lang w:val="en-US" w:eastAsia="zh-CN"/>
    </w:rPr>
  </w:style>
  <w:style w:type="table" w:styleId="13">
    <w:name w:val="Table Grid"/>
    <w:basedOn w:val="1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customStyle="1" w:styleId="16">
    <w:name w:val="_Style 5"/>
    <w:basedOn w:val="1"/>
    <w:qFormat/>
    <w:uiPriority w:val="0"/>
    <w:pPr>
      <w:adjustRightInd/>
      <w:spacing w:line="240" w:lineRule="auto"/>
      <w:ind w:firstLine="420" w:firstLineChars="200"/>
      <w:textAlignment w:val="auto"/>
    </w:pPr>
    <w:rPr>
      <w:rFonts w:ascii="Calibri" w:hAnsi="Calibri" w:eastAsia="宋体" w:cs="Times New Roman"/>
      <w:kern w:val="2"/>
      <w:sz w:val="21"/>
      <w:szCs w:val="22"/>
    </w:rPr>
  </w:style>
  <w:style w:type="paragraph" w:customStyle="1" w:styleId="17">
    <w:name w:val="正文首行缩进1"/>
    <w:basedOn w:val="1"/>
    <w:qFormat/>
    <w:uiPriority w:val="0"/>
    <w:pPr>
      <w:spacing w:line="360" w:lineRule="auto"/>
      <w:ind w:firstLine="200" w:firstLineChars="200"/>
    </w:pPr>
    <w:rPr>
      <w:kern w:val="2"/>
      <w:sz w:val="24"/>
      <w:szCs w:val="24"/>
    </w:rPr>
  </w:style>
  <w:style w:type="paragraph" w:customStyle="1" w:styleId="18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2021-02-24T15:45:00Z</dcterms:created>
  <dc:creator>maja</dc:creator>
  <cp:lastModifiedBy>0A780EE5E5084A4F8B843DCFBC7CB2E0</cp:lastModifiedBy>
  <cp:lastPrinted>2022-02-11T10:00:00Z</cp:lastPrinted>
  <dcterms:modified xsi:type="dcterms:W3CDTF">2026-09-01T06:49:50Z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7C3CE12BB8954E25B60328968434832A</vt:lpwstr>
  </property>
</Properties>
</file>