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rPr>
          <w:rFonts w:hint="eastAsia" w:ascii="宋体" w:hAnsi="宋体" w:eastAsia="宋体" w:cs="宋体"/>
          <w:b/>
          <w:bCs/>
          <w:sz w:val="44"/>
          <w:szCs w:val="44"/>
        </w:rPr>
        <w:sectPr>
          <w:footerReference r:id="rId3" w:type="default"/>
          <w:pgSz w:w="11906" w:h="16838"/>
          <w:pgMar w:top="1440" w:right="1800" w:bottom="1440" w:left="1800" w:header="851" w:footer="992" w:gutter="0"/>
          <w:pgNumType w:fmt="decimal"/>
          <w:cols w:space="425" w:num="1"/>
          <w:docGrid w:type="lines" w:linePitch="312" w:charSpace="0"/>
        </w:sectPr>
      </w:pPr>
      <w:r>
        <mc:AlternateContent>
          <mc:Choice Requires="wps">
            <w:drawing>
              <wp:anchor distT="45720" distB="45720" distL="114300" distR="114300" simplePos="0" relativeHeight="251660288" behindDoc="0" locked="0" layoutInCell="1" allowOverlap="1">
                <wp:simplePos x="0" y="0"/>
                <wp:positionH relativeFrom="margin">
                  <wp:posOffset>-549275</wp:posOffset>
                </wp:positionH>
                <wp:positionV relativeFrom="paragraph">
                  <wp:posOffset>3271520</wp:posOffset>
                </wp:positionV>
                <wp:extent cx="6057900" cy="843280"/>
                <wp:effectExtent l="0" t="0" r="0" b="0"/>
                <wp:wrapSquare wrapText="bothSides"/>
                <wp:docPr id="217" name="文本框 217"/>
                <wp:cNvGraphicFramePr/>
                <a:graphic xmlns:a="http://schemas.openxmlformats.org/drawingml/2006/main">
                  <a:graphicData uri="http://schemas.microsoft.com/office/word/2010/wordprocessingShape">
                    <wps:wsp>
                      <wps:cNvSpPr txBox="1">
                        <a:spLocks noChangeArrowheads="1"/>
                      </wps:cNvSpPr>
                      <wps:spPr bwMode="auto">
                        <a:xfrm>
                          <a:off x="0" y="0"/>
                          <a:ext cx="6057900" cy="843280"/>
                        </a:xfrm>
                        <a:prstGeom prst="rect">
                          <a:avLst/>
                        </a:prstGeom>
                        <a:noFill/>
                        <a:ln w="9525">
                          <a:noFill/>
                          <a:miter lim="800000"/>
                        </a:ln>
                        <a:effectLst/>
                      </wps:spPr>
                      <wps:txbx>
                        <w:txbxContent>
                          <w:p>
                            <w:pPr>
                              <w:jc w:val="right"/>
                              <w:rPr>
                                <w:rFonts w:hint="eastAsia" w:ascii="黑体" w:hAnsi="黑体" w:eastAsia="黑体"/>
                                <w:b/>
                                <w:sz w:val="40"/>
                                <w:lang w:val="en-US" w:eastAsia="zh-CN"/>
                              </w:rPr>
                            </w:pPr>
                            <w:r>
                              <w:rPr>
                                <w:rFonts w:hint="eastAsia" w:ascii="黑体" w:hAnsi="黑体" w:eastAsia="黑体"/>
                                <w:b/>
                                <w:sz w:val="40"/>
                                <w:lang w:val="en-US" w:eastAsia="zh-CN"/>
                              </w:rPr>
                              <w:t>广西电网公司2027-2028年房屋安全检测项目</w:t>
                            </w:r>
                          </w:p>
                          <w:p>
                            <w:pPr>
                              <w:jc w:val="right"/>
                              <w:rPr>
                                <w:rFonts w:hint="eastAsia" w:ascii="黑体" w:hAnsi="黑体" w:eastAsia="黑体"/>
                                <w:b/>
                                <w:sz w:val="40"/>
                              </w:rPr>
                            </w:pPr>
                            <w:r>
                              <w:rPr>
                                <w:rFonts w:hint="eastAsia" w:ascii="黑体" w:hAnsi="黑体" w:eastAsia="黑体"/>
                                <w:b/>
                                <w:sz w:val="40"/>
                              </w:rPr>
                              <w:t>服务标准及要求</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25pt;margin-top:257.6pt;height:66.4pt;width:477pt;mso-position-horizontal-relative:margin;mso-wrap-distance-bottom:3.6pt;mso-wrap-distance-left:9pt;mso-wrap-distance-right:9pt;mso-wrap-distance-top:3.6pt;z-index:251660288;mso-width-relative:page;mso-height-relative:page;" filled="f" stroked="f" coordsize="21600,21600" o:gfxdata="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ssHNvYAAAACwEAAA8AAAAAAAAAAQAgAAAAIgAAAGRycy9kb3ducmV2LnhtbFBLAQIU&#10;ABQAAAAIAIdO4kDw70ejLAIAADsEAAAOAAAAAAAAAAEAIAAAACcBAABkcnMvZTJvRG9jLnhtbFBL&#10;BQYAAAAABgAGAFkBAADFBQAAAAA=&#10;">
                <v:fill on="f" focussize="0,0"/>
                <v:stroke on="f" miterlimit="8" joinstyle="miter"/>
                <v:imagedata o:title=""/>
                <o:lock v:ext="edit" aspectratio="f"/>
                <v:textbox>
                  <w:txbxContent>
                    <w:p>
                      <w:pPr>
                        <w:jc w:val="right"/>
                        <w:rPr>
                          <w:rFonts w:hint="eastAsia" w:ascii="黑体" w:hAnsi="黑体" w:eastAsia="黑体"/>
                          <w:b/>
                          <w:sz w:val="40"/>
                          <w:lang w:val="en-US" w:eastAsia="zh-CN"/>
                        </w:rPr>
                      </w:pPr>
                      <w:r>
                        <w:rPr>
                          <w:rFonts w:hint="eastAsia" w:ascii="黑体" w:hAnsi="黑体" w:eastAsia="黑体"/>
                          <w:b/>
                          <w:sz w:val="40"/>
                          <w:lang w:val="en-US" w:eastAsia="zh-CN"/>
                        </w:rPr>
                        <w:t>广西电网公司2027-2028年房屋安全检测项目</w:t>
                      </w:r>
                    </w:p>
                    <w:p>
                      <w:pPr>
                        <w:jc w:val="right"/>
                        <w:rPr>
                          <w:rFonts w:hint="eastAsia" w:ascii="黑体" w:hAnsi="黑体" w:eastAsia="黑体"/>
                          <w:b/>
                          <w:sz w:val="40"/>
                        </w:rPr>
                      </w:pPr>
                      <w:r>
                        <w:rPr>
                          <w:rFonts w:hint="eastAsia" w:ascii="黑体" w:hAnsi="黑体" w:eastAsia="黑体"/>
                          <w:b/>
                          <w:sz w:val="40"/>
                        </w:rPr>
                        <w:t>服务标准及要求</w:t>
                      </w:r>
                    </w:p>
                  </w:txbxContent>
                </v:textbox>
                <w10:wrap type="square"/>
              </v:shape>
            </w:pict>
          </mc:Fallback>
        </mc:AlternateContent>
      </w:r>
      <w:r>
        <mc:AlternateContent>
          <mc:Choice Requires="wps">
            <w:drawing>
              <wp:anchor distT="45720" distB="45720" distL="114300" distR="114300" simplePos="0" relativeHeight="251661312" behindDoc="0" locked="0" layoutInCell="1" allowOverlap="1">
                <wp:simplePos x="0" y="0"/>
                <wp:positionH relativeFrom="margin">
                  <wp:posOffset>78740</wp:posOffset>
                </wp:positionH>
                <wp:positionV relativeFrom="paragraph">
                  <wp:posOffset>7938770</wp:posOffset>
                </wp:positionV>
                <wp:extent cx="5106035" cy="843280"/>
                <wp:effectExtent l="0" t="0" r="0" b="0"/>
                <wp:wrapSquare wrapText="bothSides"/>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106035" cy="843280"/>
                        </a:xfrm>
                        <a:prstGeom prst="rect">
                          <a:avLst/>
                        </a:prstGeom>
                        <a:noFill/>
                        <a:ln w="9525">
                          <a:noFill/>
                          <a:miter lim="800000"/>
                        </a:ln>
                        <a:effectLst/>
                      </wps:spPr>
                      <wps:txbx>
                        <w:txbxContent>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广西电网公司</w:t>
                            </w:r>
                          </w:p>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2026年6月</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6.2pt;margin-top:625.1pt;height:66.4pt;width:402.05pt;mso-position-horizontal-relative:margin;mso-wrap-distance-bottom:3.6pt;mso-wrap-distance-left:9pt;mso-wrap-distance-right:9pt;mso-wrap-distance-top:3.6pt;z-index:251661312;mso-width-relative:page;mso-height-relative:page;" filled="f" stroked="f" coordsize="21600,21600" o:gfxdata="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WepEb2AAAAAwBAAAPAAAAAAAAAAEAIAAAACIAAABkcnMvZG93bnJldi54bWxQSwECFAAU&#10;AAAACACHTuJAm01fXioCAAA3BAAADgAAAAAAAAABACAAAAAnAQAAZHJzL2Uyb0RvYy54bWxQSwUG&#10;AAAAAAYABgBZAQAAwwUAAAAA&#10;">
                <v:fill on="f" focussize="0,0"/>
                <v:stroke on="f" miterlimit="8" joinstyle="miter"/>
                <v:imagedata o:title=""/>
                <o:lock v:ext="edit" aspectratio="f"/>
                <v:textbox>
                  <w:txbxContent>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广西电网公司</w:t>
                      </w:r>
                    </w:p>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2026年6月</w:t>
                      </w:r>
                    </w:p>
                  </w:txbxContent>
                </v:textbox>
                <w10:wrap type="square"/>
              </v:shape>
            </w:pict>
          </mc:Fallback>
        </mc:AlternateContent>
      </w:r>
      <w:r>
        <w:drawing>
          <wp:anchor distT="0" distB="0" distL="114300" distR="114300" simplePos="0" relativeHeight="251659264" behindDoc="0" locked="0" layoutInCell="1" allowOverlap="1">
            <wp:simplePos x="0" y="0"/>
            <wp:positionH relativeFrom="page">
              <wp:posOffset>-114300</wp:posOffset>
            </wp:positionH>
            <wp:positionV relativeFrom="page">
              <wp:posOffset>-57150</wp:posOffset>
            </wp:positionV>
            <wp:extent cx="7919720" cy="6276975"/>
            <wp:effectExtent l="0" t="0" r="5080" b="1905"/>
            <wp:wrapNone/>
            <wp:docPr id="1" name="图片 3"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02-L [Converted]"/>
                    <pic:cNvPicPr>
                      <a:picLocks noChangeAspect="1"/>
                    </pic:cNvPicPr>
                  </pic:nvPicPr>
                  <pic:blipFill>
                    <a:blip r:embed="rId7"/>
                    <a:stretch>
                      <a:fillRect/>
                    </a:stretch>
                  </pic:blipFill>
                  <pic:spPr>
                    <a:xfrm>
                      <a:off x="0" y="0"/>
                      <a:ext cx="7919720" cy="6276975"/>
                    </a:xfrm>
                    <a:prstGeom prst="rect">
                      <a:avLst/>
                    </a:prstGeom>
                    <a:noFill/>
                    <a:ln>
                      <a:noFill/>
                    </a:ln>
                  </pic:spPr>
                </pic:pic>
              </a:graphicData>
            </a:graphic>
          </wp:anchor>
        </w:drawing>
      </w:r>
    </w:p>
    <w:sdt>
      <w:sdtPr>
        <w:rPr>
          <w:rFonts w:ascii="宋体" w:hAnsi="宋体" w:eastAsia="宋体" w:cstheme="minorBidi"/>
          <w:b/>
          <w:bCs/>
          <w:kern w:val="2"/>
          <w:sz w:val="40"/>
          <w:szCs w:val="40"/>
          <w:lang w:val="en-US" w:eastAsia="zh-CN" w:bidi="ar-SA"/>
        </w:rPr>
        <w:id w:val="147451885"/>
        <w15:color w:val="DBDBDB"/>
        <w:docPartObj>
          <w:docPartGallery w:val="Table of Contents"/>
          <w:docPartUnique/>
        </w:docPartObj>
      </w:sdtPr>
      <w:sdtEndPr>
        <w:rPr>
          <w:rFonts w:hint="eastAsia" w:ascii="宋体" w:hAnsi="宋体" w:eastAsia="宋体" w:cs="宋体"/>
          <w:b/>
          <w:bCs/>
          <w:kern w:val="2"/>
          <w:sz w:val="21"/>
          <w:szCs w:val="4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rPr>
              <w:b/>
              <w:bCs/>
              <w:sz w:val="40"/>
              <w:szCs w:val="40"/>
            </w:rPr>
          </w:pPr>
          <w:r>
            <w:rPr>
              <w:rFonts w:ascii="宋体" w:hAnsi="宋体" w:eastAsia="宋体"/>
              <w:b/>
              <w:bCs/>
              <w:sz w:val="40"/>
              <w:szCs w:val="40"/>
            </w:rPr>
            <w:t>目录</w:t>
          </w:r>
        </w:p>
        <w:p>
          <w:pPr>
            <w:pStyle w:val="10"/>
            <w:tabs>
              <w:tab w:val="right" w:leader="dot" w:pos="8306"/>
            </w:tabs>
            <w:rPr>
              <w:rFonts w:hint="eastAsia" w:asciiTheme="majorEastAsia" w:hAnsiTheme="majorEastAsia" w:eastAsiaTheme="majorEastAsia" w:cstheme="majorEastAsia"/>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TOC \o "1-2" \h \u </w:instrText>
          </w:r>
          <w:r>
            <w:rPr>
              <w:rFonts w:hint="eastAsia" w:ascii="宋体" w:hAnsi="宋体" w:eastAsia="宋体" w:cs="宋体"/>
              <w:b/>
              <w:bCs/>
              <w:sz w:val="28"/>
              <w:szCs w:val="28"/>
            </w:rPr>
            <w:fldChar w:fldCharType="separate"/>
          </w:r>
          <w:r>
            <w:rPr>
              <w:rFonts w:hint="eastAsia" w:asciiTheme="majorEastAsia" w:hAnsiTheme="majorEastAsia" w:eastAsiaTheme="majorEastAsia" w:cstheme="majorEastAsia"/>
              <w:bCs/>
              <w:sz w:val="28"/>
              <w:szCs w:val="28"/>
            </w:rPr>
            <w:fldChar w:fldCharType="begin"/>
          </w:r>
          <w:r>
            <w:rPr>
              <w:rFonts w:hint="eastAsia" w:asciiTheme="majorEastAsia" w:hAnsiTheme="majorEastAsia" w:eastAsiaTheme="majorEastAsia" w:cstheme="majorEastAsia"/>
              <w:bCs/>
              <w:sz w:val="28"/>
              <w:szCs w:val="28"/>
            </w:rPr>
            <w:instrText xml:space="preserve"> HYPERLINK \l _Toc5309 </w:instrText>
          </w:r>
          <w:r>
            <w:rPr>
              <w:rFonts w:hint="eastAsia" w:asciiTheme="majorEastAsia" w:hAnsiTheme="majorEastAsia" w:eastAsiaTheme="majorEastAsia" w:cstheme="majorEastAsia"/>
              <w:bCs/>
              <w:sz w:val="28"/>
              <w:szCs w:val="28"/>
            </w:rPr>
            <w:fldChar w:fldCharType="separate"/>
          </w:r>
          <w:r>
            <w:rPr>
              <w:rFonts w:hint="eastAsia" w:asciiTheme="majorEastAsia" w:hAnsiTheme="majorEastAsia" w:eastAsiaTheme="majorEastAsia" w:cstheme="majorEastAsia"/>
              <w:bCs/>
              <w:sz w:val="28"/>
              <w:szCs w:val="28"/>
            </w:rPr>
            <w:t>一、项目简介</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_Toc5309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bCs/>
              <w:sz w:val="28"/>
              <w:szCs w:val="28"/>
            </w:rPr>
            <w:fldChar w:fldCharType="end"/>
          </w:r>
        </w:p>
        <w:p>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Cs/>
              <w:sz w:val="28"/>
              <w:szCs w:val="28"/>
            </w:rPr>
            <w:fldChar w:fldCharType="begin"/>
          </w:r>
          <w:r>
            <w:rPr>
              <w:rFonts w:hint="eastAsia" w:asciiTheme="majorEastAsia" w:hAnsiTheme="majorEastAsia" w:eastAsiaTheme="majorEastAsia" w:cstheme="majorEastAsia"/>
              <w:bCs/>
              <w:sz w:val="28"/>
              <w:szCs w:val="28"/>
            </w:rPr>
            <w:instrText xml:space="preserve"> HYPERLINK \l _Toc11289 </w:instrText>
          </w:r>
          <w:r>
            <w:rPr>
              <w:rFonts w:hint="eastAsia" w:asciiTheme="majorEastAsia" w:hAnsiTheme="majorEastAsia" w:eastAsiaTheme="majorEastAsia" w:cstheme="majorEastAsia"/>
              <w:bCs/>
              <w:sz w:val="28"/>
              <w:szCs w:val="28"/>
            </w:rPr>
            <w:fldChar w:fldCharType="separate"/>
          </w:r>
          <w:r>
            <w:rPr>
              <w:rFonts w:hint="eastAsia" w:asciiTheme="majorEastAsia" w:hAnsiTheme="majorEastAsia" w:eastAsiaTheme="majorEastAsia" w:cstheme="majorEastAsia"/>
              <w:bCs/>
              <w:sz w:val="28"/>
              <w:szCs w:val="28"/>
            </w:rPr>
            <w:t>（一）项目服务内容</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_Toc11289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bCs/>
              <w:sz w:val="28"/>
              <w:szCs w:val="28"/>
            </w:rPr>
            <w:fldChar w:fldCharType="end"/>
          </w:r>
        </w:p>
        <w:p>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Cs/>
              <w:sz w:val="28"/>
              <w:szCs w:val="28"/>
            </w:rPr>
            <w:fldChar w:fldCharType="begin"/>
          </w:r>
          <w:r>
            <w:rPr>
              <w:rFonts w:hint="eastAsia" w:asciiTheme="majorEastAsia" w:hAnsiTheme="majorEastAsia" w:eastAsiaTheme="majorEastAsia" w:cstheme="majorEastAsia"/>
              <w:bCs/>
              <w:sz w:val="28"/>
              <w:szCs w:val="28"/>
            </w:rPr>
            <w:instrText xml:space="preserve"> HYPERLINK \l _Toc6375 </w:instrText>
          </w:r>
          <w:r>
            <w:rPr>
              <w:rFonts w:hint="eastAsia" w:asciiTheme="majorEastAsia" w:hAnsiTheme="majorEastAsia" w:eastAsiaTheme="majorEastAsia" w:cstheme="majorEastAsia"/>
              <w:bCs/>
              <w:sz w:val="28"/>
              <w:szCs w:val="28"/>
            </w:rPr>
            <w:fldChar w:fldCharType="separate"/>
          </w:r>
          <w:r>
            <w:rPr>
              <w:rFonts w:hint="eastAsia" w:asciiTheme="majorEastAsia" w:hAnsiTheme="majorEastAsia" w:eastAsiaTheme="majorEastAsia" w:cstheme="majorEastAsia"/>
              <w:bCs/>
              <w:sz w:val="28"/>
              <w:szCs w:val="28"/>
            </w:rPr>
            <w:t>（二）项目服务范围</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_Toc6375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bCs/>
              <w:sz w:val="28"/>
              <w:szCs w:val="28"/>
            </w:rPr>
            <w:fldChar w:fldCharType="end"/>
          </w:r>
        </w:p>
        <w:p>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Cs/>
              <w:sz w:val="28"/>
              <w:szCs w:val="28"/>
            </w:rPr>
            <w:fldChar w:fldCharType="begin"/>
          </w:r>
          <w:r>
            <w:rPr>
              <w:rFonts w:hint="eastAsia" w:asciiTheme="majorEastAsia" w:hAnsiTheme="majorEastAsia" w:eastAsiaTheme="majorEastAsia" w:cstheme="majorEastAsia"/>
              <w:bCs/>
              <w:sz w:val="28"/>
              <w:szCs w:val="28"/>
            </w:rPr>
            <w:instrText xml:space="preserve"> HYPERLINK \l _Toc12170 </w:instrText>
          </w:r>
          <w:r>
            <w:rPr>
              <w:rFonts w:hint="eastAsia" w:asciiTheme="majorEastAsia" w:hAnsiTheme="majorEastAsia" w:eastAsiaTheme="majorEastAsia" w:cstheme="majorEastAsia"/>
              <w:bCs/>
              <w:sz w:val="28"/>
              <w:szCs w:val="28"/>
            </w:rPr>
            <w:fldChar w:fldCharType="separate"/>
          </w:r>
          <w:r>
            <w:rPr>
              <w:rFonts w:hint="eastAsia" w:asciiTheme="majorEastAsia" w:hAnsiTheme="majorEastAsia" w:eastAsiaTheme="majorEastAsia" w:cstheme="majorEastAsia"/>
              <w:bCs/>
              <w:sz w:val="28"/>
              <w:szCs w:val="28"/>
              <w:lang w:eastAsia="zh-CN"/>
            </w:rPr>
            <w:t>（</w:t>
          </w:r>
          <w:r>
            <w:rPr>
              <w:rFonts w:hint="eastAsia" w:asciiTheme="majorEastAsia" w:hAnsiTheme="majorEastAsia" w:eastAsiaTheme="majorEastAsia" w:cstheme="majorEastAsia"/>
              <w:bCs/>
              <w:sz w:val="28"/>
              <w:szCs w:val="28"/>
              <w:lang w:val="en-US" w:eastAsia="zh-CN"/>
            </w:rPr>
            <w:t>三</w:t>
          </w:r>
          <w:r>
            <w:rPr>
              <w:rFonts w:hint="eastAsia" w:asciiTheme="majorEastAsia" w:hAnsiTheme="majorEastAsia" w:eastAsiaTheme="majorEastAsia" w:cstheme="majorEastAsia"/>
              <w:bCs/>
              <w:sz w:val="28"/>
              <w:szCs w:val="28"/>
              <w:lang w:eastAsia="zh-CN"/>
            </w:rPr>
            <w:t>）检测鉴定主要内容</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_Toc12170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bCs/>
              <w:sz w:val="28"/>
              <w:szCs w:val="28"/>
            </w:rPr>
            <w:fldChar w:fldCharType="end"/>
          </w:r>
        </w:p>
        <w:p>
          <w:pPr>
            <w:pStyle w:val="10"/>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Cs/>
              <w:sz w:val="28"/>
              <w:szCs w:val="28"/>
            </w:rPr>
            <w:fldChar w:fldCharType="begin"/>
          </w:r>
          <w:r>
            <w:rPr>
              <w:rFonts w:hint="eastAsia" w:asciiTheme="majorEastAsia" w:hAnsiTheme="majorEastAsia" w:eastAsiaTheme="majorEastAsia" w:cstheme="majorEastAsia"/>
              <w:bCs/>
              <w:sz w:val="28"/>
              <w:szCs w:val="28"/>
            </w:rPr>
            <w:instrText xml:space="preserve"> HYPERLINK \l _Toc13169 </w:instrText>
          </w:r>
          <w:r>
            <w:rPr>
              <w:rFonts w:hint="eastAsia" w:asciiTheme="majorEastAsia" w:hAnsiTheme="majorEastAsia" w:eastAsiaTheme="majorEastAsia" w:cstheme="majorEastAsia"/>
              <w:bCs/>
              <w:sz w:val="28"/>
              <w:szCs w:val="28"/>
            </w:rPr>
            <w:fldChar w:fldCharType="separate"/>
          </w:r>
          <w:r>
            <w:rPr>
              <w:rFonts w:hint="eastAsia" w:asciiTheme="majorEastAsia" w:hAnsiTheme="majorEastAsia" w:eastAsiaTheme="majorEastAsia" w:cstheme="majorEastAsia"/>
              <w:bCs/>
              <w:sz w:val="28"/>
              <w:szCs w:val="28"/>
            </w:rPr>
            <w:t>二、项目服务标准及要求</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_Toc13169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bCs/>
              <w:sz w:val="28"/>
              <w:szCs w:val="28"/>
            </w:rPr>
            <w:fldChar w:fldCharType="end"/>
          </w:r>
        </w:p>
        <w:p>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Cs/>
              <w:sz w:val="28"/>
              <w:szCs w:val="28"/>
            </w:rPr>
            <w:fldChar w:fldCharType="begin"/>
          </w:r>
          <w:r>
            <w:rPr>
              <w:rFonts w:hint="eastAsia" w:asciiTheme="majorEastAsia" w:hAnsiTheme="majorEastAsia" w:eastAsiaTheme="majorEastAsia" w:cstheme="majorEastAsia"/>
              <w:bCs/>
              <w:sz w:val="28"/>
              <w:szCs w:val="28"/>
            </w:rPr>
            <w:instrText xml:space="preserve"> HYPERLINK \l _Toc29566 </w:instrText>
          </w:r>
          <w:r>
            <w:rPr>
              <w:rFonts w:hint="eastAsia" w:asciiTheme="majorEastAsia" w:hAnsiTheme="majorEastAsia" w:eastAsiaTheme="majorEastAsia" w:cstheme="majorEastAsia"/>
              <w:bCs/>
              <w:sz w:val="28"/>
              <w:szCs w:val="28"/>
            </w:rPr>
            <w:fldChar w:fldCharType="separate"/>
          </w:r>
          <w:r>
            <w:rPr>
              <w:rFonts w:hint="eastAsia" w:asciiTheme="majorEastAsia" w:hAnsiTheme="majorEastAsia" w:eastAsiaTheme="majorEastAsia" w:cstheme="majorEastAsia"/>
              <w:bCs/>
              <w:sz w:val="28"/>
              <w:szCs w:val="28"/>
            </w:rPr>
            <w:t>（一）项目服务标准</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_Toc29566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bCs/>
              <w:sz w:val="28"/>
              <w:szCs w:val="28"/>
            </w:rPr>
            <w:fldChar w:fldCharType="end"/>
          </w:r>
        </w:p>
        <w:p>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Cs/>
              <w:sz w:val="28"/>
              <w:szCs w:val="28"/>
            </w:rPr>
            <w:fldChar w:fldCharType="begin"/>
          </w:r>
          <w:r>
            <w:rPr>
              <w:rFonts w:hint="eastAsia" w:asciiTheme="majorEastAsia" w:hAnsiTheme="majorEastAsia" w:eastAsiaTheme="majorEastAsia" w:cstheme="majorEastAsia"/>
              <w:bCs/>
              <w:sz w:val="28"/>
              <w:szCs w:val="28"/>
            </w:rPr>
            <w:instrText xml:space="preserve"> HYPERLINK \l _Toc28861 </w:instrText>
          </w:r>
          <w:r>
            <w:rPr>
              <w:rFonts w:hint="eastAsia" w:asciiTheme="majorEastAsia" w:hAnsiTheme="majorEastAsia" w:eastAsiaTheme="majorEastAsia" w:cstheme="majorEastAsia"/>
              <w:bCs/>
              <w:sz w:val="28"/>
              <w:szCs w:val="28"/>
            </w:rPr>
            <w:fldChar w:fldCharType="separate"/>
          </w:r>
          <w:r>
            <w:rPr>
              <w:rFonts w:hint="eastAsia" w:asciiTheme="majorEastAsia" w:hAnsiTheme="majorEastAsia" w:eastAsiaTheme="majorEastAsia" w:cstheme="majorEastAsia"/>
              <w:bCs/>
              <w:sz w:val="28"/>
              <w:szCs w:val="28"/>
            </w:rPr>
            <w:t>（二）项目服务要求</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_Toc28861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bCs/>
              <w:sz w:val="28"/>
              <w:szCs w:val="28"/>
            </w:rPr>
            <w:fldChar w:fldCharType="end"/>
          </w:r>
        </w:p>
        <w:p>
          <w:pPr>
            <w:pStyle w:val="11"/>
            <w:tabs>
              <w:tab w:val="right" w:leader="dot" w:pos="8306"/>
            </w:tabs>
            <w:rPr>
              <w:rFonts w:hint="eastAsia" w:asciiTheme="majorEastAsia" w:hAnsiTheme="majorEastAsia" w:eastAsiaTheme="majorEastAsia" w:cstheme="majorEastAsia"/>
              <w:bCs/>
              <w:sz w:val="28"/>
              <w:szCs w:val="28"/>
            </w:rPr>
          </w:pPr>
          <w:r>
            <w:rPr>
              <w:rFonts w:hint="eastAsia" w:asciiTheme="majorEastAsia" w:hAnsiTheme="majorEastAsia" w:eastAsiaTheme="majorEastAsia" w:cstheme="majorEastAsia"/>
              <w:bCs/>
              <w:sz w:val="28"/>
              <w:szCs w:val="28"/>
            </w:rPr>
            <w:fldChar w:fldCharType="begin"/>
          </w:r>
          <w:r>
            <w:rPr>
              <w:rFonts w:hint="eastAsia" w:asciiTheme="majorEastAsia" w:hAnsiTheme="majorEastAsia" w:eastAsiaTheme="majorEastAsia" w:cstheme="majorEastAsia"/>
              <w:bCs/>
              <w:sz w:val="28"/>
              <w:szCs w:val="28"/>
            </w:rPr>
            <w:instrText xml:space="preserve"> HYPERLINK \l _Toc29245 </w:instrText>
          </w:r>
          <w:r>
            <w:rPr>
              <w:rFonts w:hint="eastAsia" w:asciiTheme="majorEastAsia" w:hAnsiTheme="majorEastAsia" w:eastAsiaTheme="majorEastAsia" w:cstheme="majorEastAsia"/>
              <w:bCs/>
              <w:sz w:val="28"/>
              <w:szCs w:val="28"/>
            </w:rPr>
            <w:fldChar w:fldCharType="separate"/>
          </w:r>
          <w:r>
            <w:rPr>
              <w:rFonts w:hint="eastAsia" w:asciiTheme="majorEastAsia" w:hAnsiTheme="majorEastAsia" w:eastAsiaTheme="majorEastAsia" w:cstheme="majorEastAsia"/>
              <w:kern w:val="2"/>
              <w:sz w:val="28"/>
              <w:szCs w:val="28"/>
              <w:lang w:val="en-US" w:eastAsia="zh-CN" w:bidi="ar-SA"/>
            </w:rPr>
            <w:t>附件1房屋安全检测具体工作要求</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_Toc29245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7</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bCs/>
              <w:sz w:val="28"/>
              <w:szCs w:val="28"/>
            </w:rPr>
            <w:fldChar w:fldCharType="end"/>
          </w:r>
        </w:p>
        <w:p>
          <w:pPr>
            <w:pStyle w:val="11"/>
            <w:tabs>
              <w:tab w:val="right" w:leader="dot" w:pos="8306"/>
            </w:tabs>
            <w:rPr>
              <w:rFonts w:hint="eastAsia" w:asciiTheme="majorEastAsia" w:hAnsiTheme="majorEastAsia" w:eastAsiaTheme="majorEastAsia" w:cstheme="majorEastAsia"/>
              <w:bCs/>
              <w:sz w:val="28"/>
              <w:szCs w:val="28"/>
              <w:lang w:val="en-US" w:eastAsia="zh-CN"/>
            </w:rPr>
          </w:pPr>
          <w:r>
            <w:rPr>
              <w:rFonts w:hint="eastAsia" w:asciiTheme="majorEastAsia" w:hAnsiTheme="majorEastAsia" w:eastAsiaTheme="majorEastAsia" w:cstheme="majorEastAsia"/>
              <w:bCs/>
              <w:sz w:val="28"/>
              <w:szCs w:val="28"/>
              <w:lang w:val="en-US" w:eastAsia="zh-CN"/>
            </w:rPr>
            <w:t>附录2房屋安全鉴定检测情况表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lang w:val="en-US" w:eastAsia="zh-CN"/>
            </w:rPr>
            <w:t>8</w:t>
          </w:r>
        </w:p>
        <w:p/>
        <w:p>
          <w:pPr>
            <w:keepNext w:val="0"/>
            <w:keepLines w:val="0"/>
            <w:pageBreakBefore w:val="0"/>
            <w:widowControl w:val="0"/>
            <w:kinsoku/>
            <w:wordWrap/>
            <w:overflowPunct/>
            <w:topLinePunct w:val="0"/>
            <w:autoSpaceDE/>
            <w:autoSpaceDN/>
            <w:bidi w:val="0"/>
            <w:adjustRightInd/>
            <w:snapToGrid/>
            <w:spacing w:line="560" w:lineRule="exact"/>
            <w:jc w:val="center"/>
            <w:rPr>
              <w:rFonts w:hint="eastAsia" w:ascii="宋体" w:hAnsi="宋体" w:eastAsia="宋体" w:cs="宋体"/>
              <w:b/>
              <w:bCs/>
              <w:sz w:val="44"/>
              <w:szCs w:val="44"/>
            </w:rPr>
            <w:sectPr>
              <w:footerReference r:id="rId4"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bCs/>
              <w:szCs w:val="28"/>
            </w:rPr>
            <w:fldChar w:fldCharType="end"/>
          </w:r>
        </w:p>
      </w:sdtContent>
    </w:sdt>
    <w:p>
      <w:pPr>
        <w:keepNext w:val="0"/>
        <w:keepLines w:val="0"/>
        <w:pageBreakBefore w:val="0"/>
        <w:widowControl w:val="0"/>
        <w:kinsoku/>
        <w:wordWrap/>
        <w:overflowPunct/>
        <w:topLinePunct w:val="0"/>
        <w:autoSpaceDE/>
        <w:autoSpaceDN/>
        <w:bidi w:val="0"/>
        <w:adjustRightInd/>
        <w:snapToGrid/>
        <w:spacing w:line="560" w:lineRule="exact"/>
        <w:ind w:firstLine="562" w:firstLineChars="200"/>
        <w:outlineLvl w:val="0"/>
        <w:rPr>
          <w:rFonts w:ascii="宋体" w:hAnsi="宋体" w:eastAsia="宋体" w:cs="宋体"/>
          <w:b/>
          <w:bCs/>
          <w:sz w:val="28"/>
          <w:szCs w:val="28"/>
        </w:rPr>
      </w:pPr>
      <w:bookmarkStart w:id="0" w:name="_Toc5309"/>
      <w:r>
        <w:rPr>
          <w:rFonts w:hint="eastAsia" w:ascii="宋体" w:hAnsi="宋体" w:eastAsia="宋体" w:cs="宋体"/>
          <w:b/>
          <w:bCs/>
          <w:sz w:val="28"/>
          <w:szCs w:val="28"/>
        </w:rPr>
        <w:t>一、项目简介</w:t>
      </w:r>
      <w:bookmarkEnd w:id="0"/>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outlineLvl w:val="1"/>
        <w:rPr>
          <w:rFonts w:ascii="宋体" w:hAnsi="宋体" w:eastAsia="宋体" w:cs="宋体"/>
          <w:b/>
          <w:bCs/>
          <w:sz w:val="28"/>
          <w:szCs w:val="28"/>
        </w:rPr>
      </w:pPr>
      <w:bookmarkStart w:id="1" w:name="_Toc11289"/>
      <w:r>
        <w:rPr>
          <w:rFonts w:hint="eastAsia" w:ascii="宋体" w:hAnsi="宋体" w:eastAsia="宋体" w:cs="宋体"/>
          <w:b/>
          <w:bCs/>
          <w:sz w:val="28"/>
          <w:szCs w:val="28"/>
        </w:rPr>
        <w:t>（一）项目服务内容</w:t>
      </w:r>
      <w:bookmarkEnd w:id="1"/>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sz w:val="28"/>
          <w:szCs w:val="28"/>
        </w:rPr>
      </w:pPr>
      <w:bookmarkStart w:id="2" w:name="_Toc7718"/>
      <w:bookmarkStart w:id="3" w:name="_Toc17893"/>
      <w:bookmarkStart w:id="4" w:name="_Toc9674"/>
      <w:bookmarkStart w:id="5" w:name="_Toc27395"/>
      <w:r>
        <w:rPr>
          <w:rFonts w:hint="eastAsia" w:ascii="宋体" w:hAnsi="宋体" w:eastAsia="宋体" w:cs="宋体"/>
          <w:sz w:val="28"/>
          <w:szCs w:val="28"/>
        </w:rPr>
        <w:t>为加强</w:t>
      </w:r>
      <w:r>
        <w:rPr>
          <w:rFonts w:hint="eastAsia" w:ascii="宋体" w:hAnsi="宋体" w:eastAsia="宋体" w:cs="宋体"/>
          <w:sz w:val="28"/>
          <w:szCs w:val="28"/>
          <w:lang w:val="en-US" w:eastAsia="zh-CN"/>
        </w:rPr>
        <w:t>公司所属各单位</w:t>
      </w:r>
      <w:r>
        <w:rPr>
          <w:rFonts w:hint="eastAsia" w:ascii="宋体" w:hAnsi="宋体" w:eastAsia="宋体" w:cs="宋体"/>
          <w:sz w:val="28"/>
          <w:szCs w:val="28"/>
        </w:rPr>
        <w:t>房屋建筑物安全管理，强化隐患排查整治，保障员工和财产安全，现需</w:t>
      </w:r>
      <w:r>
        <w:rPr>
          <w:rFonts w:hint="eastAsia" w:ascii="宋体" w:hAnsi="宋体" w:eastAsia="宋体" w:cs="宋体"/>
          <w:sz w:val="28"/>
          <w:szCs w:val="28"/>
          <w:lang w:val="en-US" w:eastAsia="zh-CN"/>
        </w:rPr>
        <w:t>招标服务商</w:t>
      </w:r>
      <w:r>
        <w:rPr>
          <w:rFonts w:hint="eastAsia" w:ascii="宋体" w:hAnsi="宋体" w:eastAsia="宋体" w:cs="宋体"/>
          <w:sz w:val="28"/>
          <w:szCs w:val="28"/>
        </w:rPr>
        <w:t>对既有房屋开展安全使用鉴定、检测。工作内容主要分为现场综合检测部分和计算分析鉴定部分。</w:t>
      </w:r>
      <w:bookmarkEnd w:id="2"/>
      <w:bookmarkEnd w:id="3"/>
      <w:bookmarkEnd w:id="4"/>
    </w:p>
    <w:bookmarkEnd w:id="5"/>
    <w:p>
      <w:pPr>
        <w:keepNext w:val="0"/>
        <w:keepLines w:val="0"/>
        <w:pageBreakBefore w:val="0"/>
        <w:widowControl w:val="0"/>
        <w:kinsoku/>
        <w:wordWrap/>
        <w:overflowPunct/>
        <w:topLinePunct w:val="0"/>
        <w:autoSpaceDE/>
        <w:autoSpaceDN/>
        <w:bidi w:val="0"/>
        <w:adjustRightInd/>
        <w:snapToGrid/>
        <w:spacing w:line="560" w:lineRule="exact"/>
        <w:ind w:firstLine="562" w:firstLineChars="200"/>
        <w:outlineLvl w:val="1"/>
        <w:rPr>
          <w:rFonts w:ascii="宋体" w:hAnsi="宋体" w:eastAsia="宋体" w:cs="宋体"/>
          <w:b/>
          <w:bCs/>
          <w:sz w:val="28"/>
          <w:szCs w:val="28"/>
        </w:rPr>
      </w:pPr>
      <w:bookmarkStart w:id="6" w:name="_Toc6375"/>
      <w:r>
        <w:rPr>
          <w:rFonts w:hint="eastAsia" w:ascii="宋体" w:hAnsi="宋体" w:eastAsia="宋体" w:cs="宋体"/>
          <w:b/>
          <w:bCs/>
          <w:sz w:val="28"/>
          <w:szCs w:val="28"/>
        </w:rPr>
        <w:t>（二）项目服务范围</w:t>
      </w:r>
      <w:bookmarkEnd w:id="6"/>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rPr>
          <w:rFonts w:ascii="宋体" w:hAnsi="宋体" w:eastAsia="宋体" w:cs="宋体"/>
          <w:sz w:val="28"/>
          <w:szCs w:val="28"/>
        </w:rPr>
      </w:pPr>
      <w:r>
        <w:rPr>
          <w:rFonts w:hint="eastAsia" w:ascii="宋体" w:hAnsi="宋体" w:eastAsia="宋体" w:cs="宋体"/>
          <w:sz w:val="28"/>
          <w:szCs w:val="28"/>
          <w:lang w:val="en-US" w:eastAsia="zh-CN"/>
        </w:rPr>
        <w:t>本项目需求单位为：</w:t>
      </w:r>
      <w:r>
        <w:rPr>
          <w:rFonts w:hint="eastAsia" w:ascii="宋体" w:hAnsi="宋体" w:eastAsia="宋体" w:cs="宋体"/>
          <w:sz w:val="28"/>
          <w:szCs w:val="28"/>
        </w:rPr>
        <w:t>广西电网公司本部（含直属机构）、广西新电力集团、</w:t>
      </w:r>
      <w:r>
        <w:rPr>
          <w:rFonts w:hint="eastAsia" w:ascii="宋体" w:hAnsi="宋体" w:eastAsia="宋体" w:cs="宋体"/>
          <w:sz w:val="28"/>
          <w:szCs w:val="28"/>
          <w:lang w:val="en-US" w:eastAsia="zh-CN"/>
        </w:rPr>
        <w:t>电力科学研究院</w:t>
      </w:r>
      <w:r>
        <w:rPr>
          <w:rFonts w:hint="eastAsia" w:ascii="宋体" w:hAnsi="宋体" w:eastAsia="宋体" w:cs="宋体"/>
          <w:sz w:val="28"/>
          <w:szCs w:val="28"/>
        </w:rPr>
        <w:t>、</w:t>
      </w:r>
      <w:r>
        <w:rPr>
          <w:rFonts w:hint="eastAsia" w:ascii="宋体" w:hAnsi="宋体" w:eastAsia="宋体" w:cs="宋体"/>
          <w:sz w:val="28"/>
          <w:szCs w:val="28"/>
          <w:lang w:val="en-US" w:eastAsia="zh-CN"/>
        </w:rPr>
        <w:t>人才发展中心</w:t>
      </w:r>
      <w:r>
        <w:rPr>
          <w:rFonts w:hint="eastAsia" w:ascii="宋体" w:hAnsi="宋体" w:eastAsia="宋体" w:cs="宋体"/>
          <w:sz w:val="28"/>
          <w:szCs w:val="28"/>
        </w:rPr>
        <w:t>（党校）、</w:t>
      </w:r>
      <w:r>
        <w:rPr>
          <w:rFonts w:hint="eastAsia" w:ascii="宋体" w:hAnsi="宋体" w:eastAsia="宋体" w:cs="宋体"/>
          <w:sz w:val="28"/>
          <w:szCs w:val="28"/>
          <w:lang w:val="en-US" w:eastAsia="zh-CN"/>
        </w:rPr>
        <w:t>各地市供电局及其</w:t>
      </w:r>
      <w:r>
        <w:rPr>
          <w:rFonts w:hint="eastAsia" w:ascii="宋体" w:hAnsi="宋体" w:eastAsia="宋体" w:cs="宋体"/>
          <w:sz w:val="28"/>
          <w:szCs w:val="28"/>
        </w:rPr>
        <w:t>所属各单位（含新电力集团县级企业）</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具体</w:t>
      </w:r>
      <w:r>
        <w:rPr>
          <w:rFonts w:hint="eastAsia" w:ascii="宋体" w:hAnsi="宋体" w:eastAsia="宋体" w:cs="宋体"/>
          <w:sz w:val="28"/>
          <w:szCs w:val="28"/>
        </w:rPr>
        <w:t>范围如下表所示：</w:t>
      </w:r>
    </w:p>
    <w:tbl>
      <w:tblPr>
        <w:tblStyle w:val="13"/>
        <w:tblW w:w="33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4"/>
        <w:gridCol w:w="2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61" w:type="pct"/>
            <w:shd w:val="clear" w:color="auto" w:fill="8DB3E2"/>
            <w:noWrap w:val="0"/>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检测服务范围</w:t>
            </w:r>
          </w:p>
        </w:tc>
        <w:tc>
          <w:tcPr>
            <w:tcW w:w="2338" w:type="pct"/>
            <w:shd w:val="clear" w:color="auto" w:fill="8DB3E2"/>
            <w:noWrap w:val="0"/>
            <w:vAlign w:val="center"/>
          </w:tcPr>
          <w:p>
            <w:pPr>
              <w:keepNext w:val="0"/>
              <w:keepLines w:val="0"/>
              <w:widowControl/>
              <w:suppressLineNumbers w:val="0"/>
              <w:spacing w:line="360" w:lineRule="auto"/>
              <w:jc w:val="center"/>
              <w:textAlignment w:val="center"/>
              <w:rPr>
                <w:rFonts w:hint="default"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预估金额（万元）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广西电网公司本部</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北海培训基地</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桂林培训基地</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电力科学研究院</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新电力集团</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南宁网区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柳州网区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桂林网区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玉林网区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河池网区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梧州网区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北海网区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钦州网区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防城港网区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贵港网区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崇左网区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来宾网区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百色网区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贺州网区</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61" w:type="pct"/>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概算总额</w:t>
            </w:r>
          </w:p>
        </w:tc>
        <w:tc>
          <w:tcPr>
            <w:tcW w:w="2338" w:type="pct"/>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1325.73</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rPr>
          <w:rFonts w:hint="eastAsia" w:ascii="楷体_GB2312" w:hAnsi="楷体_GB2312" w:eastAsia="楷体_GB2312" w:cs="楷体_GB2312"/>
          <w:sz w:val="28"/>
          <w:szCs w:val="28"/>
          <w:lang w:val="en-US" w:eastAsia="zh-CN"/>
        </w:rPr>
      </w:pPr>
      <w:r>
        <w:rPr>
          <w:rFonts w:hint="eastAsia" w:ascii="楷体_GB2312" w:hAnsi="楷体_GB2312" w:eastAsia="楷体_GB2312" w:cs="楷体_GB2312"/>
          <w:sz w:val="28"/>
          <w:szCs w:val="28"/>
        </w:rPr>
        <w:t>注：每次服务的具体范围由采购方根据实际需求确定。各单位实际结算金额原则上不得超过</w:t>
      </w:r>
      <w:r>
        <w:rPr>
          <w:rFonts w:hint="eastAsia" w:ascii="楷体_GB2312" w:hAnsi="楷体_GB2312" w:eastAsia="楷体_GB2312" w:cs="楷体_GB2312"/>
          <w:sz w:val="28"/>
          <w:szCs w:val="28"/>
          <w:lang w:val="en-US" w:eastAsia="zh-CN"/>
        </w:rPr>
        <w:t>本三级单位</w:t>
      </w:r>
      <w:r>
        <w:rPr>
          <w:rFonts w:hint="eastAsia" w:ascii="楷体_GB2312" w:hAnsi="楷体_GB2312" w:eastAsia="楷体_GB2312" w:cs="楷体_GB2312"/>
          <w:sz w:val="28"/>
          <w:szCs w:val="28"/>
        </w:rPr>
        <w:t>预估金额的120%。如遇地震等特殊情况确需增加检测面积，</w:t>
      </w:r>
      <w:r>
        <w:rPr>
          <w:rFonts w:hint="eastAsia" w:ascii="楷体_GB2312" w:hAnsi="楷体_GB2312" w:eastAsia="楷体_GB2312" w:cs="楷体_GB2312"/>
          <w:sz w:val="28"/>
          <w:szCs w:val="28"/>
          <w:lang w:val="en-US" w:eastAsia="zh-CN"/>
        </w:rPr>
        <w:t>经广西电网公司同意后，可增加，但广西电网公司</w:t>
      </w:r>
      <w:r>
        <w:rPr>
          <w:rFonts w:hint="eastAsia" w:ascii="楷体_GB2312" w:hAnsi="楷体_GB2312" w:eastAsia="楷体_GB2312" w:cs="楷体_GB2312"/>
          <w:sz w:val="28"/>
          <w:szCs w:val="28"/>
        </w:rPr>
        <w:t>累计结算金额亦不得超过概算总金额的120%，即人民币1</w:t>
      </w:r>
      <w:r>
        <w:rPr>
          <w:rFonts w:hint="eastAsia" w:ascii="楷体_GB2312" w:hAnsi="楷体_GB2312" w:eastAsia="楷体_GB2312" w:cs="楷体_GB2312"/>
          <w:sz w:val="28"/>
          <w:szCs w:val="28"/>
          <w:lang w:val="en-US" w:eastAsia="zh-CN"/>
        </w:rPr>
        <w:t>590.876</w:t>
      </w:r>
      <w:r>
        <w:rPr>
          <w:rFonts w:hint="eastAsia" w:ascii="楷体_GB2312" w:hAnsi="楷体_GB2312" w:eastAsia="楷体_GB2312" w:cs="楷体_GB2312"/>
          <w:sz w:val="28"/>
          <w:szCs w:val="28"/>
        </w:rPr>
        <w:t>万元。</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outlineLvl w:val="1"/>
        <w:rPr>
          <w:rFonts w:hint="eastAsia" w:ascii="宋体" w:hAnsi="宋体" w:eastAsia="宋体" w:cs="宋体"/>
          <w:b/>
          <w:bCs/>
          <w:sz w:val="28"/>
          <w:szCs w:val="28"/>
          <w:lang w:eastAsia="zh-CN"/>
        </w:rPr>
      </w:pPr>
      <w:bookmarkStart w:id="7" w:name="_Toc12170"/>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三</w:t>
      </w:r>
      <w:r>
        <w:rPr>
          <w:rFonts w:hint="eastAsia" w:ascii="宋体" w:hAnsi="宋体" w:eastAsia="宋体" w:cs="宋体"/>
          <w:b/>
          <w:bCs/>
          <w:sz w:val="28"/>
          <w:szCs w:val="28"/>
          <w:lang w:eastAsia="zh-CN"/>
        </w:rPr>
        <w:t>）检测鉴定主要内容（</w:t>
      </w:r>
      <w:r>
        <w:rPr>
          <w:rFonts w:hint="eastAsia" w:ascii="宋体" w:hAnsi="宋体" w:eastAsia="宋体" w:cs="宋体"/>
          <w:b/>
          <w:bCs/>
          <w:sz w:val="28"/>
          <w:szCs w:val="28"/>
          <w:lang w:val="en-US" w:eastAsia="zh-CN"/>
        </w:rPr>
        <w:t>包括但不限于以下方面</w:t>
      </w:r>
      <w:r>
        <w:rPr>
          <w:rFonts w:hint="eastAsia" w:ascii="宋体" w:hAnsi="宋体" w:eastAsia="宋体" w:cs="宋体"/>
          <w:b/>
          <w:bCs/>
          <w:sz w:val="28"/>
          <w:szCs w:val="28"/>
          <w:lang w:eastAsia="zh-CN"/>
        </w:rPr>
        <w:t>）</w:t>
      </w:r>
      <w:bookmarkEnd w:id="7"/>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1、资料核查</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包括原结构设计图纸、现状荷载情况（后期改造设计要求）及历史修缮加固记录；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2、地基基础部分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(1)建筑不均匀沉降检查</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 通过检查建筑构件裂缝发展规律以及查勘建筑周边散水、地面是否出现不均匀沉降裂缝等，间接反映该建筑地基基础是否发生明显的不均匀沉降。</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(2)建筑物倾斜观测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对建筑物可观测的建筑大角进行建筑物垂直度观测，检查该建筑现阶段倾斜是否满足国家现行相关规范要求。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使用多年的建筑物，其沉降应已经趋于稳定，其周边地表及建筑倾斜数据可间接反映其基础工作状态。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3、上部主体结构部分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(1)建筑现状检查及描述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检查建筑承重墙、梁、板等构件外观质量，检查构件有无破损、明显变形、保护层剥落、钢筋外露、锈蚀现象、抹灰脱落、墙体砂浆是否饱满等，是否有影响结构性能的裂缝;连接部位是否有影响结构传力性能的缺陷，对存在有缺陷的结构构件应记录存在部位、范围以及量测的数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(2)墙体砌筑砂浆强度抽检</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对建筑的砌筑砂浆进行检测，抽检若干墙体，以了解建筑墙体的砌筑砂浆实际强度。检测过程中需对所测墙体表面装饰装修层进行凿除。</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(3)结构构件截面尺寸抽检</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为了解建筑的结构构件截面尺寸情况，使用钢卷尺、钢直尺等工具对其几何尺寸情况进行检测。随机抽取主体结构的墙等主要受力构件进行检查复核。重点检查承重墙体厚度、墙体门窗洞口位置及尺寸、楼板厚度等。现场抽检若干墙体。</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(4)钢筋混凝土构件配筋抽检</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为了解建筑的钢筋混凝土结构构件的钢筋配置情况，使用混凝土钢筋检测仪、游标卡尺等仪器设备对其配筋情况进行检测，同时适当凿开部分混凝土保护层，检测钢筋的直径和数量。现场抽检若干楼板。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4、构件复核验算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(1)图纸恢复</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若建筑物相关报备、图纸等相关资料已缺失，检测时应根据现场实际情况以及委托方提供的资料，绘制出该建筑物平面布置图，现场对该建筑物的柱、梁、板的钢筋配置情况以及该建筑墙、柱、梁、板构件的几何尺寸进行检测鉴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(2)承载力验算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综合上述检查、检测结果，对建筑承重墙墙体以及梁混凝土构件进行复核验算。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5、鉴定评级</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根据检测鉴定结果确定建筑的安全性等级，提出处理意见及建议。</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outlineLvl w:val="0"/>
        <w:rPr>
          <w:rFonts w:ascii="宋体" w:hAnsi="宋体" w:eastAsia="宋体" w:cs="宋体"/>
          <w:b/>
          <w:bCs/>
          <w:sz w:val="28"/>
          <w:szCs w:val="28"/>
        </w:rPr>
      </w:pPr>
      <w:bookmarkStart w:id="8" w:name="_Toc13169"/>
      <w:r>
        <w:rPr>
          <w:rFonts w:hint="eastAsia" w:ascii="宋体" w:hAnsi="宋体" w:eastAsia="宋体" w:cs="宋体"/>
          <w:b/>
          <w:bCs/>
          <w:sz w:val="28"/>
          <w:szCs w:val="28"/>
        </w:rPr>
        <w:t>二、项目服务标准及要求</w:t>
      </w:r>
      <w:bookmarkEnd w:id="8"/>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outlineLvl w:val="1"/>
        <w:rPr>
          <w:rFonts w:ascii="宋体" w:hAnsi="宋体" w:eastAsia="宋体" w:cs="宋体"/>
          <w:b/>
          <w:bCs/>
          <w:sz w:val="28"/>
          <w:szCs w:val="28"/>
        </w:rPr>
      </w:pPr>
      <w:bookmarkStart w:id="9" w:name="_Toc29566"/>
      <w:r>
        <w:rPr>
          <w:rFonts w:hint="eastAsia" w:ascii="宋体" w:hAnsi="宋体" w:eastAsia="宋体" w:cs="宋体"/>
          <w:b/>
          <w:bCs/>
          <w:sz w:val="28"/>
          <w:szCs w:val="28"/>
        </w:rPr>
        <w:t>（一）项目服务标准</w:t>
      </w:r>
      <w:bookmarkEnd w:id="9"/>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rPr>
          <w:rFonts w:hint="eastAsia"/>
          <w:sz w:val="28"/>
          <w:szCs w:val="28"/>
        </w:rPr>
      </w:pPr>
      <w:r>
        <w:rPr>
          <w:rFonts w:hint="eastAsia"/>
          <w:sz w:val="28"/>
          <w:szCs w:val="28"/>
        </w:rPr>
        <w:t>服务商在提供房屋安全检测服务时，需按照如下标准执行，要求所用标准必须为最新版本，如果这些标准有矛盾时，应按最高标准的条款执行或按双方商定的标准执行。此外，如果在合同执行期间国家颁布新的标准时，应按最新的条款执行。</w:t>
      </w:r>
    </w:p>
    <w:p>
      <w:pPr>
        <w:keepNext w:val="0"/>
        <w:keepLines w:val="0"/>
        <w:pageBreakBefore w:val="0"/>
        <w:widowControl w:val="0"/>
        <w:kinsoku/>
        <w:wordWrap/>
        <w:overflowPunct/>
        <w:topLinePunct w:val="0"/>
        <w:autoSpaceDE/>
        <w:autoSpaceDN/>
        <w:bidi w:val="0"/>
        <w:adjustRightInd/>
        <w:snapToGrid/>
        <w:spacing w:line="560" w:lineRule="exact"/>
        <w:jc w:val="center"/>
        <w:rPr>
          <w:rFonts w:hint="eastAsia" w:eastAsiaTheme="minorEastAsia"/>
          <w:b/>
          <w:bCs/>
          <w:sz w:val="28"/>
          <w:szCs w:val="28"/>
          <w:lang w:val="en-US" w:eastAsia="zh-CN"/>
        </w:rPr>
      </w:pPr>
      <w:r>
        <w:rPr>
          <w:rFonts w:hint="eastAsia"/>
          <w:b/>
          <w:bCs/>
          <w:sz w:val="28"/>
          <w:szCs w:val="28"/>
        </w:rPr>
        <w:t>表：项目服务标准</w:t>
      </w:r>
    </w:p>
    <w:tbl>
      <w:tblPr>
        <w:tblStyle w:val="13"/>
        <w:tblW w:w="0" w:type="auto"/>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8"/>
        <w:gridCol w:w="7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blHeader/>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cstheme="minorEastAsia"/>
                <w:b/>
                <w:bCs/>
                <w:sz w:val="24"/>
              </w:rPr>
            </w:pPr>
            <w:r>
              <w:rPr>
                <w:rFonts w:hint="eastAsia" w:asciiTheme="minorEastAsia" w:hAnsiTheme="minorEastAsia" w:cstheme="minorEastAsia"/>
                <w:b/>
                <w:bCs/>
                <w:sz w:val="24"/>
              </w:rPr>
              <w:t>序号</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bCs/>
                <w:sz w:val="24"/>
                <w:lang w:val="en-US" w:eastAsia="zh-CN"/>
              </w:rPr>
            </w:pPr>
            <w:r>
              <w:rPr>
                <w:rFonts w:hint="eastAsia" w:asciiTheme="minorEastAsia" w:hAnsiTheme="minorEastAsia" w:cstheme="minorEastAsia"/>
                <w:b/>
                <w:bCs/>
                <w:sz w:val="24"/>
                <w:lang w:val="en-US" w:eastAsia="zh-CN"/>
              </w:rPr>
              <w:t>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1</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《中华人民共和国建筑法》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2</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《建设工程质量管理条例》（国务院令第279号）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3</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《建设工程质量检测管理办法》（住建部令第57号）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4</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《建筑结构检测技术标准》（GB/T 50344-2019）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5</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《建筑变形测量规范》（JGJ 8-2016）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6</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《危险房屋鉴定标准》（JGJ 125-2016）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7</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《民用建筑可靠性鉴定标准》（GB 50292-2015）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8</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lang w:val="en-US" w:eastAsia="zh-CN"/>
              </w:rPr>
            </w:pPr>
            <w:r>
              <w:rPr>
                <w:rFonts w:hint="eastAsia" w:ascii="宋体" w:hAnsi="宋体" w:cs="宋体"/>
                <w:sz w:val="24"/>
              </w:rPr>
              <w:t>《工业建筑可靠性鉴定标准》（GB 50144-2019）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sz w:val="24"/>
                <w:lang w:val="en-US" w:eastAsia="zh-CN"/>
              </w:rPr>
            </w:pPr>
            <w:r>
              <w:rPr>
                <w:rFonts w:hint="eastAsia" w:ascii="宋体" w:hAnsi="宋体" w:cs="宋体"/>
                <w:sz w:val="24"/>
                <w:lang w:val="en-US" w:eastAsia="zh-CN"/>
              </w:rPr>
              <w:t>9</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lang w:val="en-US" w:eastAsia="zh-CN"/>
              </w:rPr>
            </w:pPr>
            <w:r>
              <w:rPr>
                <w:rFonts w:hint="eastAsia" w:ascii="宋体" w:hAnsi="宋体" w:cs="宋体"/>
                <w:sz w:val="24"/>
              </w:rPr>
              <w:t>《砌体工程现场检测技术标准》（GB/T 50315-2011）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8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eastAsiaTheme="minorEastAsia"/>
                <w:sz w:val="24"/>
                <w:lang w:val="en-US" w:eastAsia="zh-CN"/>
              </w:rPr>
            </w:pPr>
            <w:r>
              <w:rPr>
                <w:rFonts w:hint="eastAsia" w:ascii="宋体" w:hAnsi="宋体" w:cs="宋体"/>
                <w:sz w:val="24"/>
                <w:lang w:val="en-US" w:eastAsia="zh-CN"/>
              </w:rPr>
              <w:t>10</w:t>
            </w:r>
          </w:p>
        </w:tc>
        <w:tc>
          <w:tcPr>
            <w:tcW w:w="735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lang w:val="en-US" w:eastAsia="zh-CN"/>
              </w:rPr>
            </w:pPr>
            <w:r>
              <w:rPr>
                <w:rFonts w:hint="eastAsia" w:ascii="宋体" w:hAnsi="宋体" w:cs="宋体"/>
                <w:sz w:val="24"/>
              </w:rPr>
              <w:t>《混凝土结构现场检测技术标准》（GB/T 50784-2013）</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1"/>
        <w:rPr>
          <w:rFonts w:hint="eastAsia" w:ascii="楷体_GB2312" w:hAnsi="楷体_GB2312" w:eastAsia="楷体_GB2312" w:cs="楷体_GB2312"/>
          <w:b w:val="0"/>
          <w:bCs w:val="0"/>
          <w:sz w:val="28"/>
          <w:szCs w:val="28"/>
          <w:lang w:val="en-US" w:eastAsia="zh-CN"/>
        </w:rPr>
      </w:pPr>
      <w:bookmarkStart w:id="10" w:name="_Toc9852"/>
      <w:r>
        <w:rPr>
          <w:rFonts w:hint="eastAsia" w:ascii="楷体_GB2312" w:hAnsi="楷体_GB2312" w:eastAsia="楷体_GB2312" w:cs="楷体_GB2312"/>
          <w:b w:val="0"/>
          <w:bCs w:val="0"/>
          <w:sz w:val="28"/>
          <w:szCs w:val="28"/>
          <w:lang w:val="en-US" w:eastAsia="zh-CN"/>
        </w:rPr>
        <w:t>注：包括但不限于上述标准。</w:t>
      </w:r>
      <w:bookmarkEnd w:id="10"/>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outlineLvl w:val="1"/>
        <w:rPr>
          <w:rFonts w:ascii="宋体" w:hAnsi="宋体" w:eastAsia="宋体" w:cs="宋体"/>
          <w:b/>
          <w:bCs/>
          <w:sz w:val="28"/>
          <w:szCs w:val="28"/>
        </w:rPr>
      </w:pPr>
      <w:bookmarkStart w:id="11" w:name="_Toc28861"/>
      <w:r>
        <w:rPr>
          <w:rFonts w:hint="eastAsia" w:ascii="宋体" w:hAnsi="宋体" w:eastAsia="宋体" w:cs="宋体"/>
          <w:b/>
          <w:bCs/>
          <w:sz w:val="28"/>
          <w:szCs w:val="28"/>
        </w:rPr>
        <w:t>（二）项目服务要求</w:t>
      </w:r>
      <w:bookmarkEnd w:id="11"/>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1.合同实施前，服务商需指派专人进行对接，对采购方房屋安全检测的服务需求进行全面摸查和理解。</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r>
        <w:rPr>
          <w:rFonts w:hint="eastAsia" w:ascii="宋体" w:hAnsi="宋体" w:eastAsia="宋体" w:cs="宋体"/>
          <w:bCs/>
          <w:color w:val="auto"/>
          <w:sz w:val="28"/>
          <w:szCs w:val="28"/>
          <w:lang w:val="en-US" w:eastAsia="zh-CN"/>
        </w:rPr>
        <w:t>为保证工作正常有序开展，服务商必须按照采购方的要求执行（详见附件1），按时按质地提供相关服务。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3.在房屋安全鉴定前，应根据采购方提出的鉴定原因、范围、目的，由服务商根据国家相关检测鉴定技术标准、规经初步调查后综合出具鉴定方案。</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服务商应根据房屋损坏现状和损坏发展趋势，及时出具鉴定意见，为采购方制定紧急处理措施提供技术依据，并结合房屋结构工作状态出具鉴定报告。检测报告经检测人员签字、检测机构法定代表人或者其授权的签字人签署，并加盖检测机构公章或者检测专用章。</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5.服务商应在完成全部现场检测工作后20个工作日内，向采购方提交正式的检测鉴定报告。如因采购方原因或不可抗力导致延误，时限可相应顺延。出具检测报告,安全鉴定要求有力学等数据分析，有鉴定结果或结论，检测报告应加盖服务商公章，并4份。房屋鉴定报告宜包括房屋概况、鉴定目的和内容、鉴定依据、现场检查检测结果、结构承载力复核结果、房屋损坏原因分析、鉴定评级、鉴定结论、处理建议、附检测报告及相关图纸等部分。具体可根据不同的鉴定类别选取。服务商针对用户提出的合理化建议应采取有效的改进措施，提高服务质量。</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6.服务商所派人员进入采购方的相关场所时，需要严格遵守和执行采购方的相关管理规定。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7.</w:t>
      </w:r>
      <w:r>
        <w:rPr>
          <w:rFonts w:hint="eastAsia" w:asciiTheme="minorEastAsia" w:hAnsiTheme="minorEastAsia" w:cstheme="minorEastAsia"/>
          <w:sz w:val="28"/>
          <w:szCs w:val="28"/>
          <w:lang w:val="en-US" w:eastAsia="zh-CN"/>
        </w:rPr>
        <w:t>服务商提供24小时服务热线（热线电话、微信、传真、电子邮件等）。服务商在接到采购方的需求后，必须在1小时内作出响应，并在采购方规定的时间内，到达现场，满足需求。若服务商预期无法按规定时间完成需求，则需提前通知采购方，采购方同意后，方可执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8. 服务商应建立健全安全管理制度。在服务过程中，因服务商或其人员未履行安全职责、违反操作规程等原因造成的人员伤亡、财产损失，由服务商承担全部责任。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9.服务商的检测人员应严格遵守有关法律法规和采购方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pPr>
        <w:keepNext/>
        <w:keepLines w:val="0"/>
        <w:pageBreakBefore w:val="0"/>
        <w:widowControl w:val="0"/>
        <w:kinsoku/>
        <w:wordWrap/>
        <w:overflowPunct/>
        <w:topLinePunct w:val="0"/>
        <w:autoSpaceDE/>
        <w:autoSpaceDN/>
        <w:bidi w:val="0"/>
        <w:adjustRightInd/>
        <w:snapToGrid/>
        <w:spacing w:line="560" w:lineRule="exact"/>
        <w:ind w:firstLine="560" w:firstLineChars="200"/>
        <w:outlineLvl w:val="9"/>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10.服务商不得将本项目的主体、关键性检测鉴定工作（包括但不限于现场检测、结构复核验算、鉴定评级）进行转包或分包。对于部分非主体、非关键性的辅助工作（如钻芯取样、材料送检等），如需分包，服务商必须事先获得采购方的书面同意，且分包单位须具备相应资质。服务商应对分包单位的工作质量和行为承担全部责任。</w:t>
      </w:r>
    </w:p>
    <w:p>
      <w:pPr>
        <w:keepNext/>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11.服务商应建立《房屋安全鉴定检测情况表》（详见附录2），并于每年5月底及11月底前，向广西电网公司及其所属三级单位书面反馈检测工作情况。对于鉴定结果为Dsu且有人居住的建筑，服务商应在检测报告出具之日起1个月内，将相关情况报送至广西电网公司办公室及所在三级单位。未按要求落实的，各级单位可依据供应商服务评价相关规定予以扣分处理。</w:t>
      </w:r>
    </w:p>
    <w:p>
      <w:pPr>
        <w:keepLines w:val="0"/>
        <w:pageBreakBefore w:val="0"/>
        <w:widowControl w:val="0"/>
        <w:kinsoku/>
        <w:wordWrap/>
        <w:overflowPunct/>
        <w:topLinePunct w:val="0"/>
        <w:autoSpaceDE/>
        <w:autoSpaceDN/>
        <w:bidi w:val="0"/>
        <w:adjustRightInd/>
        <w:snapToGrid/>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12.房屋安全鉴定报告应符合国家有关标准及《自治区住房城乡建设厅关于规范我区房屋安全鉴定管理有关工作的通知》（桂建发〔2022〕8号）等有关规定，及地方政府部门机构相关要求，如甲方需办理不动产权证的，乙方出具的房屋安全鉴定报告还需符合属地自然资源局或其他相关部门要求。</w:t>
      </w:r>
    </w:p>
    <w:p>
      <w:pPr>
        <w:rPr>
          <w:rFonts w:hint="eastAsia" w:ascii="黑体" w:hAnsi="黑体" w:eastAsia="黑体" w:cs="黑体"/>
          <w:kern w:val="2"/>
          <w:sz w:val="24"/>
          <w:szCs w:val="32"/>
          <w:lang w:val="en-US" w:eastAsia="zh-CN" w:bidi="ar-SA"/>
        </w:rPr>
      </w:pPr>
      <w:r>
        <w:rPr>
          <w:rFonts w:hint="eastAsia" w:ascii="黑体" w:hAnsi="黑体" w:eastAsia="黑体" w:cs="黑体"/>
          <w:kern w:val="2"/>
          <w:sz w:val="24"/>
          <w:szCs w:val="32"/>
          <w:lang w:val="en-US" w:eastAsia="zh-CN" w:bidi="ar-SA"/>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1"/>
        <w:rPr>
          <w:rFonts w:hint="eastAsia" w:ascii="黑体" w:hAnsi="黑体" w:eastAsia="黑体" w:cs="黑体"/>
          <w:kern w:val="2"/>
          <w:sz w:val="24"/>
          <w:szCs w:val="32"/>
          <w:lang w:val="en-US" w:eastAsia="zh-CN" w:bidi="ar-SA"/>
        </w:rPr>
      </w:pPr>
      <w:bookmarkStart w:id="12" w:name="_Toc29245"/>
      <w:r>
        <w:rPr>
          <w:rFonts w:hint="eastAsia" w:ascii="黑体" w:hAnsi="黑体" w:eastAsia="黑体" w:cs="黑体"/>
          <w:kern w:val="2"/>
          <w:sz w:val="24"/>
          <w:szCs w:val="32"/>
          <w:lang w:val="en-US" w:eastAsia="zh-CN" w:bidi="ar-SA"/>
        </w:rPr>
        <w:t>附件1</w:t>
      </w:r>
      <w:bookmarkEnd w:id="12"/>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default" w:ascii="方正小标宋_GBK" w:hAnsi="方正小标宋_GBK" w:eastAsia="方正小标宋_GBK" w:cs="方正小标宋_GBK"/>
          <w:kern w:val="2"/>
          <w:sz w:val="32"/>
          <w:szCs w:val="32"/>
          <w:lang w:val="en-US" w:eastAsia="zh-CN" w:bidi="ar-SA"/>
        </w:rPr>
      </w:pPr>
      <w:bookmarkStart w:id="13" w:name="_Toc1847"/>
      <w:r>
        <w:rPr>
          <w:rFonts w:hint="eastAsia" w:ascii="方正小标宋_GBK" w:hAnsi="方正小标宋_GBK" w:eastAsia="方正小标宋_GBK" w:cs="方正小标宋_GBK"/>
          <w:kern w:val="2"/>
          <w:sz w:val="32"/>
          <w:szCs w:val="32"/>
          <w:lang w:val="en-US" w:eastAsia="zh-CN" w:bidi="ar-SA"/>
        </w:rPr>
        <w:t>房屋安全检测具体工作</w:t>
      </w:r>
      <w:bookmarkEnd w:id="13"/>
      <w:r>
        <w:rPr>
          <w:rFonts w:hint="eastAsia" w:ascii="方正小标宋_GBK" w:hAnsi="方正小标宋_GBK" w:eastAsia="方正小标宋_GBK" w:cs="方正小标宋_GBK"/>
          <w:kern w:val="2"/>
          <w:sz w:val="32"/>
          <w:szCs w:val="32"/>
          <w:lang w:val="en-US" w:eastAsia="zh-CN" w:bidi="ar-SA"/>
        </w:rPr>
        <w:t>要求</w:t>
      </w:r>
    </w:p>
    <w:tbl>
      <w:tblPr>
        <w:tblStyle w:val="12"/>
        <w:tblW w:w="4869" w:type="pct"/>
        <w:tblInd w:w="1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6"/>
        <w:gridCol w:w="1720"/>
        <w:gridCol w:w="56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tblHeader/>
        </w:trPr>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工作内容</w:t>
            </w:r>
          </w:p>
        </w:tc>
        <w:tc>
          <w:tcPr>
            <w:tcW w:w="33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具体要求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全面安全性检测要求</w:t>
            </w:r>
          </w:p>
        </w:tc>
        <w:tc>
          <w:tcPr>
            <w:tcW w:w="33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outlineLvl w:val="9"/>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对建筑物的全面安全性进行检测，包括房屋的结构安全性、接缝、墙面、屋顶、地基等多个方面，确保建筑的安全性符合国家和行业标准。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4"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熟悉建筑构造</w:t>
            </w:r>
          </w:p>
        </w:tc>
        <w:tc>
          <w:tcPr>
            <w:tcW w:w="33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outlineLvl w:val="9"/>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熟悉并掌握建筑构造和材料性质，对建筑物的各类构件进行细致的检测，找出存在的问题和潜在的安全隐患。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提出整体性技术的建议</w:t>
            </w:r>
          </w:p>
        </w:tc>
        <w:tc>
          <w:tcPr>
            <w:tcW w:w="33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outlineLvl w:val="9"/>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依据现场的实际情况，针对可能存在的危险和缺陷给出具有可行性和针对性的整体性技术服务，包括安全改造、加固、修复和更新，提供整体性的建议。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9"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编制完善的检测报告</w:t>
            </w:r>
          </w:p>
        </w:tc>
        <w:tc>
          <w:tcPr>
            <w:tcW w:w="33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outlineLvl w:val="9"/>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制定完善的检测报告，根据检测情况制定针对性的施工方案，并定期进行现场监督，确保工程施工过程的质量与安全。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提供宣传和培训</w:t>
            </w:r>
          </w:p>
        </w:tc>
        <w:tc>
          <w:tcPr>
            <w:tcW w:w="33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outlineLvl w:val="9"/>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参与协调相关部门的宣传和培训，宣传安全知识，提高公众防灾减灾意识，促进房屋建筑水平的普及。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9"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提供现场检测的要求</w:t>
            </w:r>
          </w:p>
        </w:tc>
        <w:tc>
          <w:tcPr>
            <w:tcW w:w="33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outlineLvl w:val="9"/>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场检测包括但不限于原结构设计图纸、现状荷载情况（后期改造设计要求）及历史修缮加固记录；结构现状及质量检查；结构体系及构件布置检查；结构整体性连接构造检测；承重墙体砖砌块强度及砌筑砂浆强度检测；承重构件混凝土强度检测；承重构件配筋情况检测；承重构件截面尺寸检测；建筑整体倾斜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outlineLvl w:val="9"/>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提供分析计算鉴定的要求</w:t>
            </w:r>
          </w:p>
        </w:tc>
        <w:tc>
          <w:tcPr>
            <w:tcW w:w="33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outlineLvl w:val="9"/>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包括但不限于结构承载能力验算；结构安全性鉴定结论；处理意见和建议；出具房屋安全性使用性检测鉴定报告。</w:t>
            </w:r>
          </w:p>
        </w:tc>
      </w:tr>
    </w:tbl>
    <w:p>
      <w:pPr>
        <w:rPr>
          <w:rFonts w:hint="default" w:ascii="宋体" w:hAnsi="宋体" w:eastAsia="宋体" w:cs="宋体"/>
          <w:sz w:val="28"/>
          <w:szCs w:val="28"/>
          <w:lang w:val="en-US" w:eastAsia="zh-CN"/>
        </w:rPr>
        <w:sectPr>
          <w:footerReference r:id="rId5" w:type="default"/>
          <w:pgSz w:w="11906" w:h="16838"/>
          <w:pgMar w:top="1440" w:right="1800" w:bottom="1440" w:left="1800" w:header="851" w:footer="992" w:gutter="0"/>
          <w:pgNumType w:fmt="decimal" w:start="1"/>
          <w:cols w:space="425" w:num="1"/>
          <w:docGrid w:type="lines" w:linePitch="312" w:charSpace="0"/>
        </w:sectPr>
      </w:pPr>
      <w:r>
        <w:rPr>
          <w:rFonts w:hint="default" w:ascii="宋体" w:hAnsi="宋体" w:eastAsia="宋体" w:cs="宋体"/>
          <w:sz w:val="28"/>
          <w:szCs w:val="28"/>
          <w:lang w:val="en-US" w:eastAsia="zh-CN"/>
        </w:rPr>
        <w:br w:type="page"/>
      </w:r>
    </w:p>
    <w:p>
      <w:pPr>
        <w:pStyle w:val="2"/>
        <w:ind w:left="0" w:leftChars="0" w:firstLine="0" w:firstLineChars="0"/>
        <w:rPr>
          <w:rFonts w:hint="eastAsia" w:ascii="黑体" w:hAnsi="黑体" w:eastAsia="黑体" w:cs="黑体"/>
          <w:sz w:val="24"/>
          <w:szCs w:val="32"/>
          <w:lang w:val="en-US" w:eastAsia="zh-CN"/>
        </w:rPr>
      </w:pPr>
      <w:r>
        <w:rPr>
          <w:rFonts w:hint="eastAsia" w:ascii="黑体" w:hAnsi="黑体" w:eastAsia="黑体" w:cs="黑体"/>
          <w:sz w:val="24"/>
          <w:szCs w:val="32"/>
          <w:lang w:val="en-US" w:eastAsia="zh-CN"/>
        </w:rPr>
        <w:t>附录2</w:t>
      </w:r>
    </w:p>
    <w:p>
      <w:pPr>
        <w:pStyle w:val="2"/>
        <w:ind w:left="0" w:leftChars="0" w:firstLine="0" w:firstLineChars="0"/>
        <w:jc w:val="center"/>
        <w:rPr>
          <w:rFonts w:hint="eastAsia"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房屋安全鉴定检测情况表</w:t>
      </w:r>
    </w:p>
    <w:tbl>
      <w:tblPr>
        <w:tblStyle w:val="12"/>
        <w:tblW w:w="139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3"/>
        <w:gridCol w:w="2469"/>
        <w:gridCol w:w="1942"/>
        <w:gridCol w:w="1580"/>
        <w:gridCol w:w="1544"/>
        <w:gridCol w:w="1421"/>
        <w:gridCol w:w="1421"/>
        <w:gridCol w:w="1421"/>
        <w:gridCol w:w="1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4"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序号</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被检测单位名称</w:t>
            </w:r>
          </w:p>
        </w:tc>
        <w:tc>
          <w:tcPr>
            <w:tcW w:w="1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建筑名称</w:t>
            </w:r>
          </w:p>
        </w:tc>
        <w:tc>
          <w:tcPr>
            <w:tcW w:w="1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检测时间</w:t>
            </w:r>
          </w:p>
        </w:tc>
        <w:tc>
          <w:tcPr>
            <w:tcW w:w="1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检测面积（㎡）</w:t>
            </w: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单价（元/㎡）</w:t>
            </w: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金额（元）</w:t>
            </w: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房屋鉴定结果</w:t>
            </w: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黑体" w:hAnsi="黑体" w:eastAsia="黑体" w:cs="黑体"/>
                <w:i w:val="0"/>
                <w:iCs w:val="0"/>
                <w:color w:val="000000"/>
                <w:kern w:val="0"/>
                <w:sz w:val="24"/>
                <w:szCs w:val="24"/>
                <w:u w:val="none"/>
                <w:lang w:val="en-US" w:eastAsia="zh-CN" w:bidi="ar"/>
              </w:rPr>
            </w:pPr>
            <w:r>
              <w:rPr>
                <w:rFonts w:hint="eastAsia" w:ascii="黑体" w:hAnsi="黑体" w:eastAsia="黑体" w:cs="黑体"/>
                <w:i w:val="0"/>
                <w:iCs w:val="0"/>
                <w:color w:val="000000"/>
                <w:kern w:val="0"/>
                <w:sz w:val="24"/>
                <w:szCs w:val="24"/>
                <w:u w:val="none"/>
                <w:lang w:val="en-US" w:eastAsia="zh-CN" w:bidi="ar"/>
              </w:rPr>
              <w:t>该建筑是否有人居住或办公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bl>
    <w:p>
      <w:pPr>
        <w:pStyle w:val="4"/>
        <w:ind w:left="0" w:leftChars="0" w:firstLine="0" w:firstLineChars="0"/>
        <w:rPr>
          <w:rFonts w:hint="eastAsia" w:ascii="楷体_GB2312" w:hAnsi="楷体_GB2312" w:eastAsia="楷体_GB2312" w:cs="楷体_GB2312"/>
          <w:lang w:val="en-US" w:eastAsia="zh-CN"/>
        </w:rPr>
      </w:pPr>
      <w:r>
        <w:rPr>
          <w:rFonts w:hint="eastAsia" w:ascii="楷体_GB2312" w:hAnsi="楷体_GB2312" w:eastAsia="楷体_GB2312" w:cs="楷体_GB2312"/>
          <w:lang w:val="en-US" w:eastAsia="zh-CN"/>
        </w:rPr>
        <w:t>注：每年5月、11月底前向广西电网公司及其所属三级单位反馈检测工作情况，对于检测为Dsu且有人居住或办公的，应在报告出具1个月内报广西电网公司及其所在三级单位。</w:t>
      </w:r>
    </w:p>
    <w:sectPr>
      <w:type w:val="continuous"/>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eastAsiaTheme="minorEastAsia"/>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default" w:eastAsiaTheme="minorEastAsia"/>
                        <w:lang w:val="en-US"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3NTE1ZDQwYmU4OWFkZmIwMGY2NmJlNThiMDZiNTQifQ=="/>
  </w:docVars>
  <w:rsids>
    <w:rsidRoot w:val="00DF5527"/>
    <w:rsid w:val="00146883"/>
    <w:rsid w:val="004C78D9"/>
    <w:rsid w:val="004E6E1A"/>
    <w:rsid w:val="005B647D"/>
    <w:rsid w:val="005D05AE"/>
    <w:rsid w:val="00631AF3"/>
    <w:rsid w:val="00B4582A"/>
    <w:rsid w:val="00DC1A5C"/>
    <w:rsid w:val="00DD42F0"/>
    <w:rsid w:val="00DF5527"/>
    <w:rsid w:val="00E74940"/>
    <w:rsid w:val="00EA7C5E"/>
    <w:rsid w:val="0242419E"/>
    <w:rsid w:val="048F07EB"/>
    <w:rsid w:val="082247F3"/>
    <w:rsid w:val="0D106867"/>
    <w:rsid w:val="0FC13816"/>
    <w:rsid w:val="118B6075"/>
    <w:rsid w:val="13F07B19"/>
    <w:rsid w:val="192D5727"/>
    <w:rsid w:val="203D3469"/>
    <w:rsid w:val="20C52F5C"/>
    <w:rsid w:val="216762BB"/>
    <w:rsid w:val="21892111"/>
    <w:rsid w:val="23A37F57"/>
    <w:rsid w:val="24220333"/>
    <w:rsid w:val="271D17CD"/>
    <w:rsid w:val="298646E4"/>
    <w:rsid w:val="2A161A27"/>
    <w:rsid w:val="2ABF5118"/>
    <w:rsid w:val="2CEF379F"/>
    <w:rsid w:val="331A29C9"/>
    <w:rsid w:val="35111533"/>
    <w:rsid w:val="3B907614"/>
    <w:rsid w:val="3BA86A0C"/>
    <w:rsid w:val="3C5178CC"/>
    <w:rsid w:val="3EBC0D11"/>
    <w:rsid w:val="42AB6DEE"/>
    <w:rsid w:val="42EE3E8A"/>
    <w:rsid w:val="432E150F"/>
    <w:rsid w:val="4576489D"/>
    <w:rsid w:val="48D0266E"/>
    <w:rsid w:val="4A062BE2"/>
    <w:rsid w:val="4C9D68CD"/>
    <w:rsid w:val="4CB168E0"/>
    <w:rsid w:val="4E555A2F"/>
    <w:rsid w:val="5371016F"/>
    <w:rsid w:val="57376E75"/>
    <w:rsid w:val="58545FB7"/>
    <w:rsid w:val="59365CCE"/>
    <w:rsid w:val="5CF753BF"/>
    <w:rsid w:val="5E070FAB"/>
    <w:rsid w:val="5E357B33"/>
    <w:rsid w:val="5EAC06BF"/>
    <w:rsid w:val="5F50016F"/>
    <w:rsid w:val="5FF01ED8"/>
    <w:rsid w:val="613856FB"/>
    <w:rsid w:val="61420ABE"/>
    <w:rsid w:val="66C22950"/>
    <w:rsid w:val="67FD47DB"/>
    <w:rsid w:val="69AB3780"/>
    <w:rsid w:val="6A394447"/>
    <w:rsid w:val="714A11AE"/>
    <w:rsid w:val="75AE57FA"/>
    <w:rsid w:val="77C144F6"/>
    <w:rsid w:val="7A644BD8"/>
    <w:rsid w:val="7AAA66EA"/>
    <w:rsid w:val="7BA01CEB"/>
    <w:rsid w:val="7C085E22"/>
    <w:rsid w:val="7E403667"/>
    <w:rsid w:val="7EAA202A"/>
    <w:rsid w:val="7F0F29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customStyle="1" w:styleId="2">
    <w:name w:val="p15"/>
    <w:basedOn w:val="1"/>
    <w:next w:val="3"/>
    <w:qFormat/>
    <w:uiPriority w:val="0"/>
    <w:pPr>
      <w:widowControl/>
      <w:autoSpaceDE/>
      <w:autoSpaceDN/>
      <w:spacing w:before="100" w:after="100" w:line="240" w:lineRule="auto"/>
      <w:ind w:left="0" w:firstLine="3584"/>
    </w:pPr>
    <w:rPr>
      <w:rFonts w:ascii="Tahoma"/>
    </w:rPr>
  </w:style>
  <w:style w:type="paragraph" w:customStyle="1" w:styleId="3">
    <w:name w:val=" Char Char Char Char Char Char"/>
    <w:basedOn w:val="1"/>
    <w:next w:val="4"/>
    <w:qFormat/>
    <w:uiPriority w:val="0"/>
    <w:pPr>
      <w:widowControl w:val="0"/>
      <w:autoSpaceDE/>
      <w:autoSpaceDN/>
      <w:spacing w:before="0" w:after="0" w:line="360" w:lineRule="auto"/>
      <w:ind w:left="0" w:firstLine="3584"/>
      <w:jc w:val="both"/>
    </w:pPr>
    <w:rPr>
      <w:rFonts w:ascii="Tahoma"/>
    </w:rPr>
  </w:style>
  <w:style w:type="paragraph" w:styleId="4">
    <w:name w:val="Body Text First Indent"/>
    <w:next w:val="5"/>
    <w:qFormat/>
    <w:uiPriority w:val="0"/>
    <w:pPr>
      <w:widowControl w:val="0"/>
      <w:autoSpaceDE/>
      <w:autoSpaceDN/>
      <w:spacing w:before="0" w:after="120" w:line="240" w:lineRule="auto"/>
      <w:ind w:left="420" w:firstLine="3748"/>
      <w:jc w:val="both"/>
    </w:pPr>
    <w:rPr>
      <w:rFonts w:ascii="Tahoma" w:hAnsi="Times New Roman" w:eastAsia="宋体" w:cs="Times New Roman"/>
    </w:rPr>
  </w:style>
  <w:style w:type="paragraph" w:customStyle="1" w:styleId="5">
    <w:name w:val="Char Char Char"/>
    <w:basedOn w:val="1"/>
    <w:next w:val="6"/>
    <w:qFormat/>
    <w:uiPriority w:val="0"/>
    <w:pPr>
      <w:widowControl w:val="0"/>
      <w:autoSpaceDE/>
      <w:autoSpaceDN/>
      <w:spacing w:before="0" w:after="0" w:line="360" w:lineRule="auto"/>
      <w:ind w:left="0" w:firstLine="3584"/>
      <w:jc w:val="both"/>
    </w:pPr>
    <w:rPr>
      <w:rFonts w:ascii="Tahoma"/>
    </w:rPr>
  </w:style>
  <w:style w:type="paragraph" w:styleId="6">
    <w:name w:val="Balloon Text"/>
    <w:basedOn w:val="1"/>
    <w:next w:val="7"/>
    <w:unhideWhenUsed/>
    <w:qFormat/>
    <w:uiPriority w:val="99"/>
    <w:rPr>
      <w:kern w:val="0"/>
      <w:sz w:val="18"/>
      <w:szCs w:val="18"/>
    </w:rPr>
  </w:style>
  <w:style w:type="paragraph" w:styleId="7">
    <w:name w:val="Date"/>
    <w:basedOn w:val="1"/>
    <w:next w:val="1"/>
    <w:unhideWhenUsed/>
    <w:qFormat/>
    <w:uiPriority w:val="99"/>
    <w:pPr>
      <w:ind w:left="100" w:leftChars="2500"/>
    </w:p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rPr>
      <w:szCs w:val="22"/>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11</Pages>
  <Words>2244</Words>
  <Characters>2323</Characters>
  <Lines>19</Lines>
  <Paragraphs>5</Paragraphs>
  <TotalTime>18</TotalTime>
  <ScaleCrop>false</ScaleCrop>
  <LinksUpToDate>false</LinksUpToDate>
  <CharactersWithSpaces>2366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2022-10-12T07:34:00Z</dcterms:created>
  <dc:creator>x1342</dc:creator>
  <cp:lastModifiedBy>梁飞飞</cp:lastModifiedBy>
  <dcterms:modified xsi:type="dcterms:W3CDTF">2026-09-01T08:27:02Z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5149340DB9024EACAB55404EF36ED59A</vt:lpwstr>
  </property>
</Properties>
</file>